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82" w:rsidRDefault="000A3582" w:rsidP="000A3582">
      <w:pPr>
        <w:spacing w:line="348" w:lineRule="auto"/>
        <w:rPr>
          <w:rFonts w:eastAsia="黑体" w:cs="黑体" w:hint="eastAsia"/>
          <w:bCs/>
          <w:sz w:val="32"/>
          <w:szCs w:val="32"/>
        </w:rPr>
      </w:pPr>
      <w:r>
        <w:rPr>
          <w:rFonts w:ascii="黑体" w:eastAsia="黑体" w:hAnsi="宋体" w:cs="宋体" w:hint="eastAsia"/>
          <w:kern w:val="0"/>
          <w:sz w:val="32"/>
          <w:szCs w:val="32"/>
        </w:rPr>
        <w:t>附件1</w:t>
      </w:r>
      <w:r>
        <w:rPr>
          <w:rFonts w:ascii="黑体" w:eastAsia="黑体" w:hAnsi="宋体" w:cs="宋体"/>
          <w:kern w:val="0"/>
          <w:sz w:val="32"/>
          <w:szCs w:val="32"/>
        </w:rPr>
        <w:tab/>
      </w:r>
    </w:p>
    <w:p w:rsidR="000A3582" w:rsidRDefault="000A3582" w:rsidP="000A3582">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rsidR="000A3582" w:rsidRDefault="000A3582" w:rsidP="000A3582">
      <w:pPr>
        <w:widowControl/>
        <w:ind w:left="93"/>
        <w:jc w:val="center"/>
        <w:rPr>
          <w:rFonts w:ascii="宋体" w:hAnsi="宋体" w:cs="宋体"/>
          <w:kern w:val="0"/>
          <w:sz w:val="24"/>
        </w:rPr>
      </w:pPr>
      <w:r>
        <w:rPr>
          <w:rFonts w:ascii="方正小标宋_GBK" w:eastAsia="方正小标宋_GBK" w:hAnsi="宋体" w:cs="宋体" w:hint="eastAsia"/>
          <w:kern w:val="0"/>
          <w:sz w:val="36"/>
          <w:szCs w:val="36"/>
        </w:rPr>
        <w:t>部门整体支出绩效评价指标表</w:t>
      </w:r>
    </w:p>
    <w:tbl>
      <w:tblPr>
        <w:tblW w:w="11235" w:type="dxa"/>
        <w:jc w:val="center"/>
        <w:tblLayout w:type="fixed"/>
        <w:tblLook w:val="0000" w:firstRow="0" w:lastRow="0" w:firstColumn="0" w:lastColumn="0" w:noHBand="0" w:noVBand="0"/>
      </w:tblPr>
      <w:tblGrid>
        <w:gridCol w:w="518"/>
        <w:gridCol w:w="439"/>
        <w:gridCol w:w="675"/>
        <w:gridCol w:w="439"/>
        <w:gridCol w:w="1009"/>
        <w:gridCol w:w="416"/>
        <w:gridCol w:w="2999"/>
        <w:gridCol w:w="3470"/>
        <w:gridCol w:w="635"/>
        <w:gridCol w:w="635"/>
      </w:tblGrid>
      <w:tr w:rsidR="000A3582" w:rsidTr="00A45385">
        <w:trPr>
          <w:gridAfter w:val="1"/>
          <w:wAfter w:w="635" w:type="dxa"/>
          <w:tblHeader/>
          <w:jc w:val="center"/>
        </w:trPr>
        <w:tc>
          <w:tcPr>
            <w:tcW w:w="518" w:type="dxa"/>
            <w:tcBorders>
              <w:top w:val="single" w:sz="4" w:space="0" w:color="auto"/>
              <w:left w:val="single" w:sz="4" w:space="0" w:color="auto"/>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一级指标</w:t>
            </w:r>
          </w:p>
        </w:tc>
        <w:tc>
          <w:tcPr>
            <w:tcW w:w="439" w:type="dxa"/>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分值</w:t>
            </w:r>
          </w:p>
        </w:tc>
        <w:tc>
          <w:tcPr>
            <w:tcW w:w="675" w:type="dxa"/>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二级指标</w:t>
            </w:r>
          </w:p>
        </w:tc>
        <w:tc>
          <w:tcPr>
            <w:tcW w:w="439" w:type="dxa"/>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分值</w:t>
            </w:r>
          </w:p>
        </w:tc>
        <w:tc>
          <w:tcPr>
            <w:tcW w:w="1009" w:type="dxa"/>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hint="eastAsia"/>
                <w:kern w:val="0"/>
                <w:sz w:val="20"/>
                <w:szCs w:val="20"/>
              </w:rPr>
            </w:pPr>
            <w:r>
              <w:rPr>
                <w:rFonts w:ascii="仿宋_GB2312" w:eastAsia="仿宋_GB2312" w:hAnsi="宋体" w:cs="宋体" w:hint="eastAsia"/>
                <w:kern w:val="0"/>
                <w:sz w:val="20"/>
                <w:szCs w:val="20"/>
              </w:rPr>
              <w:t>三级</w:t>
            </w:r>
          </w:p>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指标</w:t>
            </w:r>
          </w:p>
        </w:tc>
        <w:tc>
          <w:tcPr>
            <w:tcW w:w="416" w:type="dxa"/>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分值</w:t>
            </w:r>
          </w:p>
        </w:tc>
        <w:tc>
          <w:tcPr>
            <w:tcW w:w="2999" w:type="dxa"/>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评价标准</w:t>
            </w:r>
          </w:p>
        </w:tc>
        <w:tc>
          <w:tcPr>
            <w:tcW w:w="3470" w:type="dxa"/>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指标说明</w:t>
            </w:r>
          </w:p>
        </w:tc>
        <w:tc>
          <w:tcPr>
            <w:tcW w:w="635" w:type="dxa"/>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得分</w:t>
            </w:r>
          </w:p>
        </w:tc>
      </w:tr>
      <w:tr w:rsidR="000A3582" w:rsidTr="00A45385">
        <w:trPr>
          <w:gridAfter w:val="1"/>
          <w:wAfter w:w="635" w:type="dxa"/>
          <w:jc w:val="center"/>
        </w:trPr>
        <w:tc>
          <w:tcPr>
            <w:tcW w:w="518" w:type="dxa"/>
            <w:vMerge w:val="restart"/>
            <w:tcBorders>
              <w:top w:val="nil"/>
              <w:left w:val="single" w:sz="4" w:space="0" w:color="auto"/>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投入</w:t>
            </w:r>
          </w:p>
        </w:tc>
        <w:tc>
          <w:tcPr>
            <w:tcW w:w="439"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c>
          <w:tcPr>
            <w:tcW w:w="675" w:type="dxa"/>
            <w:vMerge w:val="restart"/>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439"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在职人员控制率</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999" w:type="dxa"/>
            <w:tcBorders>
              <w:top w:val="nil"/>
              <w:left w:val="nil"/>
              <w:bottom w:val="nil"/>
              <w:right w:val="nil"/>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以100%为标准。在职人员控制率</w:t>
            </w:r>
            <w:r>
              <w:rPr>
                <w:rFonts w:ascii="宋体" w:hAnsi="宋体" w:cs="宋体" w:hint="eastAsia"/>
                <w:kern w:val="0"/>
                <w:sz w:val="20"/>
                <w:szCs w:val="20"/>
              </w:rPr>
              <w:t>≦</w:t>
            </w:r>
            <w:r>
              <w:rPr>
                <w:rFonts w:ascii="仿宋_GB2312" w:eastAsia="仿宋_GB2312" w:hAnsi="宋体" w:cs="宋体" w:hint="eastAsia"/>
                <w:kern w:val="0"/>
                <w:sz w:val="20"/>
                <w:szCs w:val="20"/>
              </w:rPr>
              <w:t>100%，计5分；每超过一个百分点扣0.5分，扣完为止。</w:t>
            </w:r>
          </w:p>
        </w:tc>
        <w:tc>
          <w:tcPr>
            <w:tcW w:w="347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在职人员控制率=（在职人员数/编制数）×100%，在职人员数：部门（单位）实际在职人数，以财政局确定的部门决算编制口径为准。</w:t>
            </w:r>
            <w:r>
              <w:rPr>
                <w:rFonts w:ascii="仿宋_GB2312" w:eastAsia="仿宋_GB2312" w:hAnsi="宋体" w:cs="宋体" w:hint="eastAsia"/>
                <w:kern w:val="0"/>
                <w:sz w:val="20"/>
                <w:szCs w:val="20"/>
              </w:rPr>
              <w:br/>
              <w:t>编制数：机构编制部门核定批复的部门（单位）的人员编制数。</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0</w:t>
            </w:r>
          </w:p>
        </w:tc>
      </w:tr>
      <w:tr w:rsidR="000A3582" w:rsidTr="00A45385">
        <w:trPr>
          <w:gridAfter w:val="1"/>
          <w:wAfter w:w="635" w:type="dxa"/>
          <w:jc w:val="center"/>
        </w:trPr>
        <w:tc>
          <w:tcPr>
            <w:tcW w:w="518" w:type="dxa"/>
            <w:vMerge/>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999" w:type="dxa"/>
            <w:tcBorders>
              <w:top w:val="single" w:sz="4" w:space="0" w:color="auto"/>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宋体" w:hAnsi="宋体" w:cs="宋体" w:hint="eastAsia"/>
                <w:kern w:val="0"/>
                <w:sz w:val="20"/>
                <w:szCs w:val="20"/>
              </w:rPr>
              <w:t>≦</w:t>
            </w:r>
            <w:r>
              <w:rPr>
                <w:rFonts w:ascii="仿宋_GB2312" w:eastAsia="仿宋_GB2312" w:hAnsi="宋体" w:cs="宋体" w:hint="eastAsia"/>
                <w:kern w:val="0"/>
                <w:sz w:val="20"/>
                <w:szCs w:val="20"/>
              </w:rPr>
              <w:t>0,计8分；“三公经费”＞0，每超过一个百分点扣0.8分，扣完为止。</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“在公经费”变动率=[（本年度“三公经费”预算数-上年度“三公经费”预算数）/上年度“三公经费”预算数]×100%</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8</w:t>
            </w:r>
          </w:p>
        </w:tc>
      </w:tr>
      <w:tr w:rsidR="000A3582" w:rsidTr="00A45385">
        <w:trPr>
          <w:gridAfter w:val="1"/>
          <w:wAfter w:w="635" w:type="dxa"/>
          <w:jc w:val="center"/>
        </w:trPr>
        <w:tc>
          <w:tcPr>
            <w:tcW w:w="518"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39"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61</w:t>
            </w:r>
          </w:p>
        </w:tc>
        <w:tc>
          <w:tcPr>
            <w:tcW w:w="675"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439"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100%计满分，每低于5%扣2分，扣完为止。</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预算完成率=（上年结转+年初预算+本年追加预算-年末结余/上年结转+年初预算+本年追加预算）×100%。</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3</w:t>
            </w:r>
          </w:p>
        </w:tc>
      </w:tr>
      <w:tr w:rsidR="000A3582" w:rsidTr="00A45385">
        <w:trPr>
          <w:gridAfter w:val="1"/>
          <w:wAfter w:w="635" w:type="dxa"/>
          <w:trHeight w:val="1273"/>
          <w:jc w:val="center"/>
        </w:trPr>
        <w:tc>
          <w:tcPr>
            <w:tcW w:w="518"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预算控制率</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预算控制率=0，计5分；0-10%（含），计4分；10-20%（含），计3分；20-30%（含），计2分；大于30%不得分</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预算控制率=（本年追加预算/年初预算）×100%。</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4</w:t>
            </w:r>
          </w:p>
        </w:tc>
      </w:tr>
      <w:tr w:rsidR="000A3582" w:rsidTr="00A45385">
        <w:trPr>
          <w:gridAfter w:val="1"/>
          <w:wAfter w:w="635" w:type="dxa"/>
          <w:trHeight w:val="1160"/>
          <w:jc w:val="center"/>
        </w:trPr>
        <w:tc>
          <w:tcPr>
            <w:tcW w:w="518"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新建楼堂馆所面积控制率</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100%以下（含）计满分，每超出5%扣2分，扣完为止。没有楼梯馆</w:t>
            </w:r>
            <w:proofErr w:type="gramStart"/>
            <w:r>
              <w:rPr>
                <w:rFonts w:ascii="仿宋_GB2312" w:eastAsia="仿宋_GB2312" w:hAnsi="宋体" w:cs="宋体" w:hint="eastAsia"/>
                <w:kern w:val="0"/>
                <w:sz w:val="20"/>
                <w:szCs w:val="20"/>
              </w:rPr>
              <w:t>所项目</w:t>
            </w:r>
            <w:proofErr w:type="gramEnd"/>
            <w:r>
              <w:rPr>
                <w:rFonts w:ascii="仿宋_GB2312" w:eastAsia="仿宋_GB2312" w:hAnsi="宋体" w:cs="宋体" w:hint="eastAsia"/>
                <w:kern w:val="0"/>
                <w:sz w:val="20"/>
                <w:szCs w:val="20"/>
              </w:rPr>
              <w:t>的部门按满分计算</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楼堂馆所面积控制率=实际建设面积/批准建设面积×100% 。</w:t>
            </w:r>
            <w:r>
              <w:rPr>
                <w:rFonts w:ascii="仿宋_GB2312" w:eastAsia="仿宋_GB2312" w:hAnsi="宋体" w:cs="宋体" w:hint="eastAsia"/>
                <w:kern w:val="0"/>
                <w:sz w:val="20"/>
                <w:szCs w:val="20"/>
              </w:rPr>
              <w:br/>
              <w:t>该指标以2015年完工的新建楼堂馆所为评价内容。</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5</w:t>
            </w:r>
          </w:p>
        </w:tc>
      </w:tr>
      <w:tr w:rsidR="000A3582" w:rsidTr="00A45385">
        <w:trPr>
          <w:gridAfter w:val="1"/>
          <w:wAfter w:w="635" w:type="dxa"/>
          <w:trHeight w:val="1543"/>
          <w:jc w:val="center"/>
        </w:trPr>
        <w:tc>
          <w:tcPr>
            <w:tcW w:w="518"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新建楼堂馆所投资概算控制率</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100%以下（含）计满分，每超出5%扣2分，扣完为止。</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楼堂馆所投资预算控制率=实际投资金额/批准投资金额×100% 。</w:t>
            </w:r>
            <w:r>
              <w:rPr>
                <w:rFonts w:ascii="仿宋_GB2312" w:eastAsia="仿宋_GB2312" w:hAnsi="宋体" w:cs="宋体" w:hint="eastAsia"/>
                <w:kern w:val="0"/>
                <w:sz w:val="20"/>
                <w:szCs w:val="20"/>
              </w:rPr>
              <w:br/>
              <w:t>该指标以2015年完工的新建楼堂馆所为评价内容。</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5</w:t>
            </w:r>
          </w:p>
        </w:tc>
      </w:tr>
      <w:tr w:rsidR="000A3582" w:rsidTr="00A45385">
        <w:trPr>
          <w:gridAfter w:val="1"/>
          <w:wAfter w:w="635" w:type="dxa"/>
          <w:trHeight w:val="1562"/>
          <w:jc w:val="center"/>
        </w:trPr>
        <w:tc>
          <w:tcPr>
            <w:tcW w:w="518"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439"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41</w:t>
            </w: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公用经费控制率</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99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100%以下（含）计满分，每超出1%扣1分，扣完为止。</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公用经费控制率=（实际支出公用经费总额/预算安排公用经费总额）×100%。</w:t>
            </w:r>
            <w:r>
              <w:rPr>
                <w:rFonts w:ascii="仿宋_GB2312" w:eastAsia="仿宋_GB2312" w:hAnsi="宋体" w:cs="宋体" w:hint="eastAsia"/>
                <w:kern w:val="0"/>
                <w:sz w:val="20"/>
                <w:szCs w:val="20"/>
              </w:rPr>
              <w:br/>
              <w:t>公用经费支出是指部门基本支出中的一般商品和服务支出。</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8</w:t>
            </w:r>
          </w:p>
        </w:tc>
      </w:tr>
      <w:tr w:rsidR="000A3582" w:rsidTr="00A45385">
        <w:trPr>
          <w:gridAfter w:val="1"/>
          <w:wAfter w:w="635" w:type="dxa"/>
          <w:trHeight w:val="1073"/>
          <w:jc w:val="center"/>
        </w:trPr>
        <w:tc>
          <w:tcPr>
            <w:tcW w:w="518"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99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100%以下（含）计满分，每超出1%扣1分，扣完为止。</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“三公经费”控制率-（“三公经费”实际支出数/“三公经费”预算安排数）×100%。</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8</w:t>
            </w:r>
          </w:p>
        </w:tc>
      </w:tr>
      <w:tr w:rsidR="000A3582" w:rsidTr="00A45385">
        <w:trPr>
          <w:gridAfter w:val="1"/>
          <w:wAfter w:w="635" w:type="dxa"/>
          <w:trHeight w:val="918"/>
          <w:jc w:val="center"/>
        </w:trPr>
        <w:tc>
          <w:tcPr>
            <w:tcW w:w="518" w:type="dxa"/>
            <w:vMerge/>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99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100%计满分，每超过（降低）5%扣2分。扣完为止。</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政府采购执行率=（实际政府采购金额/政府采购预算数）×100%</w:t>
            </w:r>
            <w:r>
              <w:rPr>
                <w:rFonts w:ascii="仿宋_GB2312" w:eastAsia="仿宋_GB2312" w:hAnsi="宋体" w:cs="宋体" w:hint="eastAsia"/>
                <w:kern w:val="0"/>
                <w:sz w:val="20"/>
                <w:szCs w:val="20"/>
              </w:rPr>
              <w:br/>
              <w:t xml:space="preserve">                </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6</w:t>
            </w:r>
          </w:p>
        </w:tc>
      </w:tr>
      <w:tr w:rsidR="000A3582" w:rsidTr="00A45385">
        <w:trPr>
          <w:gridAfter w:val="1"/>
          <w:wAfter w:w="635" w:type="dxa"/>
          <w:jc w:val="center"/>
        </w:trPr>
        <w:tc>
          <w:tcPr>
            <w:tcW w:w="518" w:type="dxa"/>
            <w:vMerge w:val="restart"/>
            <w:tcBorders>
              <w:top w:val="single" w:sz="4" w:space="0" w:color="auto"/>
              <w:left w:val="single" w:sz="4" w:space="0" w:color="auto"/>
              <w:bottom w:val="single" w:sz="4" w:space="0" w:color="000000"/>
              <w:right w:val="single" w:sz="4" w:space="0" w:color="auto"/>
            </w:tcBorders>
            <w:vAlign w:val="center"/>
          </w:tcPr>
          <w:p w:rsidR="000A3582" w:rsidRDefault="000A3582" w:rsidP="00A45385">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39" w:type="dxa"/>
            <w:vMerge w:val="restart"/>
            <w:tcBorders>
              <w:top w:val="single" w:sz="4" w:space="0" w:color="auto"/>
              <w:left w:val="single" w:sz="4" w:space="0" w:color="auto"/>
              <w:bottom w:val="single" w:sz="4" w:space="0" w:color="000000"/>
              <w:right w:val="single" w:sz="4" w:space="0" w:color="auto"/>
            </w:tcBorders>
            <w:vAlign w:val="center"/>
          </w:tcPr>
          <w:p w:rsidR="000A3582" w:rsidRDefault="000A3582" w:rsidP="00A45385">
            <w:pPr>
              <w:jc w:val="lef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61</w:t>
            </w:r>
          </w:p>
        </w:tc>
        <w:tc>
          <w:tcPr>
            <w:tcW w:w="675" w:type="dxa"/>
            <w:vMerge w:val="restart"/>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管理制度健全性</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99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①有内部财务管理制度、会计核算制度等管理制度，2分；</w:t>
            </w:r>
            <w:r>
              <w:rPr>
                <w:rFonts w:ascii="仿宋_GB2312" w:eastAsia="仿宋_GB2312" w:hAnsi="宋体" w:cs="宋体" w:hint="eastAsia"/>
                <w:kern w:val="0"/>
                <w:sz w:val="20"/>
                <w:szCs w:val="20"/>
              </w:rPr>
              <w:br/>
              <w:t>②有本部门厉行节约制度,2分；</w:t>
            </w:r>
            <w:r>
              <w:rPr>
                <w:rFonts w:ascii="仿宋_GB2312" w:eastAsia="仿宋_GB2312" w:hAnsi="宋体" w:cs="宋体" w:hint="eastAsia"/>
                <w:kern w:val="0"/>
                <w:sz w:val="20"/>
                <w:szCs w:val="20"/>
              </w:rPr>
              <w:br/>
              <w:t>③相关管理制度合法、合</w:t>
            </w:r>
            <w:proofErr w:type="gramStart"/>
            <w:r>
              <w:rPr>
                <w:rFonts w:ascii="仿宋_GB2312" w:eastAsia="仿宋_GB2312" w:hAnsi="宋体" w:cs="宋体" w:hint="eastAsia"/>
                <w:kern w:val="0"/>
                <w:sz w:val="20"/>
                <w:szCs w:val="20"/>
              </w:rPr>
              <w:t>规</w:t>
            </w:r>
            <w:proofErr w:type="gramEnd"/>
            <w:r>
              <w:rPr>
                <w:rFonts w:ascii="仿宋_GB2312" w:eastAsia="仿宋_GB2312" w:hAnsi="宋体" w:cs="宋体" w:hint="eastAsia"/>
                <w:kern w:val="0"/>
                <w:sz w:val="20"/>
                <w:szCs w:val="20"/>
              </w:rPr>
              <w:t>、完整，2分；④相关管理制度得到有效执行，2分。</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6</w:t>
            </w:r>
          </w:p>
        </w:tc>
      </w:tr>
      <w:tr w:rsidR="000A3582" w:rsidTr="00A45385">
        <w:trPr>
          <w:gridAfter w:val="1"/>
          <w:wAfter w:w="635" w:type="dxa"/>
          <w:jc w:val="center"/>
        </w:trPr>
        <w:tc>
          <w:tcPr>
            <w:tcW w:w="518"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资金使用合</w:t>
            </w:r>
            <w:proofErr w:type="gramStart"/>
            <w:r>
              <w:rPr>
                <w:rFonts w:ascii="仿宋_GB2312" w:eastAsia="仿宋_GB2312" w:hAnsi="宋体" w:cs="宋体" w:hint="eastAsia"/>
                <w:kern w:val="0"/>
                <w:sz w:val="20"/>
                <w:szCs w:val="20"/>
              </w:rPr>
              <w:t>规</w:t>
            </w:r>
            <w:proofErr w:type="gramEnd"/>
            <w:r>
              <w:rPr>
                <w:rFonts w:ascii="仿宋_GB2312" w:eastAsia="仿宋_GB2312" w:hAnsi="宋体" w:cs="宋体" w:hint="eastAsia"/>
                <w:kern w:val="0"/>
                <w:sz w:val="20"/>
                <w:szCs w:val="20"/>
              </w:rPr>
              <w:t>性</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99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eastAsia="仿宋_GB2312" w:hAnsi="宋体" w:cs="宋体" w:hint="eastAsia"/>
                <w:kern w:val="0"/>
                <w:sz w:val="20"/>
                <w:szCs w:val="20"/>
              </w:rPr>
              <w:br/>
              <w:t>以上情况每出现一例不符合要求的扣1分，扣完为止。</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6</w:t>
            </w:r>
          </w:p>
        </w:tc>
      </w:tr>
      <w:tr w:rsidR="000A3582" w:rsidTr="00A45385">
        <w:trPr>
          <w:gridAfter w:val="1"/>
          <w:wAfter w:w="635" w:type="dxa"/>
          <w:jc w:val="center"/>
        </w:trPr>
        <w:tc>
          <w:tcPr>
            <w:tcW w:w="518"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5</w:t>
            </w:r>
          </w:p>
        </w:tc>
      </w:tr>
      <w:tr w:rsidR="000A3582" w:rsidTr="00A45385">
        <w:trPr>
          <w:gridAfter w:val="1"/>
          <w:wAfter w:w="635" w:type="dxa"/>
          <w:jc w:val="center"/>
        </w:trPr>
        <w:tc>
          <w:tcPr>
            <w:tcW w:w="518"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产出及效率</w:t>
            </w:r>
          </w:p>
        </w:tc>
        <w:tc>
          <w:tcPr>
            <w:tcW w:w="439"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26</w:t>
            </w:r>
          </w:p>
        </w:tc>
        <w:tc>
          <w:tcPr>
            <w:tcW w:w="675"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439"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1009" w:type="dxa"/>
            <w:tcBorders>
              <w:top w:val="nil"/>
              <w:left w:val="nil"/>
              <w:bottom w:val="nil"/>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重点工作实际完成率</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99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根据绩效办2015年对各部门为民办实事和部门重点工程与重点工作考核分数折算。</w:t>
            </w:r>
            <w:r>
              <w:rPr>
                <w:rFonts w:ascii="仿宋_GB2312" w:eastAsia="仿宋_GB2312" w:hAnsi="宋体" w:cs="宋体" w:hint="eastAsia"/>
                <w:kern w:val="0"/>
                <w:sz w:val="20"/>
                <w:szCs w:val="20"/>
              </w:rPr>
              <w:br/>
              <w:t>该项得分=（实际产出数/计划产出数）*8</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8</w:t>
            </w:r>
          </w:p>
        </w:tc>
      </w:tr>
      <w:tr w:rsidR="000A3582" w:rsidTr="00A45385">
        <w:trPr>
          <w:jc w:val="center"/>
        </w:trPr>
        <w:tc>
          <w:tcPr>
            <w:tcW w:w="518"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 效益</w:t>
            </w:r>
          </w:p>
        </w:tc>
        <w:tc>
          <w:tcPr>
            <w:tcW w:w="439"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1009" w:type="dxa"/>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经济效益</w:t>
            </w:r>
          </w:p>
        </w:tc>
        <w:tc>
          <w:tcPr>
            <w:tcW w:w="416" w:type="dxa"/>
            <w:vMerge w:val="restart"/>
            <w:tcBorders>
              <w:top w:val="nil"/>
              <w:left w:val="single" w:sz="4" w:space="0" w:color="auto"/>
              <w:bottom w:val="nil"/>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6469" w:type="dxa"/>
            <w:gridSpan w:val="2"/>
            <w:vMerge w:val="restart"/>
            <w:tcBorders>
              <w:top w:val="single" w:sz="4" w:space="0" w:color="auto"/>
              <w:left w:val="single" w:sz="4" w:space="0" w:color="auto"/>
              <w:bottom w:val="nil"/>
              <w:right w:val="single" w:sz="4" w:space="0" w:color="000000"/>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w:t>
            </w:r>
          </w:p>
        </w:tc>
        <w:tc>
          <w:tcPr>
            <w:tcW w:w="635" w:type="dxa"/>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w:t>
            </w:r>
          </w:p>
        </w:tc>
      </w:tr>
      <w:tr w:rsidR="000A3582" w:rsidTr="00A45385">
        <w:trPr>
          <w:jc w:val="center"/>
        </w:trPr>
        <w:tc>
          <w:tcPr>
            <w:tcW w:w="518"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社会效益</w:t>
            </w:r>
          </w:p>
        </w:tc>
        <w:tc>
          <w:tcPr>
            <w:tcW w:w="416" w:type="dxa"/>
            <w:vMerge/>
            <w:tcBorders>
              <w:top w:val="nil"/>
              <w:left w:val="single" w:sz="4" w:space="0" w:color="auto"/>
              <w:bottom w:val="nil"/>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469" w:type="dxa"/>
            <w:gridSpan w:val="2"/>
            <w:vMerge/>
            <w:tcBorders>
              <w:top w:val="single" w:sz="4" w:space="0" w:color="auto"/>
              <w:left w:val="single" w:sz="4" w:space="0" w:color="auto"/>
              <w:bottom w:val="nil"/>
              <w:right w:val="single" w:sz="4" w:space="0" w:color="000000"/>
            </w:tcBorders>
            <w:vAlign w:val="center"/>
          </w:tcPr>
          <w:p w:rsidR="000A3582" w:rsidRDefault="000A3582" w:rsidP="00A45385">
            <w:pPr>
              <w:widowControl/>
              <w:jc w:val="left"/>
              <w:rPr>
                <w:rFonts w:ascii="仿宋_GB2312" w:eastAsia="仿宋_GB2312" w:hAnsi="宋体" w:cs="宋体"/>
                <w:kern w:val="0"/>
                <w:sz w:val="20"/>
                <w:szCs w:val="20"/>
              </w:rPr>
            </w:pPr>
          </w:p>
        </w:tc>
        <w:tc>
          <w:tcPr>
            <w:tcW w:w="635" w:type="dxa"/>
            <w:tcBorders>
              <w:top w:val="nil"/>
              <w:left w:val="nil"/>
              <w:bottom w:val="nil"/>
              <w:right w:val="single" w:sz="4" w:space="0" w:color="auto"/>
            </w:tcBorders>
            <w:vAlign w:val="center"/>
          </w:tcPr>
          <w:p w:rsidR="000A3582" w:rsidRDefault="000A3582" w:rsidP="00A45385">
            <w:pPr>
              <w:widowControl/>
              <w:ind w:firstLineChars="100" w:firstLine="240"/>
              <w:jc w:val="left"/>
              <w:rPr>
                <w:rFonts w:ascii="宋体" w:hAnsi="宋体" w:cs="宋体"/>
                <w:kern w:val="0"/>
                <w:sz w:val="24"/>
              </w:rPr>
            </w:pPr>
            <w:r>
              <w:rPr>
                <w:rFonts w:ascii="宋体" w:hAnsi="宋体" w:cs="宋体" w:hint="eastAsia"/>
                <w:kern w:val="0"/>
                <w:sz w:val="24"/>
              </w:rPr>
              <w:t xml:space="preserve">6　</w:t>
            </w:r>
          </w:p>
        </w:tc>
        <w:tc>
          <w:tcPr>
            <w:tcW w:w="635" w:type="dxa"/>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w:t>
            </w:r>
          </w:p>
        </w:tc>
      </w:tr>
      <w:tr w:rsidR="000A3582" w:rsidTr="00A45385">
        <w:trPr>
          <w:gridAfter w:val="1"/>
          <w:wAfter w:w="635" w:type="dxa"/>
          <w:jc w:val="center"/>
        </w:trPr>
        <w:tc>
          <w:tcPr>
            <w:tcW w:w="518"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val="restart"/>
            <w:tcBorders>
              <w:top w:val="nil"/>
              <w:left w:val="single" w:sz="4" w:space="0" w:color="auto"/>
              <w:bottom w:val="single" w:sz="4" w:space="0" w:color="000000"/>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12</w:t>
            </w: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行政效能</w:t>
            </w:r>
          </w:p>
        </w:tc>
        <w:tc>
          <w:tcPr>
            <w:tcW w:w="416" w:type="dxa"/>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999" w:type="dxa"/>
            <w:tcBorders>
              <w:top w:val="single" w:sz="4" w:space="0" w:color="auto"/>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sz="4" w:space="0" w:color="auto"/>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根据部门自评材料评定。</w:t>
            </w:r>
          </w:p>
        </w:tc>
        <w:tc>
          <w:tcPr>
            <w:tcW w:w="635" w:type="dxa"/>
            <w:tcBorders>
              <w:top w:val="single" w:sz="4" w:space="0" w:color="auto"/>
              <w:left w:val="nil"/>
              <w:bottom w:val="single" w:sz="4" w:space="0" w:color="auto"/>
              <w:right w:val="single" w:sz="4" w:space="0" w:color="auto"/>
            </w:tcBorders>
            <w:vAlign w:val="center"/>
          </w:tcPr>
          <w:p w:rsidR="000A3582" w:rsidRDefault="000A3582" w:rsidP="00A45385">
            <w:pPr>
              <w:widowControl/>
              <w:ind w:firstLineChars="100" w:firstLine="240"/>
              <w:jc w:val="left"/>
              <w:rPr>
                <w:rFonts w:ascii="宋体" w:hAnsi="宋体" w:cs="宋体"/>
                <w:kern w:val="0"/>
                <w:sz w:val="24"/>
              </w:rPr>
            </w:pPr>
            <w:r>
              <w:rPr>
                <w:rFonts w:ascii="宋体" w:hAnsi="宋体" w:cs="宋体" w:hint="eastAsia"/>
                <w:kern w:val="0"/>
                <w:sz w:val="24"/>
              </w:rPr>
              <w:t>3</w:t>
            </w:r>
          </w:p>
        </w:tc>
      </w:tr>
      <w:tr w:rsidR="000A3582" w:rsidTr="00A45385">
        <w:trPr>
          <w:gridAfter w:val="1"/>
          <w:wAfter w:w="635" w:type="dxa"/>
          <w:jc w:val="center"/>
        </w:trPr>
        <w:tc>
          <w:tcPr>
            <w:tcW w:w="518"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675"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439" w:type="dxa"/>
            <w:vMerge/>
            <w:tcBorders>
              <w:top w:val="nil"/>
              <w:left w:val="single" w:sz="4" w:space="0" w:color="auto"/>
              <w:bottom w:val="single" w:sz="4" w:space="0" w:color="000000"/>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p>
        </w:tc>
        <w:tc>
          <w:tcPr>
            <w:tcW w:w="100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416" w:type="dxa"/>
            <w:tcBorders>
              <w:top w:val="nil"/>
              <w:left w:val="nil"/>
              <w:bottom w:val="single" w:sz="4" w:space="0" w:color="auto"/>
              <w:right w:val="single" w:sz="4" w:space="0" w:color="auto"/>
            </w:tcBorders>
            <w:vAlign w:val="center"/>
          </w:tcPr>
          <w:p w:rsidR="000A3582" w:rsidRDefault="000A3582" w:rsidP="00A45385">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999"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90%（含）以上计6分；</w:t>
            </w:r>
            <w:r>
              <w:rPr>
                <w:rFonts w:ascii="仿宋_GB2312" w:eastAsia="仿宋_GB2312" w:hAnsi="宋体" w:cs="宋体" w:hint="eastAsia"/>
                <w:kern w:val="0"/>
                <w:sz w:val="20"/>
                <w:szCs w:val="20"/>
              </w:rPr>
              <w:br/>
              <w:t>80%（含）-90%，计4分；</w:t>
            </w:r>
            <w:r>
              <w:rPr>
                <w:rFonts w:ascii="仿宋_GB2312" w:eastAsia="仿宋_GB2312" w:hAnsi="宋体" w:cs="宋体" w:hint="eastAsia"/>
                <w:kern w:val="0"/>
                <w:sz w:val="20"/>
                <w:szCs w:val="20"/>
              </w:rPr>
              <w:br/>
              <w:t>70%（含）-80%，计2分；</w:t>
            </w:r>
            <w:r>
              <w:rPr>
                <w:rFonts w:ascii="仿宋_GB2312" w:eastAsia="仿宋_GB2312" w:hAnsi="宋体" w:cs="宋体" w:hint="eastAsia"/>
                <w:kern w:val="0"/>
                <w:sz w:val="20"/>
                <w:szCs w:val="20"/>
              </w:rPr>
              <w:br/>
              <w:t>低于70%计0分。</w:t>
            </w:r>
          </w:p>
        </w:tc>
        <w:tc>
          <w:tcPr>
            <w:tcW w:w="3470" w:type="dxa"/>
            <w:tcBorders>
              <w:top w:val="nil"/>
              <w:left w:val="nil"/>
              <w:bottom w:val="single" w:sz="4" w:space="0" w:color="auto"/>
              <w:right w:val="single" w:sz="4" w:space="0" w:color="auto"/>
            </w:tcBorders>
            <w:vAlign w:val="center"/>
          </w:tcPr>
          <w:p w:rsidR="000A3582" w:rsidRDefault="000A3582" w:rsidP="00A45385">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w:t>
            </w:r>
          </w:p>
        </w:tc>
        <w:tc>
          <w:tcPr>
            <w:tcW w:w="635"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6</w:t>
            </w:r>
          </w:p>
        </w:tc>
      </w:tr>
    </w:tbl>
    <w:p w:rsidR="000A3582" w:rsidRDefault="000A3582" w:rsidP="000A3582">
      <w:pPr>
        <w:rPr>
          <w:rFonts w:ascii="黑体" w:eastAsia="黑体"/>
          <w:sz w:val="28"/>
          <w:szCs w:val="28"/>
        </w:rPr>
      </w:pPr>
      <w:r>
        <w:rPr>
          <w:rFonts w:ascii="黑体" w:eastAsia="黑体" w:hint="eastAsia"/>
          <w:sz w:val="28"/>
          <w:szCs w:val="28"/>
        </w:rPr>
        <w:t>合计：88</w:t>
      </w:r>
    </w:p>
    <w:p w:rsidR="000A3582" w:rsidRDefault="000A3582" w:rsidP="000A3582">
      <w:pPr>
        <w:spacing w:line="560" w:lineRule="exact"/>
        <w:rPr>
          <w:rFonts w:ascii="宋体" w:hAnsi="宋体" w:cs="宋体"/>
          <w:kern w:val="0"/>
          <w:sz w:val="24"/>
        </w:rPr>
      </w:pPr>
      <w:r>
        <w:rPr>
          <w:rFonts w:ascii="黑体" w:eastAsia="黑体"/>
          <w:sz w:val="28"/>
          <w:szCs w:val="28"/>
        </w:rPr>
        <w:br w:type="page"/>
      </w:r>
      <w:r>
        <w:rPr>
          <w:rFonts w:ascii="黑体" w:eastAsia="黑体" w:hAnsi="宋体" w:cs="宋体" w:hint="eastAsia"/>
          <w:kern w:val="0"/>
          <w:sz w:val="32"/>
          <w:szCs w:val="32"/>
        </w:rPr>
        <w:lastRenderedPageBreak/>
        <w:t>附件2</w:t>
      </w:r>
      <w:r>
        <w:rPr>
          <w:rFonts w:ascii="黑体" w:eastAsia="黑体" w:hAnsi="宋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rsidR="000A3582" w:rsidRDefault="000A3582" w:rsidP="000A3582">
      <w:pPr>
        <w:widowControl/>
        <w:ind w:left="91"/>
        <w:jc w:val="center"/>
        <w:rPr>
          <w:rFonts w:ascii="方正小标宋_GBK" w:eastAsia="方正小标宋_GBK" w:hAnsi="宋体" w:cs="宋体" w:hint="eastAsia"/>
          <w:kern w:val="0"/>
          <w:sz w:val="36"/>
          <w:szCs w:val="36"/>
        </w:rPr>
      </w:pPr>
      <w:r>
        <w:rPr>
          <w:rFonts w:ascii="方正小标宋_GBK" w:eastAsia="方正小标宋_GBK" w:hAnsi="宋体" w:cs="宋体" w:hint="eastAsia"/>
          <w:kern w:val="0"/>
          <w:sz w:val="36"/>
          <w:szCs w:val="36"/>
        </w:rPr>
        <w:t>部门整体支出绩效评价基础数据表</w:t>
      </w:r>
    </w:p>
    <w:p w:rsidR="000A3582" w:rsidRDefault="000A3582" w:rsidP="000A3582">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ascii="宋体" w:hAnsi="宋体" w:cs="宋体" w:hint="eastAsia"/>
          <w:kern w:val="0"/>
          <w:sz w:val="24"/>
        </w:rPr>
        <w:t>填报单位：</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W w:w="10490" w:type="dxa"/>
        <w:jc w:val="center"/>
        <w:tblLayout w:type="fixed"/>
        <w:tblLook w:val="0000" w:firstRow="0" w:lastRow="0" w:firstColumn="0" w:lastColumn="0" w:noHBand="0" w:noVBand="0"/>
      </w:tblPr>
      <w:tblGrid>
        <w:gridCol w:w="3550"/>
        <w:gridCol w:w="1190"/>
        <w:gridCol w:w="984"/>
        <w:gridCol w:w="1316"/>
        <w:gridCol w:w="1252"/>
        <w:gridCol w:w="1008"/>
        <w:gridCol w:w="1190"/>
      </w:tblGrid>
      <w:tr w:rsidR="000A3582" w:rsidTr="00A45385">
        <w:trPr>
          <w:trHeight w:val="763"/>
          <w:jc w:val="center"/>
        </w:trPr>
        <w:tc>
          <w:tcPr>
            <w:tcW w:w="3550" w:type="dxa"/>
            <w:vMerge w:val="restart"/>
            <w:tcBorders>
              <w:top w:val="single" w:sz="4" w:space="0" w:color="auto"/>
              <w:left w:val="single" w:sz="4" w:space="0" w:color="auto"/>
              <w:bottom w:val="single" w:sz="4" w:space="0" w:color="auto"/>
              <w:right w:val="single" w:sz="4" w:space="0" w:color="auto"/>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财政供养人员情况</w:t>
            </w:r>
          </w:p>
        </w:tc>
        <w:tc>
          <w:tcPr>
            <w:tcW w:w="2174" w:type="dxa"/>
            <w:gridSpan w:val="2"/>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宋体" w:hAnsi="宋体" w:cs="宋体"/>
                <w:b/>
                <w:bCs/>
                <w:kern w:val="0"/>
                <w:sz w:val="24"/>
              </w:rPr>
            </w:pPr>
            <w:r>
              <w:rPr>
                <w:rFonts w:ascii="宋体" w:hAnsi="宋体" w:cs="宋体" w:hint="eastAsia"/>
                <w:b/>
                <w:bCs/>
                <w:kern w:val="0"/>
                <w:sz w:val="24"/>
              </w:rPr>
              <w:t>编制数</w:t>
            </w:r>
          </w:p>
        </w:tc>
        <w:tc>
          <w:tcPr>
            <w:tcW w:w="2568" w:type="dxa"/>
            <w:gridSpan w:val="2"/>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宋体" w:hAnsi="宋体" w:cs="宋体"/>
                <w:b/>
                <w:bCs/>
                <w:kern w:val="0"/>
                <w:sz w:val="24"/>
              </w:rPr>
            </w:pPr>
            <w:r>
              <w:rPr>
                <w:rFonts w:ascii="宋体" w:hAnsi="宋体" w:cs="宋体" w:hint="eastAsia"/>
                <w:b/>
                <w:bCs/>
                <w:kern w:val="0"/>
                <w:sz w:val="24"/>
              </w:rPr>
              <w:t>2019年实际在职人数</w:t>
            </w:r>
          </w:p>
        </w:tc>
        <w:tc>
          <w:tcPr>
            <w:tcW w:w="2198" w:type="dxa"/>
            <w:gridSpan w:val="2"/>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宋体" w:hAnsi="宋体" w:cs="宋体"/>
                <w:b/>
                <w:bCs/>
                <w:kern w:val="0"/>
                <w:sz w:val="24"/>
              </w:rPr>
            </w:pPr>
            <w:r>
              <w:rPr>
                <w:rFonts w:ascii="宋体" w:hAnsi="宋体" w:cs="宋体" w:hint="eastAsia"/>
                <w:b/>
                <w:bCs/>
                <w:kern w:val="0"/>
                <w:sz w:val="24"/>
              </w:rPr>
              <w:t>控制率</w:t>
            </w:r>
          </w:p>
        </w:tc>
      </w:tr>
      <w:tr w:rsidR="000A3582" w:rsidTr="00A45385">
        <w:trPr>
          <w:trHeight w:val="177"/>
          <w:jc w:val="center"/>
        </w:trPr>
        <w:tc>
          <w:tcPr>
            <w:tcW w:w="3550" w:type="dxa"/>
            <w:vMerge/>
            <w:tcBorders>
              <w:top w:val="single" w:sz="4" w:space="0" w:color="auto"/>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p>
        </w:tc>
        <w:tc>
          <w:tcPr>
            <w:tcW w:w="2174" w:type="dxa"/>
            <w:gridSpan w:val="2"/>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3　</w:t>
            </w:r>
          </w:p>
        </w:tc>
        <w:tc>
          <w:tcPr>
            <w:tcW w:w="2568" w:type="dxa"/>
            <w:gridSpan w:val="2"/>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7　</w:t>
            </w:r>
          </w:p>
        </w:tc>
        <w:tc>
          <w:tcPr>
            <w:tcW w:w="2198" w:type="dxa"/>
            <w:gridSpan w:val="2"/>
            <w:tcBorders>
              <w:top w:val="single" w:sz="4" w:space="0" w:color="auto"/>
              <w:left w:val="nil"/>
              <w:bottom w:val="single" w:sz="4" w:space="0" w:color="auto"/>
              <w:right w:val="single" w:sz="4" w:space="0" w:color="auto"/>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0.43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经费控制情况</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b/>
                <w:bCs/>
                <w:kern w:val="0"/>
                <w:sz w:val="24"/>
              </w:rPr>
            </w:pPr>
            <w:r>
              <w:rPr>
                <w:rFonts w:ascii="宋体" w:hAnsi="宋体" w:cs="宋体" w:hint="eastAsia"/>
                <w:b/>
                <w:bCs/>
                <w:kern w:val="0"/>
                <w:sz w:val="24"/>
              </w:rPr>
              <w:t>2018年决算数</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b/>
                <w:bCs/>
                <w:kern w:val="0"/>
                <w:sz w:val="24"/>
              </w:rPr>
            </w:pPr>
            <w:r>
              <w:rPr>
                <w:rFonts w:ascii="宋体" w:hAnsi="宋体" w:cs="宋体" w:hint="eastAsia"/>
                <w:b/>
                <w:bCs/>
                <w:kern w:val="0"/>
                <w:sz w:val="24"/>
              </w:rPr>
              <w:t>2019年预算数</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b/>
                <w:bCs/>
                <w:kern w:val="0"/>
                <w:sz w:val="24"/>
              </w:rPr>
            </w:pPr>
            <w:r>
              <w:rPr>
                <w:rFonts w:ascii="宋体" w:hAnsi="宋体" w:cs="宋体" w:hint="eastAsia"/>
                <w:b/>
                <w:bCs/>
                <w:kern w:val="0"/>
                <w:sz w:val="24"/>
              </w:rPr>
              <w:t>2019年决算数</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三</w:t>
            </w:r>
            <w:proofErr w:type="gramStart"/>
            <w:r>
              <w:rPr>
                <w:rFonts w:ascii="宋体" w:hAnsi="宋体" w:cs="宋体" w:hint="eastAsia"/>
                <w:kern w:val="0"/>
                <w:sz w:val="24"/>
              </w:rPr>
              <w:t>公经费</w:t>
            </w:r>
            <w:proofErr w:type="gramEnd"/>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0.33</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2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0　</w:t>
            </w:r>
          </w:p>
        </w:tc>
      </w:tr>
      <w:tr w:rsidR="000A3582" w:rsidTr="00A45385">
        <w:trPr>
          <w:trHeight w:val="39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1、公务用车购置和维护经费</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其中：公车购置</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公车运行维护</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2、出国经费</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3、公务接待</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0.33</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2</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0</w:t>
            </w:r>
          </w:p>
        </w:tc>
      </w:tr>
      <w:tr w:rsidR="000A3582" w:rsidTr="00A45385">
        <w:trPr>
          <w:trHeight w:val="39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项目支出：</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1、业务工作专项</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1674.9239</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1127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2038.394707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2、运行维护专项</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公用经费</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273.64</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262.48</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282.799308　</w:t>
            </w:r>
          </w:p>
        </w:tc>
      </w:tr>
      <w:tr w:rsidR="000A3582" w:rsidTr="00A45385">
        <w:trPr>
          <w:trHeight w:val="39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其中：办公经费</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color w:val="FF0000"/>
                <w:kern w:val="0"/>
                <w:sz w:val="24"/>
              </w:rPr>
            </w:pPr>
            <w:r>
              <w:rPr>
                <w:rFonts w:ascii="宋体" w:hAnsi="宋体" w:cs="宋体" w:hint="eastAsia"/>
                <w:color w:val="FF0000"/>
                <w:kern w:val="0"/>
                <w:sz w:val="24"/>
              </w:rPr>
              <w:t xml:space="preserve">21.1474　</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color w:val="FF0000"/>
                <w:kern w:val="0"/>
                <w:sz w:val="24"/>
              </w:rPr>
            </w:pPr>
            <w:r>
              <w:rPr>
                <w:rFonts w:ascii="宋体" w:hAnsi="宋体" w:cs="宋体" w:hint="eastAsia"/>
                <w:color w:val="FF0000"/>
                <w:kern w:val="0"/>
                <w:sz w:val="24"/>
              </w:rPr>
              <w:t xml:space="preserve">25.97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color w:val="FF0000"/>
                <w:kern w:val="0"/>
                <w:sz w:val="24"/>
              </w:rPr>
            </w:pPr>
            <w:r>
              <w:rPr>
                <w:rFonts w:ascii="宋体" w:hAnsi="宋体" w:cs="宋体" w:hint="eastAsia"/>
                <w:color w:val="FF0000"/>
                <w:kern w:val="0"/>
                <w:sz w:val="24"/>
              </w:rPr>
              <w:t xml:space="preserve">23. 884431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水费、电费、差旅费</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color w:val="FF0000"/>
                <w:kern w:val="0"/>
                <w:sz w:val="24"/>
              </w:rPr>
            </w:pPr>
            <w:r>
              <w:rPr>
                <w:rFonts w:ascii="宋体" w:hAnsi="宋体" w:cs="宋体" w:hint="eastAsia"/>
                <w:color w:val="FF0000"/>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color w:val="FF0000"/>
                <w:kern w:val="0"/>
                <w:sz w:val="24"/>
              </w:rPr>
            </w:pPr>
            <w:r>
              <w:rPr>
                <w:rFonts w:ascii="宋体" w:hAnsi="宋体" w:cs="宋体" w:hint="eastAsia"/>
                <w:color w:val="FF0000"/>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color w:val="FF0000"/>
                <w:kern w:val="0"/>
                <w:sz w:val="24"/>
              </w:rPr>
            </w:pPr>
            <w:r>
              <w:rPr>
                <w:rFonts w:ascii="宋体" w:hAnsi="宋体" w:cs="宋体" w:hint="eastAsia"/>
                <w:color w:val="FF0000"/>
                <w:kern w:val="0"/>
                <w:sz w:val="24"/>
              </w:rPr>
              <w:t xml:space="preserve">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会议费、培训费</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color w:val="FF0000"/>
                <w:kern w:val="0"/>
                <w:sz w:val="24"/>
              </w:rPr>
            </w:pPr>
            <w:r>
              <w:rPr>
                <w:rFonts w:ascii="宋体" w:hAnsi="宋体" w:cs="宋体" w:hint="eastAsia"/>
                <w:color w:val="FF0000"/>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color w:val="FF0000"/>
                <w:kern w:val="0"/>
                <w:sz w:val="24"/>
              </w:rPr>
            </w:pPr>
            <w:r>
              <w:rPr>
                <w:rFonts w:ascii="宋体" w:hAnsi="宋体" w:cs="宋体" w:hint="eastAsia"/>
                <w:color w:val="FF0000"/>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color w:val="FF0000"/>
                <w:kern w:val="0"/>
                <w:sz w:val="24"/>
              </w:rPr>
            </w:pPr>
            <w:r>
              <w:rPr>
                <w:rFonts w:ascii="宋体" w:hAnsi="宋体" w:cs="宋体" w:hint="eastAsia"/>
                <w:color w:val="FF0000"/>
                <w:kern w:val="0"/>
                <w:sz w:val="24"/>
              </w:rPr>
              <w:t xml:space="preserve">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政府采购金额</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部门整体支出预算调整 </w:t>
            </w:r>
          </w:p>
        </w:tc>
        <w:tc>
          <w:tcPr>
            <w:tcW w:w="2174"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r>
      <w:tr w:rsidR="000A3582" w:rsidTr="00A45385">
        <w:trPr>
          <w:trHeight w:val="1154"/>
          <w:jc w:val="center"/>
        </w:trPr>
        <w:tc>
          <w:tcPr>
            <w:tcW w:w="3550" w:type="dxa"/>
            <w:vMerge w:val="restart"/>
            <w:tcBorders>
              <w:top w:val="nil"/>
              <w:left w:val="single" w:sz="4" w:space="0" w:color="auto"/>
              <w:bottom w:val="single" w:sz="4" w:space="0" w:color="auto"/>
              <w:right w:val="single" w:sz="4" w:space="0" w:color="auto"/>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楼堂馆所控制情况</w:t>
            </w:r>
            <w:r>
              <w:rPr>
                <w:rFonts w:ascii="宋体" w:hAnsi="宋体" w:cs="宋体" w:hint="eastAsia"/>
                <w:kern w:val="0"/>
                <w:sz w:val="24"/>
              </w:rPr>
              <w:br/>
              <w:t>（2019年完工项目）</w:t>
            </w:r>
          </w:p>
        </w:tc>
        <w:tc>
          <w:tcPr>
            <w:tcW w:w="1190" w:type="dxa"/>
            <w:tcBorders>
              <w:top w:val="nil"/>
              <w:left w:val="nil"/>
              <w:bottom w:val="single" w:sz="4" w:space="0" w:color="auto"/>
              <w:right w:val="single" w:sz="4" w:space="0" w:color="auto"/>
            </w:tcBorders>
            <w:vAlign w:val="center"/>
          </w:tcPr>
          <w:p w:rsidR="000A3582" w:rsidRDefault="000A3582" w:rsidP="00A45385">
            <w:pPr>
              <w:widowControl/>
              <w:jc w:val="center"/>
              <w:rPr>
                <w:rFonts w:ascii="宋体" w:hAnsi="宋体" w:cs="宋体"/>
                <w:b/>
                <w:bCs/>
                <w:kern w:val="0"/>
                <w:sz w:val="24"/>
              </w:rPr>
            </w:pPr>
            <w:r>
              <w:rPr>
                <w:rFonts w:ascii="宋体" w:hAnsi="宋体" w:cs="宋体" w:hint="eastAsia"/>
                <w:b/>
                <w:bCs/>
                <w:kern w:val="0"/>
                <w:sz w:val="24"/>
              </w:rPr>
              <w:t>批复规模</w:t>
            </w:r>
            <w:r>
              <w:rPr>
                <w:rFonts w:ascii="宋体" w:hAnsi="宋体" w:cs="宋体" w:hint="eastAsia"/>
                <w:b/>
                <w:bCs/>
                <w:kern w:val="0"/>
                <w:sz w:val="24"/>
              </w:rPr>
              <w:br/>
              <w:t>（㎡）</w:t>
            </w:r>
          </w:p>
        </w:tc>
        <w:tc>
          <w:tcPr>
            <w:tcW w:w="984" w:type="dxa"/>
            <w:tcBorders>
              <w:top w:val="nil"/>
              <w:left w:val="nil"/>
              <w:bottom w:val="single" w:sz="4" w:space="0" w:color="auto"/>
              <w:right w:val="single" w:sz="4" w:space="0" w:color="auto"/>
            </w:tcBorders>
            <w:vAlign w:val="center"/>
          </w:tcPr>
          <w:p w:rsidR="000A3582" w:rsidRDefault="000A3582" w:rsidP="00A45385">
            <w:pPr>
              <w:widowControl/>
              <w:jc w:val="center"/>
              <w:rPr>
                <w:rFonts w:ascii="宋体" w:hAnsi="宋体" w:cs="宋体"/>
                <w:b/>
                <w:bCs/>
                <w:kern w:val="0"/>
                <w:sz w:val="24"/>
              </w:rPr>
            </w:pPr>
            <w:r>
              <w:rPr>
                <w:rFonts w:ascii="宋体" w:hAnsi="宋体" w:cs="宋体" w:hint="eastAsia"/>
                <w:b/>
                <w:bCs/>
                <w:kern w:val="0"/>
                <w:sz w:val="24"/>
              </w:rPr>
              <w:t>实际规模</w:t>
            </w:r>
            <w:r>
              <w:rPr>
                <w:rFonts w:ascii="宋体" w:hAnsi="宋体" w:cs="宋体" w:hint="eastAsia"/>
                <w:b/>
                <w:bCs/>
                <w:kern w:val="0"/>
                <w:sz w:val="24"/>
              </w:rPr>
              <w:br/>
              <w:t>（㎡）</w:t>
            </w:r>
          </w:p>
        </w:tc>
        <w:tc>
          <w:tcPr>
            <w:tcW w:w="1316" w:type="dxa"/>
            <w:tcBorders>
              <w:top w:val="nil"/>
              <w:left w:val="nil"/>
              <w:bottom w:val="single" w:sz="4" w:space="0" w:color="auto"/>
              <w:right w:val="single" w:sz="4" w:space="0" w:color="auto"/>
            </w:tcBorders>
            <w:vAlign w:val="center"/>
          </w:tcPr>
          <w:p w:rsidR="000A3582" w:rsidRDefault="000A3582" w:rsidP="00A45385">
            <w:pPr>
              <w:widowControl/>
              <w:jc w:val="center"/>
              <w:rPr>
                <w:rFonts w:ascii="宋体" w:hAnsi="宋体" w:cs="宋体"/>
                <w:b/>
                <w:bCs/>
                <w:kern w:val="0"/>
                <w:sz w:val="24"/>
              </w:rPr>
            </w:pPr>
            <w:r>
              <w:rPr>
                <w:rFonts w:ascii="宋体" w:hAnsi="宋体" w:cs="宋体" w:hint="eastAsia"/>
                <w:b/>
                <w:bCs/>
                <w:kern w:val="0"/>
                <w:sz w:val="24"/>
              </w:rPr>
              <w:t>规模控制率</w:t>
            </w:r>
          </w:p>
        </w:tc>
        <w:tc>
          <w:tcPr>
            <w:tcW w:w="1252" w:type="dxa"/>
            <w:tcBorders>
              <w:top w:val="nil"/>
              <w:left w:val="nil"/>
              <w:bottom w:val="single" w:sz="4" w:space="0" w:color="auto"/>
              <w:right w:val="single" w:sz="4" w:space="0" w:color="auto"/>
            </w:tcBorders>
            <w:vAlign w:val="center"/>
          </w:tcPr>
          <w:p w:rsidR="000A3582" w:rsidRDefault="000A3582" w:rsidP="00A45385">
            <w:pPr>
              <w:widowControl/>
              <w:jc w:val="center"/>
              <w:rPr>
                <w:rFonts w:ascii="宋体" w:hAnsi="宋体" w:cs="宋体"/>
                <w:b/>
                <w:bCs/>
                <w:kern w:val="0"/>
                <w:sz w:val="24"/>
              </w:rPr>
            </w:pPr>
            <w:r>
              <w:rPr>
                <w:rFonts w:ascii="宋体" w:hAnsi="宋体" w:cs="宋体" w:hint="eastAsia"/>
                <w:b/>
                <w:bCs/>
                <w:kern w:val="0"/>
                <w:sz w:val="24"/>
              </w:rPr>
              <w:t>预算投资</w:t>
            </w:r>
            <w:r>
              <w:rPr>
                <w:rFonts w:ascii="宋体" w:hAnsi="宋体" w:cs="宋体" w:hint="eastAsia"/>
                <w:b/>
                <w:bCs/>
                <w:kern w:val="0"/>
                <w:sz w:val="24"/>
              </w:rPr>
              <w:br/>
              <w:t>（万元）</w:t>
            </w:r>
          </w:p>
        </w:tc>
        <w:tc>
          <w:tcPr>
            <w:tcW w:w="1008" w:type="dxa"/>
            <w:tcBorders>
              <w:top w:val="nil"/>
              <w:left w:val="nil"/>
              <w:bottom w:val="single" w:sz="4" w:space="0" w:color="auto"/>
              <w:right w:val="single" w:sz="4" w:space="0" w:color="auto"/>
            </w:tcBorders>
            <w:vAlign w:val="center"/>
          </w:tcPr>
          <w:p w:rsidR="000A3582" w:rsidRDefault="000A3582" w:rsidP="00A45385">
            <w:pPr>
              <w:widowControl/>
              <w:jc w:val="center"/>
              <w:rPr>
                <w:rFonts w:ascii="宋体" w:hAnsi="宋体" w:cs="宋体"/>
                <w:b/>
                <w:bCs/>
                <w:kern w:val="0"/>
                <w:sz w:val="24"/>
              </w:rPr>
            </w:pPr>
            <w:r>
              <w:rPr>
                <w:rFonts w:ascii="宋体" w:hAnsi="宋体" w:cs="宋体" w:hint="eastAsia"/>
                <w:b/>
                <w:bCs/>
                <w:kern w:val="0"/>
                <w:sz w:val="24"/>
              </w:rPr>
              <w:t>实际投资</w:t>
            </w:r>
            <w:r>
              <w:rPr>
                <w:rFonts w:ascii="宋体" w:hAnsi="宋体" w:cs="宋体" w:hint="eastAsia"/>
                <w:b/>
                <w:bCs/>
                <w:kern w:val="0"/>
                <w:sz w:val="24"/>
              </w:rPr>
              <w:br/>
              <w:t>（万元）</w:t>
            </w:r>
          </w:p>
        </w:tc>
        <w:tc>
          <w:tcPr>
            <w:tcW w:w="1190" w:type="dxa"/>
            <w:tcBorders>
              <w:top w:val="nil"/>
              <w:left w:val="nil"/>
              <w:bottom w:val="single" w:sz="4" w:space="0" w:color="auto"/>
              <w:right w:val="single" w:sz="4" w:space="0" w:color="auto"/>
            </w:tcBorders>
            <w:vAlign w:val="center"/>
          </w:tcPr>
          <w:p w:rsidR="000A3582" w:rsidRDefault="000A3582" w:rsidP="00A45385">
            <w:pPr>
              <w:widowControl/>
              <w:jc w:val="center"/>
              <w:rPr>
                <w:rFonts w:ascii="宋体" w:hAnsi="宋体" w:cs="宋体"/>
                <w:b/>
                <w:bCs/>
                <w:kern w:val="0"/>
                <w:sz w:val="24"/>
              </w:rPr>
            </w:pPr>
            <w:r>
              <w:rPr>
                <w:rFonts w:ascii="宋体" w:hAnsi="宋体" w:cs="宋体" w:hint="eastAsia"/>
                <w:b/>
                <w:bCs/>
                <w:kern w:val="0"/>
                <w:sz w:val="24"/>
              </w:rPr>
              <w:t>投资概算控制率</w:t>
            </w:r>
          </w:p>
        </w:tc>
      </w:tr>
      <w:tr w:rsidR="000A3582" w:rsidTr="00A45385">
        <w:trPr>
          <w:trHeight w:val="177"/>
          <w:jc w:val="center"/>
        </w:trPr>
        <w:tc>
          <w:tcPr>
            <w:tcW w:w="3550" w:type="dxa"/>
            <w:vMerge/>
            <w:tcBorders>
              <w:top w:val="nil"/>
              <w:left w:val="single" w:sz="4" w:space="0" w:color="auto"/>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p>
        </w:tc>
        <w:tc>
          <w:tcPr>
            <w:tcW w:w="1190" w:type="dxa"/>
            <w:tcBorders>
              <w:top w:val="nil"/>
              <w:left w:val="nil"/>
              <w:bottom w:val="single" w:sz="4" w:space="0" w:color="auto"/>
              <w:right w:val="single" w:sz="4" w:space="0" w:color="auto"/>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　</w:t>
            </w:r>
          </w:p>
        </w:tc>
        <w:tc>
          <w:tcPr>
            <w:tcW w:w="984"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w:t>
            </w:r>
          </w:p>
        </w:tc>
        <w:tc>
          <w:tcPr>
            <w:tcW w:w="1316"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w:t>
            </w:r>
          </w:p>
        </w:tc>
        <w:tc>
          <w:tcPr>
            <w:tcW w:w="1252"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w:t>
            </w:r>
          </w:p>
        </w:tc>
        <w:tc>
          <w:tcPr>
            <w:tcW w:w="1008"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w:t>
            </w:r>
          </w:p>
        </w:tc>
        <w:tc>
          <w:tcPr>
            <w:tcW w:w="1190" w:type="dxa"/>
            <w:tcBorders>
              <w:top w:val="nil"/>
              <w:left w:val="nil"/>
              <w:bottom w:val="single" w:sz="4" w:space="0" w:color="auto"/>
              <w:right w:val="single" w:sz="4" w:space="0" w:color="auto"/>
            </w:tcBorders>
            <w:vAlign w:val="center"/>
          </w:tcPr>
          <w:p w:rsidR="000A3582" w:rsidRDefault="000A3582" w:rsidP="00A45385">
            <w:pPr>
              <w:widowControl/>
              <w:jc w:val="left"/>
              <w:rPr>
                <w:rFonts w:ascii="宋体" w:hAnsi="宋体" w:cs="宋体"/>
                <w:kern w:val="0"/>
                <w:sz w:val="24"/>
              </w:rPr>
            </w:pPr>
            <w:r>
              <w:rPr>
                <w:rFonts w:ascii="宋体" w:hAnsi="宋体" w:cs="宋体" w:hint="eastAsia"/>
                <w:kern w:val="0"/>
                <w:sz w:val="24"/>
              </w:rPr>
              <w:t xml:space="preserve">　</w:t>
            </w:r>
          </w:p>
        </w:tc>
      </w:tr>
      <w:tr w:rsidR="000A3582" w:rsidTr="00A45385">
        <w:trPr>
          <w:trHeight w:val="371"/>
          <w:jc w:val="center"/>
        </w:trPr>
        <w:tc>
          <w:tcPr>
            <w:tcW w:w="3550" w:type="dxa"/>
            <w:tcBorders>
              <w:top w:val="nil"/>
              <w:left w:val="single" w:sz="4" w:space="0" w:color="auto"/>
              <w:bottom w:val="single" w:sz="4" w:space="0" w:color="auto"/>
              <w:right w:val="single" w:sz="4" w:space="0" w:color="auto"/>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厉行节约保障措施</w:t>
            </w:r>
          </w:p>
        </w:tc>
        <w:tc>
          <w:tcPr>
            <w:tcW w:w="6940" w:type="dxa"/>
            <w:gridSpan w:val="6"/>
            <w:tcBorders>
              <w:top w:val="single" w:sz="4" w:space="0" w:color="auto"/>
              <w:left w:val="nil"/>
              <w:bottom w:val="single" w:sz="4" w:space="0" w:color="auto"/>
              <w:right w:val="single" w:sz="4" w:space="0" w:color="000000"/>
            </w:tcBorders>
            <w:vAlign w:val="center"/>
          </w:tcPr>
          <w:p w:rsidR="000A3582" w:rsidRDefault="000A3582" w:rsidP="00A45385">
            <w:pPr>
              <w:widowControl/>
              <w:jc w:val="center"/>
              <w:rPr>
                <w:rFonts w:ascii="宋体" w:hAnsi="宋体" w:cs="宋体"/>
                <w:kern w:val="0"/>
                <w:sz w:val="24"/>
              </w:rPr>
            </w:pPr>
            <w:r>
              <w:rPr>
                <w:rFonts w:ascii="宋体" w:hAnsi="宋体" w:cs="宋体" w:hint="eastAsia"/>
                <w:kern w:val="0"/>
                <w:sz w:val="24"/>
              </w:rPr>
              <w:t xml:space="preserve">严抓工作作风，严格经费审批把关　</w:t>
            </w:r>
          </w:p>
        </w:tc>
      </w:tr>
      <w:tr w:rsidR="000A3582" w:rsidTr="00A45385">
        <w:trPr>
          <w:trHeight w:val="700"/>
          <w:jc w:val="center"/>
        </w:trPr>
        <w:tc>
          <w:tcPr>
            <w:tcW w:w="10490" w:type="dxa"/>
            <w:gridSpan w:val="7"/>
            <w:tcBorders>
              <w:top w:val="single" w:sz="4" w:space="0" w:color="auto"/>
              <w:left w:val="nil"/>
              <w:bottom w:val="nil"/>
              <w:right w:val="nil"/>
            </w:tcBorders>
            <w:vAlign w:val="center"/>
          </w:tcPr>
          <w:p w:rsidR="000A3582" w:rsidRDefault="000A3582" w:rsidP="00A45385">
            <w:pPr>
              <w:widowControl/>
              <w:jc w:val="left"/>
              <w:rPr>
                <w:rFonts w:ascii="宋体" w:hAnsi="宋体" w:cs="宋体"/>
                <w:kern w:val="0"/>
                <w:sz w:val="22"/>
                <w:szCs w:val="22"/>
              </w:rPr>
            </w:pPr>
            <w:r>
              <w:rPr>
                <w:rFonts w:ascii="宋体" w:hAnsi="宋体" w:cs="宋体" w:hint="eastAsia"/>
                <w:kern w:val="0"/>
                <w:sz w:val="22"/>
                <w:szCs w:val="22"/>
              </w:rPr>
              <w:t>说明：“项目支出”需要填报除专项资金和基本支出以外的所有项目情况，包括业务工作项目、运行维护项目等；“公用经费”填报基本支出中的一般商品和服务支出。</w:t>
            </w:r>
          </w:p>
        </w:tc>
      </w:tr>
    </w:tbl>
    <w:p w:rsidR="00E76682" w:rsidRPr="000A3582" w:rsidRDefault="001635C4">
      <w:bookmarkStart w:id="0" w:name="_GoBack"/>
      <w:bookmarkEnd w:id="0"/>
    </w:p>
    <w:sectPr w:rsidR="00E76682" w:rsidRPr="000A35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C4" w:rsidRDefault="001635C4" w:rsidP="000A3582">
      <w:r>
        <w:separator/>
      </w:r>
    </w:p>
  </w:endnote>
  <w:endnote w:type="continuationSeparator" w:id="0">
    <w:p w:rsidR="001635C4" w:rsidRDefault="001635C4" w:rsidP="000A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C4" w:rsidRDefault="001635C4" w:rsidP="000A3582">
      <w:r>
        <w:separator/>
      </w:r>
    </w:p>
  </w:footnote>
  <w:footnote w:type="continuationSeparator" w:id="0">
    <w:p w:rsidR="001635C4" w:rsidRDefault="001635C4" w:rsidP="000A3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4E"/>
    <w:rsid w:val="000A3582"/>
    <w:rsid w:val="000B1AC0"/>
    <w:rsid w:val="001635C4"/>
    <w:rsid w:val="00870B4E"/>
    <w:rsid w:val="00F82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5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A3582"/>
    <w:rPr>
      <w:sz w:val="18"/>
      <w:szCs w:val="18"/>
    </w:rPr>
  </w:style>
  <w:style w:type="paragraph" w:styleId="a4">
    <w:name w:val="footer"/>
    <w:basedOn w:val="a"/>
    <w:link w:val="Char0"/>
    <w:uiPriority w:val="99"/>
    <w:unhideWhenUsed/>
    <w:rsid w:val="000A35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A35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5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5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A3582"/>
    <w:rPr>
      <w:sz w:val="18"/>
      <w:szCs w:val="18"/>
    </w:rPr>
  </w:style>
  <w:style w:type="paragraph" w:styleId="a4">
    <w:name w:val="footer"/>
    <w:basedOn w:val="a"/>
    <w:link w:val="Char0"/>
    <w:uiPriority w:val="99"/>
    <w:unhideWhenUsed/>
    <w:rsid w:val="000A35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A35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2460</Characters>
  <Application>Microsoft Office Word</Application>
  <DocSecurity>0</DocSecurity>
  <Lines>20</Lines>
  <Paragraphs>5</Paragraphs>
  <ScaleCrop>false</ScaleCrop>
  <Company>Lenovo</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qmj</dc:creator>
  <cp:keywords/>
  <dc:description/>
  <cp:lastModifiedBy>qmj</cp:lastModifiedBy>
  <cp:revision>2</cp:revision>
  <dcterms:created xsi:type="dcterms:W3CDTF">2020-09-03T08:00:00Z</dcterms:created>
  <dcterms:modified xsi:type="dcterms:W3CDTF">2020-09-03T08:00:00Z</dcterms:modified>
</cp:coreProperties>
</file>