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pacing w:val="-6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pacing w:val="-6"/>
          <w:sz w:val="32"/>
          <w:szCs w:val="32"/>
        </w:rPr>
        <w:t>附件3</w:t>
      </w:r>
      <w:r>
        <w:rPr>
          <w:rFonts w:hint="eastAsia" w:ascii="Times New Roman" w:hAnsi="Times New Roman" w:eastAsia="黑体" w:cs="Times New Roman"/>
          <w:spacing w:val="-6"/>
          <w:sz w:val="32"/>
          <w:szCs w:val="32"/>
          <w:lang w:eastAsia="zh-CN"/>
        </w:rPr>
        <w:t>：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2021年省重点民生实事残疾儿童康复救助项目验收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标准</w:t>
      </w:r>
    </w:p>
    <w:bookmarkEnd w:id="0"/>
    <w:tbl>
      <w:tblPr>
        <w:tblStyle w:val="3"/>
        <w:tblW w:w="49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8"/>
        <w:gridCol w:w="4199"/>
        <w:gridCol w:w="1139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考核项目</w:t>
            </w: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2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评分标准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 xml:space="preserve">方式 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综合得分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zh-CN"/>
              </w:rPr>
              <w:t>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zh-CN"/>
              </w:rPr>
              <w:t>部署</w:t>
            </w: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4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  <w:t>分</w:t>
            </w:r>
          </w:p>
        </w:tc>
        <w:tc>
          <w:tcPr>
            <w:tcW w:w="2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1.制定实施方案2分；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2.通过会议或者培训等方式进行安排部署2分。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查看资料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听取汇报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zh-CN"/>
              </w:rPr>
              <w:t>完善制度</w:t>
            </w: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zh-CN"/>
              </w:rPr>
              <w:t>分</w:t>
            </w:r>
          </w:p>
        </w:tc>
        <w:tc>
          <w:tcPr>
            <w:tcW w:w="2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完善配套制度（救助资金结算办法等）5分。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未出台的按比例扣分。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查看资料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zh-CN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zh-CN"/>
              </w:rPr>
              <w:t>保障</w:t>
            </w: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zh-CN"/>
              </w:rPr>
              <w:t>10分</w:t>
            </w:r>
          </w:p>
        </w:tc>
        <w:tc>
          <w:tcPr>
            <w:tcW w:w="2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1.救助资金纳入财政预算足额安排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6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2.与定点康复机构签订资金拨付协议，并及时拨付资金4分。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查看资料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项目管理及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质量</w:t>
            </w: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55分</w:t>
            </w:r>
          </w:p>
        </w:tc>
        <w:tc>
          <w:tcPr>
            <w:tcW w:w="2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1.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全面完成目标任务人数（救助对象符合条件、按时输送受助对象到定点康复机构、按服务指南流程训练、人均训满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个月时间）2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5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2.康复训练总有效率≥85%（第三方评估与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随机抽取机构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儿童现场评估相结合）10分；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lang w:val="zh-CN"/>
              </w:rPr>
              <w:t>3.家长/亲友培训率≥98%（家长学校工作开展等）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lang w:val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lang w:val="zh-CN"/>
              </w:rPr>
              <w:t>4.参加有组织的儿童集体娱乐活动等社会适应活动≥2次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lang w:val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lang w:val="zh-CN"/>
              </w:rPr>
              <w:t>5.家长满意度≥80%（第三方评估与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</w:rPr>
              <w:t>随机抽取家长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lang w:val="zh-CN"/>
              </w:rPr>
              <w:t>现场访谈结合）5分。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</w:rPr>
              <w:t>6.各地自主开展绩效评价；认真迎接上级部门对上一年度专项资金绩效评价，自查整改到位，评价中无扣分因素，5分。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</w:rPr>
              <w:t>7.未出现因工作机制不健全、服务不到位导致的残疾儿童监护人信访现象，2分。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听取汇报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查看资料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现场评估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实地走访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电话访问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宣传</w:t>
            </w: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7分</w:t>
            </w:r>
          </w:p>
        </w:tc>
        <w:tc>
          <w:tcPr>
            <w:tcW w:w="2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.省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级以上主流媒体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发表不少于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3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篇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新闻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报道3分；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少一篇扣1分。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2.市级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主流媒体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发表不少于10篇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新闻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报道4分，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篇数不足的按比例扣分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。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查看资料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上报</w:t>
            </w: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10分</w:t>
            </w:r>
          </w:p>
        </w:tc>
        <w:tc>
          <w:tcPr>
            <w:tcW w:w="2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1.按时上报工作方案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2.按时上报实事进度及相关表格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3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分；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迟报、错报一次扣0.5分，扣完为止。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3.及时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规范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录入残疾儿童康复救助综合管理平台系统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3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分；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每季度检查一次，录入数少于实际救助数每次扣0.5分，录入不规范的每次扣0.1分。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4.按</w:t>
            </w:r>
            <w:r>
              <w:rPr>
                <w:rFonts w:hint="default" w:ascii="Times New Roman" w:hAnsi="Times New Roman" w:eastAsia="仿宋" w:cs="Times New Roman"/>
                <w:spacing w:val="-8"/>
                <w:kern w:val="0"/>
                <w:szCs w:val="21"/>
                <w:lang w:val="zh-CN"/>
              </w:rPr>
              <w:t>时上报工作中期总结及全年总结、</w:t>
            </w:r>
            <w:r>
              <w:rPr>
                <w:rFonts w:hint="default" w:ascii="Times New Roman" w:hAnsi="Times New Roman" w:eastAsia="仿宋" w:cs="Times New Roman"/>
                <w:spacing w:val="-8"/>
                <w:kern w:val="0"/>
                <w:szCs w:val="21"/>
              </w:rPr>
              <w:t>典型案例及图片</w:t>
            </w:r>
            <w:r>
              <w:rPr>
                <w:rFonts w:hint="default" w:ascii="Times New Roman" w:hAnsi="Times New Roman" w:eastAsia="仿宋" w:cs="Times New Roman"/>
                <w:spacing w:val="-8"/>
                <w:kern w:val="0"/>
                <w:szCs w:val="21"/>
                <w:lang w:val="zh-CN"/>
              </w:rPr>
              <w:t>3分。</w:t>
            </w:r>
            <w:r>
              <w:rPr>
                <w:rFonts w:hint="default" w:ascii="Times New Roman" w:hAnsi="Times New Roman" w:eastAsia="仿宋" w:cs="Times New Roman"/>
                <w:spacing w:val="-8"/>
                <w:kern w:val="0"/>
                <w:szCs w:val="21"/>
              </w:rPr>
              <w:t>迟报一次扣0.5分，上报典型案例及图片不符合要求每例扣0.1分。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纸质资料以邮戳、电子资料以发送日期为准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管理</w:t>
            </w: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9分</w:t>
            </w:r>
          </w:p>
        </w:tc>
        <w:tc>
          <w:tcPr>
            <w:tcW w:w="2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1.方案、计划、审批表、进度表、花名册、总结等反映康复救助实施情况的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档案资料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信息完备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分类存档，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整齐规范8分；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2.制作了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宣传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画册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分。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查看资料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电话访问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小计</w:t>
            </w: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kern w:val="0"/>
                <w:sz w:val="24"/>
              </w:rPr>
              <w:t>100分</w:t>
            </w:r>
          </w:p>
        </w:tc>
        <w:tc>
          <w:tcPr>
            <w:tcW w:w="2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————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——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加分项</w:t>
            </w: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10分</w:t>
            </w:r>
          </w:p>
        </w:tc>
        <w:tc>
          <w:tcPr>
            <w:tcW w:w="2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1.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val="zh-CN"/>
              </w:rPr>
              <w:t>超额完成任务目标每增加10%加1分，最多不超过3分；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2.疫情防控及线上线下康复训练转换衔接反应快、措施有力（以文件和成效为准）2分。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3.抓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val="zh-CN"/>
              </w:rPr>
              <w:t>定点机构内部管理创新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有突破3分。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4.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val="zh-CN"/>
              </w:rPr>
              <w:t>其他创新性特色做法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val="zh-CN"/>
              </w:rPr>
              <w:t>分。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查看资料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合计</w:t>
            </w: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——</w:t>
            </w:r>
          </w:p>
        </w:tc>
        <w:tc>
          <w:tcPr>
            <w:tcW w:w="2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————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zh-CN"/>
              </w:rPr>
              <w:t>——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仿宋" w:cs="Times New Roman"/>
          <w:spacing w:val="-6"/>
          <w:sz w:val="24"/>
          <w:szCs w:val="24"/>
        </w:rPr>
      </w:pP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56" w:firstLineChars="200"/>
        <w:textAlignment w:val="auto"/>
        <w:rPr>
          <w:rFonts w:hint="default" w:ascii="Times New Roman" w:hAnsi="Times New Roman" w:eastAsia="仿宋" w:cs="Times New Roman"/>
          <w:color w:val="000000"/>
          <w:spacing w:val="-6"/>
          <w:sz w:val="24"/>
          <w:szCs w:val="24"/>
        </w:rPr>
      </w:pP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>1</w:t>
      </w:r>
      <w:r>
        <w:rPr>
          <w:rFonts w:hint="eastAsia" w:eastAsia="仿宋" w:cs="Times New Roman"/>
          <w:spacing w:val="-6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>评估验收结果：优秀，评分结果≥90分；良好，80分≤评分结果&lt;90分；合格，</w:t>
      </w:r>
      <w:r>
        <w:rPr>
          <w:rFonts w:hint="default" w:ascii="Times New Roman" w:hAnsi="Times New Roman" w:eastAsia="仿宋" w:cs="Times New Roman"/>
          <w:color w:val="000000"/>
          <w:spacing w:val="-6"/>
          <w:sz w:val="24"/>
          <w:szCs w:val="24"/>
        </w:rPr>
        <w:t>70分≤评分结果&lt;80分；不合格，评分结果&lt;70分。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56" w:firstLineChars="200"/>
        <w:textAlignment w:val="auto"/>
        <w:rPr>
          <w:rFonts w:hint="default" w:ascii="Times New Roman" w:hAnsi="Times New Roman" w:eastAsia="仿宋" w:cs="Times New Roman"/>
          <w:spacing w:val="-6"/>
          <w:sz w:val="24"/>
          <w:szCs w:val="24"/>
        </w:rPr>
      </w:pP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>2</w:t>
      </w:r>
      <w:r>
        <w:rPr>
          <w:rFonts w:hint="eastAsia" w:eastAsia="仿宋" w:cs="Times New Roman"/>
          <w:spacing w:val="-6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>一票否决：未完成目标任务</w:t>
      </w:r>
      <w:r>
        <w:rPr>
          <w:rFonts w:hint="default" w:ascii="Times New Roman" w:hAnsi="Times New Roman" w:eastAsia="仿宋" w:cs="Times New Roman"/>
          <w:color w:val="000000"/>
          <w:spacing w:val="-6"/>
          <w:sz w:val="24"/>
          <w:szCs w:val="24"/>
        </w:rPr>
        <w:t>人数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>；虚报救助对象骗取救助资金；发生重大安全事故；歧视、虐待儿童等现象造成不良社会影响的，直接评定不合格。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56" w:firstLineChars="200"/>
        <w:textAlignment w:val="auto"/>
      </w:pPr>
      <w:r>
        <w:rPr>
          <w:rFonts w:hint="default" w:ascii="Times New Roman" w:hAnsi="Times New Roman" w:eastAsia="仿宋" w:cs="Times New Roman"/>
          <w:color w:val="000000"/>
          <w:spacing w:val="-6"/>
          <w:sz w:val="24"/>
          <w:szCs w:val="24"/>
        </w:rPr>
        <w:t>3</w:t>
      </w:r>
      <w:r>
        <w:rPr>
          <w:rFonts w:hint="eastAsia" w:eastAsia="仿宋" w:cs="Times New Roman"/>
          <w:color w:val="000000"/>
          <w:spacing w:val="-6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eastAsia="仿宋" w:cs="Times New Roman"/>
          <w:spacing w:val="-6"/>
          <w:sz w:val="24"/>
          <w:szCs w:val="24"/>
        </w:rPr>
        <w:t>康复训练档案：机构采用录入残疾儿童康复训练档案系统电子平台的，不需再提供纸质档案</w:t>
      </w:r>
      <w:r>
        <w:rPr>
          <w:rFonts w:hint="eastAsia" w:eastAsia="仿宋" w:cs="Times New Roman"/>
          <w:spacing w:val="-6"/>
          <w:sz w:val="24"/>
          <w:szCs w:val="24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75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2021-10-29T06:31:24Z</dcterms:created>
  <dc:creator>HP</dc:creator>
  <cp:lastModifiedBy>海精灵</cp:lastModifiedBy>
  <dcterms:modified xsi:type="dcterms:W3CDTF">2021-10-29T06:34:04Z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