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40" w:lineRule="exact"/>
        <w:jc w:val="center"/>
        <w:rPr>
          <w:sz w:val="56"/>
          <w:szCs w:val="56"/>
        </w:rPr>
      </w:pPr>
    </w:p>
    <w:p>
      <w:pPr>
        <w:pStyle w:val="4"/>
        <w:spacing w:line="520" w:lineRule="exact"/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目录</w:t>
      </w:r>
    </w:p>
    <w:p>
      <w:pPr>
        <w:pStyle w:val="4"/>
        <w:spacing w:line="52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第一部分</w:t>
      </w:r>
      <w:r>
        <w:rPr>
          <w:rFonts w:hint="eastAsia"/>
          <w:b/>
          <w:sz w:val="28"/>
          <w:szCs w:val="28"/>
          <w:lang w:val="en-US" w:eastAsia="zh-CN"/>
        </w:rPr>
        <w:t>团区委</w:t>
      </w:r>
      <w:r>
        <w:rPr>
          <w:rFonts w:hint="eastAsia"/>
          <w:b/>
          <w:sz w:val="28"/>
          <w:szCs w:val="28"/>
        </w:rPr>
        <w:t>概况</w:t>
      </w:r>
    </w:p>
    <w:p>
      <w:pPr>
        <w:pStyle w:val="4"/>
        <w:spacing w:line="520" w:lineRule="exact"/>
        <w:ind w:firstLine="700" w:firstLineChars="250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一、部门职责</w:t>
      </w:r>
    </w:p>
    <w:p>
      <w:pPr>
        <w:pStyle w:val="4"/>
        <w:spacing w:line="520" w:lineRule="exact"/>
        <w:ind w:firstLine="700" w:firstLineChars="250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二、机构设置</w:t>
      </w:r>
    </w:p>
    <w:p>
      <w:pPr>
        <w:pStyle w:val="4"/>
        <w:spacing w:line="52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 w:hAnsi="仿宋_GB2312"/>
          <w:b/>
          <w:sz w:val="28"/>
          <w:szCs w:val="28"/>
        </w:rPr>
        <w:t>第二部分</w:t>
      </w:r>
      <w:r>
        <w:rPr>
          <w:rFonts w:hAnsi="仿宋_GB2312"/>
          <w:b/>
          <w:sz w:val="28"/>
          <w:szCs w:val="28"/>
        </w:rPr>
        <w:t>2019</w:t>
      </w:r>
      <w:r>
        <w:rPr>
          <w:rFonts w:hint="eastAsia" w:hAnsi="仿宋_GB2312"/>
          <w:b/>
          <w:sz w:val="28"/>
          <w:szCs w:val="28"/>
        </w:rPr>
        <w:t>年度部门决算表（见附件）</w:t>
      </w:r>
    </w:p>
    <w:p>
      <w:pPr>
        <w:pStyle w:val="4"/>
        <w:spacing w:line="520" w:lineRule="exact"/>
        <w:ind w:firstLine="700" w:firstLineChars="250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一、收入支出决算总表</w:t>
      </w:r>
    </w:p>
    <w:p>
      <w:pPr>
        <w:pStyle w:val="4"/>
        <w:spacing w:line="520" w:lineRule="exact"/>
        <w:ind w:firstLine="700" w:firstLineChars="250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二、收入决算表</w:t>
      </w:r>
    </w:p>
    <w:p>
      <w:pPr>
        <w:pStyle w:val="4"/>
        <w:spacing w:line="520" w:lineRule="exact"/>
        <w:ind w:firstLine="700" w:firstLineChars="250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三、支出决算表</w:t>
      </w:r>
    </w:p>
    <w:p>
      <w:pPr>
        <w:pStyle w:val="4"/>
        <w:spacing w:line="520" w:lineRule="exact"/>
        <w:ind w:firstLine="700" w:firstLineChars="250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四、财政拨款收入支出决算总表</w:t>
      </w:r>
    </w:p>
    <w:p>
      <w:pPr>
        <w:pStyle w:val="4"/>
        <w:spacing w:line="520" w:lineRule="exact"/>
        <w:ind w:firstLine="700" w:firstLineChars="250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五、一般公共预算财政拨款支出决算表</w:t>
      </w:r>
    </w:p>
    <w:p>
      <w:pPr>
        <w:pStyle w:val="4"/>
        <w:spacing w:line="520" w:lineRule="exact"/>
        <w:ind w:firstLine="700" w:firstLineChars="250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六、一般公共预算财政拨款基本支出决算表</w:t>
      </w:r>
    </w:p>
    <w:p>
      <w:pPr>
        <w:pStyle w:val="4"/>
        <w:spacing w:line="520" w:lineRule="exact"/>
        <w:ind w:firstLine="700" w:firstLineChars="250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七</w:t>
      </w:r>
      <w:r>
        <w:rPr>
          <w:rFonts w:ascii="宋体" w:hAnsi="宋体" w:eastAsia="宋体" w:cs="仿宋_GB2312"/>
          <w:sz w:val="28"/>
          <w:szCs w:val="28"/>
        </w:rPr>
        <w:t>、政府性基金预算财政拨款收入支出决算表</w:t>
      </w:r>
    </w:p>
    <w:p>
      <w:pPr>
        <w:pStyle w:val="4"/>
        <w:spacing w:line="520" w:lineRule="exact"/>
        <w:ind w:firstLine="700" w:firstLineChars="250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八</w:t>
      </w:r>
      <w:r>
        <w:rPr>
          <w:rFonts w:ascii="宋体" w:hAnsi="宋体" w:eastAsia="宋体" w:cs="仿宋_GB2312"/>
          <w:sz w:val="28"/>
          <w:szCs w:val="28"/>
        </w:rPr>
        <w:t>、一般公共预算财政拨款“三公”经费支出决算表</w:t>
      </w:r>
    </w:p>
    <w:p>
      <w:pPr>
        <w:pStyle w:val="4"/>
        <w:spacing w:line="52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 w:hAnsi="仿宋_GB2312"/>
          <w:b/>
          <w:sz w:val="28"/>
          <w:szCs w:val="28"/>
        </w:rPr>
        <w:t>第三部分</w:t>
      </w:r>
      <w:r>
        <w:rPr>
          <w:rFonts w:hAnsi="仿宋_GB2312"/>
          <w:b/>
          <w:sz w:val="28"/>
          <w:szCs w:val="28"/>
        </w:rPr>
        <w:t>2019</w:t>
      </w:r>
      <w:r>
        <w:rPr>
          <w:rFonts w:hint="eastAsia" w:hAnsi="仿宋_GB2312"/>
          <w:b/>
          <w:sz w:val="28"/>
          <w:szCs w:val="28"/>
        </w:rPr>
        <w:t>年度部门决算情况说明</w:t>
      </w:r>
    </w:p>
    <w:p>
      <w:pPr>
        <w:pStyle w:val="4"/>
        <w:spacing w:line="520" w:lineRule="exact"/>
        <w:ind w:firstLine="700" w:firstLineChars="250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一、收入支出决算总体情况说明</w:t>
      </w:r>
    </w:p>
    <w:p>
      <w:pPr>
        <w:spacing w:line="520" w:lineRule="exact"/>
        <w:ind w:firstLine="700" w:firstLineChars="25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二、收入决算情况说明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三、支出决算情况说明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四、财政拨款收入支出决算总体情况说明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五、一般公共预算财政拨款支出决算情况说明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六、一般公共预算财政拨款基本支出决算情况说明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  <w:lang w:eastAsia="zh-CN"/>
        </w:rPr>
        <w:t>七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政府性基金预算收入支出决算情况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  <w:lang w:eastAsia="zh-CN"/>
        </w:rPr>
        <w:t>八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、一般公共预算财政拨款三公经费支出决算情况说明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九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、预算绩效情况说明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十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、其他重要事项情况说明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黑体" w:hAnsi="黑体" w:eastAsia="黑体" w:cs="仿宋_GB2312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黑体"/>
          <w:b/>
          <w:color w:val="000000"/>
          <w:kern w:val="0"/>
          <w:sz w:val="28"/>
          <w:szCs w:val="28"/>
        </w:rPr>
        <w:t>第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四</w:t>
      </w:r>
      <w:r>
        <w:rPr>
          <w:rFonts w:ascii="黑体" w:hAnsi="黑体" w:eastAsia="黑体" w:cs="黑体"/>
          <w:b/>
          <w:color w:val="000000"/>
          <w:kern w:val="0"/>
          <w:sz w:val="28"/>
          <w:szCs w:val="28"/>
        </w:rPr>
        <w:t>部分名词解释</w:t>
      </w:r>
    </w:p>
    <w:p>
      <w:pPr>
        <w:pStyle w:val="4"/>
        <w:spacing w:line="520" w:lineRule="exact"/>
        <w:rPr>
          <w:rFonts w:hAnsi="黑体" w:cs="仿宋_GB2312"/>
          <w:b/>
          <w:sz w:val="28"/>
          <w:szCs w:val="28"/>
        </w:rPr>
      </w:pPr>
      <w:r>
        <w:rPr>
          <w:rFonts w:hAnsi="仿宋_GB2312"/>
          <w:b/>
          <w:sz w:val="28"/>
          <w:szCs w:val="28"/>
        </w:rPr>
        <w:t>第</w:t>
      </w:r>
      <w:r>
        <w:rPr>
          <w:rFonts w:hint="eastAsia" w:hAnsi="仿宋_GB2312"/>
          <w:b/>
          <w:sz w:val="28"/>
          <w:szCs w:val="28"/>
        </w:rPr>
        <w:t>五</w:t>
      </w:r>
      <w:r>
        <w:rPr>
          <w:rFonts w:hAnsi="仿宋_GB2312"/>
          <w:b/>
          <w:sz w:val="28"/>
          <w:szCs w:val="28"/>
        </w:rPr>
        <w:t>部分</w:t>
      </w:r>
      <w:r>
        <w:rPr>
          <w:rFonts w:hint="eastAsia" w:hAnsi="仿宋_GB2312"/>
          <w:b/>
          <w:sz w:val="28"/>
          <w:szCs w:val="28"/>
        </w:rPr>
        <w:t>2019年度部门整体支出绩效评价报告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AF"/>
    <w:rsid w:val="0037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2020-09-02T07:09:00Z</dcterms:created>
  <dc:creator>团区委办公室</dc:creator>
  <cp:lastModifiedBy>团区委办公室</cp:lastModifiedBy>
  <dcterms:modified xsi:type="dcterms:W3CDTF">2020-09-02T07:09:50Z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