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22</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长沙市雨花区科学技术协会</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006001</w:t>
      </w:r>
      <w:r>
        <w:rPr>
          <w:rFonts w:hint="eastAsia" w:eastAsia="仿宋_GB2312"/>
          <w:sz w:val="32"/>
          <w:u w:val="single"/>
        </w:rPr>
        <w:t xml:space="preserve">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 xml:space="preserve"> 年 </w:t>
      </w:r>
      <w:r>
        <w:rPr>
          <w:rFonts w:hint="eastAsia" w:eastAsia="仿宋_GB2312"/>
          <w:sz w:val="32"/>
          <w:lang w:val="en-US" w:eastAsia="zh-CN"/>
        </w:rPr>
        <w:t>5</w:t>
      </w:r>
      <w:r>
        <w:rPr>
          <w:rFonts w:hint="eastAsia" w:eastAsia="仿宋_GB2312"/>
          <w:sz w:val="32"/>
        </w:rPr>
        <w:t xml:space="preserve"> 月 </w:t>
      </w:r>
      <w:r>
        <w:rPr>
          <w:rFonts w:hint="eastAsia" w:eastAsia="仿宋_GB2312"/>
          <w:sz w:val="32"/>
          <w:lang w:val="en-US" w:eastAsia="zh-CN"/>
        </w:rPr>
        <w:t>10</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7" w:bottom="1701" w:left="1417" w:header="851" w:footer="992" w:gutter="0"/>
          <w:pgNumType w:fmt="numberInDash" w:start="8"/>
          <w:cols w:space="720" w:num="1"/>
          <w:titlePg/>
          <w:docGrid w:type="linesAndChars" w:linePitch="602" w:charSpace="-782"/>
        </w:sectPr>
      </w:pPr>
    </w:p>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6"/>
        <w:tblW w:w="0" w:type="auto"/>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楼堂馆所面积控制率=实际建设面积/批准建设面积×100%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楼堂馆所投资预算控制率=实际投资金额/批准投资金额×100%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公用经费控制率=（实际支出公用经费总额/预算安排公用经费总额）×100%。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政府采购执行率=（实际政府采购金额/政府采购预算数）×100%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①有内部财务管理制度、会计核算制度等管理制度，2分；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②有本部门厉行节约制度,2分；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根据绩效办2015年对各部门为民办实事和部门重点工程与重点工作考核分数折算。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4"/>
                <w:lang w:val="en-US" w:eastAsia="zh-CN"/>
              </w:rPr>
            </w:pP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p>
        </w:tc>
        <w:tc>
          <w:tcPr>
            <w:tcW w:w="635"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90%（含）以上计6分；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80%（含）-90%，计4分；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70%（含）-80%，计2分；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hint="eastAsia" w:ascii="宋体" w:hAnsi="宋体" w:cs="宋体"/>
          <w:kern w:val="0"/>
          <w:sz w:val="24"/>
        </w:rPr>
        <w:t>填报单位：</w:t>
      </w:r>
      <w:r>
        <w:rPr>
          <w:rFonts w:hint="eastAsia" w:ascii="宋体" w:hAnsi="宋体" w:cs="宋体"/>
          <w:kern w:val="0"/>
          <w:sz w:val="24"/>
          <w:lang w:eastAsia="zh-CN"/>
        </w:rPr>
        <w:t>长沙市雨花区科学技术协会</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6"/>
        <w:tblW w:w="0" w:type="auto"/>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trHeight w:val="763" w:hRule="atLeast"/>
          <w:jc w:val="center"/>
        </w:trPr>
        <w:tc>
          <w:tcPr>
            <w:tcW w:w="35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编制数</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w:t>
            </w:r>
            <w:r>
              <w:rPr>
                <w:rFonts w:hint="eastAsia" w:ascii="宋体" w:hAnsi="宋体" w:cs="宋体"/>
                <w:b/>
                <w:bCs/>
                <w:kern w:val="0"/>
                <w:sz w:val="24"/>
                <w:lang w:val="en-US" w:eastAsia="zh-CN"/>
              </w:rPr>
              <w:t>22</w:t>
            </w:r>
            <w:r>
              <w:rPr>
                <w:rFonts w:hint="eastAsia" w:ascii="宋体" w:hAnsi="宋体" w:cs="宋体"/>
                <w:b/>
                <w:bCs/>
                <w:kern w:val="0"/>
                <w:sz w:val="24"/>
              </w:rPr>
              <w:t>年实际在职人数</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经费控制情况</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2021</w:t>
            </w:r>
            <w:r>
              <w:rPr>
                <w:rFonts w:hint="eastAsia" w:ascii="宋体" w:hAnsi="宋体" w:cs="宋体"/>
                <w:b/>
                <w:bCs/>
                <w:kern w:val="0"/>
                <w:sz w:val="24"/>
              </w:rPr>
              <w:t>年决算数</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2022</w:t>
            </w:r>
            <w:r>
              <w:rPr>
                <w:rFonts w:hint="eastAsia" w:ascii="宋体" w:hAnsi="宋体" w:cs="宋体"/>
                <w:b/>
                <w:bCs/>
                <w:kern w:val="0"/>
                <w:sz w:val="24"/>
              </w:rPr>
              <w:t>年预算数</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2022</w:t>
            </w:r>
            <w:r>
              <w:rPr>
                <w:rFonts w:hint="eastAsia" w:ascii="宋体" w:hAnsi="宋体" w:cs="宋体"/>
                <w:b/>
                <w:bCs/>
                <w:kern w:val="0"/>
                <w:sz w:val="24"/>
              </w:rPr>
              <w:t>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三公经费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其中：公车购置</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公车运行维护</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2、出国经费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3、公务接待</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项目支出：</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77.71</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both"/>
              <w:rPr>
                <w:rFonts w:ascii="宋体" w:hAnsi="宋体" w:cs="宋体"/>
                <w:kern w:val="0"/>
                <w:sz w:val="24"/>
              </w:rPr>
            </w:pPr>
            <w:r>
              <w:rPr>
                <w:rFonts w:hint="eastAsia" w:ascii="宋体" w:hAnsi="宋体" w:cs="宋体"/>
                <w:kern w:val="0"/>
                <w:sz w:val="24"/>
                <w:lang w:val="en-US" w:eastAsia="zh-CN"/>
              </w:rPr>
              <w:t>1.科普设施建设专项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both"/>
              <w:rPr>
                <w:rFonts w:ascii="宋体" w:hAnsi="宋体" w:cs="宋体"/>
                <w:kern w:val="0"/>
                <w:sz w:val="24"/>
              </w:rPr>
            </w:pPr>
            <w:r>
              <w:rPr>
                <w:rFonts w:hint="eastAsia" w:ascii="宋体" w:hAnsi="宋体" w:cs="宋体"/>
                <w:kern w:val="0"/>
                <w:sz w:val="24"/>
                <w:lang w:val="en-US" w:eastAsia="zh-CN"/>
              </w:rPr>
              <w:t>2.科普进校园、进社区专项</w:t>
            </w:r>
            <w:r>
              <w:rPr>
                <w:rFonts w:hint="eastAsia" w:ascii="宋体" w:hAnsi="宋体" w:cs="宋体"/>
                <w:kern w:val="0"/>
                <w:sz w:val="24"/>
              </w:rPr>
              <w:t xml:space="preserve">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15</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12</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lang w:val="en-US" w:eastAsia="zh-CN"/>
              </w:rPr>
              <w:t>3.学会、协会、研究会专项</w:t>
            </w:r>
            <w:r>
              <w:rPr>
                <w:rFonts w:hint="eastAsia" w:ascii="宋体" w:hAnsi="宋体" w:cs="宋体"/>
                <w:kern w:val="0"/>
                <w:sz w:val="24"/>
              </w:rPr>
              <w:t xml:space="preserve">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6</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4"/>
              </w:rPr>
            </w:pPr>
            <w:r>
              <w:rPr>
                <w:rFonts w:hint="eastAsia" w:ascii="宋体" w:hAnsi="宋体" w:cs="宋体"/>
                <w:kern w:val="0"/>
                <w:sz w:val="24"/>
                <w:lang w:val="en-US" w:eastAsia="zh-CN"/>
              </w:rPr>
              <w:t>4.全国科普日专项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4"/>
              </w:rPr>
            </w:pPr>
            <w:r>
              <w:rPr>
                <w:rFonts w:hint="eastAsia" w:ascii="宋体" w:hAnsi="宋体" w:cs="宋体"/>
                <w:kern w:val="0"/>
                <w:sz w:val="24"/>
                <w:lang w:val="en-US" w:eastAsia="zh-CN"/>
              </w:rPr>
              <w:t>5.创建全国科普示范城区</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5.71</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4"/>
              </w:rPr>
            </w:pPr>
            <w:r>
              <w:rPr>
                <w:rFonts w:hint="eastAsia" w:ascii="宋体" w:hAnsi="宋体" w:cs="宋体"/>
                <w:kern w:val="0"/>
                <w:sz w:val="24"/>
                <w:lang w:val="en-US" w:eastAsia="zh-CN"/>
              </w:rPr>
              <w:t>6.院士专家工作站</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18</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4"/>
              </w:rPr>
            </w:pPr>
            <w:r>
              <w:rPr>
                <w:rFonts w:hint="eastAsia" w:ascii="宋体" w:hAnsi="宋体" w:cs="宋体"/>
                <w:kern w:val="0"/>
                <w:sz w:val="24"/>
                <w:lang w:val="en-US" w:eastAsia="zh-CN"/>
              </w:rPr>
              <w:t>7.科普信息化融合发展</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10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4"/>
                <w:lang w:val="en-US" w:eastAsia="zh-CN"/>
              </w:rPr>
            </w:pPr>
            <w:r>
              <w:rPr>
                <w:rFonts w:hint="eastAsia" w:ascii="宋体" w:hAnsi="宋体" w:cs="宋体"/>
                <w:kern w:val="0"/>
                <w:sz w:val="21"/>
                <w:szCs w:val="21"/>
                <w:lang w:val="en-US" w:eastAsia="zh-CN"/>
              </w:rPr>
              <w:t>8.2020-2021年度青少年创新人才</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公用经费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17.42</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16.33</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12.44</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其中：办公经费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lang w:val="en-US" w:eastAsia="zh-CN"/>
              </w:rPr>
              <w:t>8.13</w:t>
            </w: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lang w:val="en-US" w:eastAsia="zh-CN"/>
              </w:rPr>
              <w:t>6.3</w:t>
            </w: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水费、电费、差旅费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lang w:val="en-US" w:eastAsia="zh-CN"/>
              </w:rPr>
            </w:pP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会议费、培训费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lang w:val="en-US" w:eastAsia="zh-CN"/>
              </w:rPr>
            </w:pP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政府采购金额</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132.17</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132.17</w:t>
            </w:r>
            <w:r>
              <w:rPr>
                <w:rFonts w:hint="eastAsia" w:ascii="宋体" w:hAnsi="宋体" w:cs="宋体"/>
                <w:kern w:val="0"/>
                <w:sz w:val="24"/>
              </w:rPr>
              <w:t>　</w:t>
            </w:r>
          </w:p>
        </w:tc>
      </w:tr>
      <w:tr>
        <w:tblPrEx>
          <w:tblCellMar>
            <w:top w:w="0" w:type="dxa"/>
            <w:left w:w="108" w:type="dxa"/>
            <w:bottom w:w="0" w:type="dxa"/>
            <w:right w:w="108" w:type="dxa"/>
          </w:tblCellMar>
        </w:tblPrEx>
        <w:trPr>
          <w:trHeight w:val="1154" w:hRule="atLeast"/>
          <w:jc w:val="center"/>
        </w:trPr>
        <w:tc>
          <w:tcPr>
            <w:tcW w:w="35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楼堂馆所控制情况</w:t>
            </w:r>
            <w:r>
              <w:rPr>
                <w:rFonts w:hint="eastAsia" w:ascii="宋体" w:hAnsi="宋体" w:cs="宋体"/>
                <w:kern w:val="0"/>
                <w:sz w:val="24"/>
              </w:rPr>
              <w:br w:type="textWrapping"/>
            </w:r>
            <w:r>
              <w:rPr>
                <w:rFonts w:hint="eastAsia" w:ascii="宋体" w:hAnsi="宋体" w:cs="宋体"/>
                <w:kern w:val="0"/>
                <w:sz w:val="24"/>
              </w:rPr>
              <w:t>（2019年完工项目）</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批复规模</w:t>
            </w:r>
            <w:r>
              <w:rPr>
                <w:rFonts w:hint="eastAsia" w:ascii="宋体" w:hAnsi="宋体" w:cs="宋体"/>
                <w:b/>
                <w:bCs/>
                <w:kern w:val="0"/>
                <w:sz w:val="24"/>
              </w:rPr>
              <w:br w:type="textWrapping"/>
            </w: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实际规模</w:t>
            </w:r>
            <w:r>
              <w:rPr>
                <w:rFonts w:hint="eastAsia" w:ascii="宋体" w:hAnsi="宋体" w:cs="宋体"/>
                <w:b/>
                <w:bCs/>
                <w:kern w:val="0"/>
                <w:sz w:val="24"/>
              </w:rPr>
              <w:br w:type="textWrapping"/>
            </w: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预算投资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98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25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9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eastAsia="zh-CN"/>
              </w:rPr>
              <w:t>严格预算执行，严格控制“三公经费”支出，确保“三公经费”零增长率。</w:t>
            </w:r>
            <w:r>
              <w:rPr>
                <w:rFonts w:hint="eastAsia" w:ascii="宋体" w:hAnsi="宋体" w:cs="宋体"/>
                <w:kern w:val="0"/>
                <w:sz w:val="24"/>
              </w:rPr>
              <w:t>　</w:t>
            </w:r>
          </w:p>
        </w:tc>
      </w:tr>
      <w:tr>
        <w:tblPrEx>
          <w:tblCellMar>
            <w:top w:w="0" w:type="dxa"/>
            <w:left w:w="108" w:type="dxa"/>
            <w:bottom w:w="0" w:type="dxa"/>
            <w:right w:w="108" w:type="dxa"/>
          </w:tblCellMar>
        </w:tblPrEx>
        <w:trPr>
          <w:trHeight w:val="700" w:hRule="atLeast"/>
          <w:jc w:val="center"/>
        </w:trPr>
        <w:tc>
          <w:tcPr>
            <w:tcW w:w="10490" w:type="dxa"/>
            <w:gridSpan w:val="7"/>
            <w:tcBorders>
              <w:top w:val="single" w:color="auto" w:sz="4" w:space="0"/>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ascii="黑体" w:hAnsi="宋体" w:eastAsia="黑体" w:cs="宋体"/>
          <w:kern w:val="0"/>
          <w:sz w:val="32"/>
          <w:szCs w:val="32"/>
        </w:rPr>
      </w:pPr>
      <w:r>
        <w:rPr>
          <w:rFonts w:hint="eastAsia"/>
        </w:rPr>
        <w:t xml:space="preserve"> </w:t>
      </w:r>
      <w:r>
        <w:rPr>
          <w:rFonts w:hint="eastAsia" w:ascii="黑体" w:hAnsi="宋体" w:eastAsia="黑体" w:cs="宋体"/>
          <w:kern w:val="0"/>
          <w:sz w:val="32"/>
          <w:szCs w:val="32"/>
        </w:rPr>
        <w:t>附件3</w:t>
      </w:r>
    </w:p>
    <w:p>
      <w:pPr>
        <w:jc w:val="center"/>
        <w:rPr>
          <w:rFonts w:hint="eastAsia"/>
          <w:b/>
          <w:sz w:val="32"/>
          <w:szCs w:val="32"/>
        </w:rPr>
      </w:pPr>
      <w:r>
        <w:rPr>
          <w:rFonts w:hint="eastAsia"/>
          <w:b/>
          <w:sz w:val="32"/>
          <w:szCs w:val="32"/>
        </w:rPr>
        <w:t xml:space="preserve">部门整体支出绩效报告 </w:t>
      </w:r>
    </w:p>
    <w:p>
      <w:pPr>
        <w:ind w:firstLine="750" w:firstLineChars="250"/>
        <w:rPr>
          <w:rFonts w:hint="eastAsia"/>
          <w:sz w:val="30"/>
          <w:szCs w:val="30"/>
        </w:rPr>
      </w:pPr>
    </w:p>
    <w:p>
      <w:pPr>
        <w:ind w:firstLine="803" w:firstLineChars="250"/>
        <w:rPr>
          <w:rFonts w:hint="eastAsia" w:ascii="仿宋_GB2312" w:eastAsia="仿宋_GB2312"/>
          <w:b/>
          <w:sz w:val="30"/>
          <w:szCs w:val="30"/>
        </w:rPr>
      </w:pPr>
      <w:r>
        <w:rPr>
          <w:rFonts w:hint="eastAsia" w:ascii="宋体" w:hAnsi="宋体" w:eastAsia="宋体"/>
          <w:b/>
          <w:bCs/>
          <w:sz w:val="32"/>
          <w:szCs w:val="32"/>
          <w:highlight w:val="none"/>
        </w:rPr>
        <w:t xml:space="preserve">一、部门概况 </w:t>
      </w:r>
      <w:r>
        <w:rPr>
          <w:rFonts w:hint="eastAsia" w:ascii="仿宋_GB2312" w:eastAsia="仿宋_GB2312"/>
          <w:b/>
          <w:sz w:val="30"/>
          <w:szCs w:val="30"/>
        </w:rPr>
        <w:t xml:space="preserve"> </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(一)人员编制情况</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长沙市雨花区科学技术协会（以下简称区科协），正科级，是在中共长沙市雨花区委领导下，组织开展全区科普工作的群团组织。执行行政财务会计制度。根据（雨办发〔2011〕41号）文件规定，定编6名以下不设内设机构的原则，区科协不设内设机构。区科协行政编制3名。现有在职在编人员4人（正科实职1人，副科实职1人，二级调研员1人，一级主任科员1人），雇员1人。退休1人，车辆0台。</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（二）职责职能情况</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 xml:space="preserve"> 1、负责弘扬科学精神，普及科学知识，传播科学思想和科学方法，反对迷信愚昧和一切伪科学、反科学，揭批邪教反动本质，捍卫科学尊严；开展《全民科学素质行动计划纲要》的实施，提高公众科学文化素质。</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2、负责反映科技工作者的意见和要求，维护科技工作者的合法权益，举荐人才，表彰奖励优秀科普（技）工作者，做好科技工作者之家的工作。弘扬“尊重知识，尊重人才”的社会风尚。   </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3、负责组织科普（技）工作者参与科技政策和法规制定，开展科学论证,提出政策建议；参与政治协商、科学决策、民主监督工作。</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4、组织开展符合科协宗旨的社会公益性活动，为科普人员、科协团体的科研活动提供服务。</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5、负责加强对所属协会、研究会的指导、管理和服务，促进与各街道科协、企事业单位科协和其他社会团体的联系及合作。</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6、组织开展民间、国际科技学术交流与合作，发展同国内外科技团体和科技工作者的友好往来，加强与台、港、澳民间科技组织的交流与联系。</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 xml:space="preserve"> 7、完成区委、政府和上级部门交办的其他工作任务。</w:t>
      </w:r>
    </w:p>
    <w:p>
      <w:pPr>
        <w:pStyle w:val="12"/>
        <w:ind w:firstLine="640" w:firstLineChars="200"/>
        <w:rPr>
          <w:rFonts w:hint="eastAsia" w:ascii="宋体" w:hAnsi="宋体" w:eastAsia="宋体"/>
          <w:sz w:val="32"/>
          <w:szCs w:val="32"/>
          <w:highlight w:val="none"/>
          <w:lang w:eastAsia="zh-CN"/>
        </w:rPr>
      </w:pPr>
      <w:r>
        <w:rPr>
          <w:rFonts w:hint="eastAsia" w:ascii="宋体" w:hAnsi="宋体" w:eastAsia="宋体"/>
          <w:sz w:val="32"/>
          <w:szCs w:val="32"/>
          <w:highlight w:val="none"/>
        </w:rPr>
        <w:t>（</w:t>
      </w:r>
      <w:r>
        <w:rPr>
          <w:rFonts w:hint="eastAsia" w:ascii="宋体" w:hAnsi="宋体" w:eastAsia="宋体"/>
          <w:sz w:val="32"/>
          <w:szCs w:val="32"/>
          <w:highlight w:val="none"/>
          <w:lang w:eastAsia="zh-CN"/>
        </w:rPr>
        <w:t>三</w:t>
      </w:r>
      <w:r>
        <w:rPr>
          <w:rFonts w:hint="eastAsia" w:ascii="宋体" w:hAnsi="宋体" w:eastAsia="宋体"/>
          <w:sz w:val="32"/>
          <w:szCs w:val="32"/>
          <w:highlight w:val="none"/>
        </w:rPr>
        <w:t>）</w:t>
      </w:r>
      <w:r>
        <w:rPr>
          <w:rFonts w:hint="eastAsia" w:ascii="宋体" w:hAnsi="宋体" w:eastAsia="宋体"/>
          <w:sz w:val="32"/>
          <w:szCs w:val="32"/>
          <w:highlight w:val="none"/>
          <w:lang w:eastAsia="zh-CN"/>
        </w:rPr>
        <w:t>部门整体预算支出情况</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2022年，区科协在区委、区政府的正确领导下，进一步强化支出责任，推进资金科学化精细化管理，提高财政资金使用效益，根据《中华人民共和国预算法》、《党政机关厉行节约反对浪费条例》、《关于推进雨花区预算绩效管理的意见》（雨政办发〔2013〕28号）等有关规定强化项目绩效考核，很好地完成了全年工作目标任务。</w:t>
      </w:r>
    </w:p>
    <w:p>
      <w:pPr>
        <w:ind w:firstLine="803" w:firstLineChars="250"/>
        <w:rPr>
          <w:rFonts w:hint="eastAsia" w:ascii="宋体" w:hAnsi="宋体" w:eastAsia="宋体" w:cs="Times New Roman"/>
          <w:b/>
          <w:bCs/>
          <w:sz w:val="32"/>
          <w:szCs w:val="32"/>
          <w:highlight w:val="none"/>
        </w:rPr>
      </w:pPr>
      <w:r>
        <w:rPr>
          <w:rFonts w:hint="eastAsia" w:ascii="宋体" w:hAnsi="宋体" w:eastAsia="宋体" w:cs="Times New Roman"/>
          <w:b/>
          <w:bCs/>
          <w:sz w:val="32"/>
          <w:szCs w:val="32"/>
          <w:highlight w:val="none"/>
        </w:rPr>
        <w:t xml:space="preserve">二、部门整体支出管理及使用情况 </w:t>
      </w:r>
    </w:p>
    <w:p>
      <w:pPr>
        <w:pStyle w:val="12"/>
        <w:ind w:firstLine="640" w:firstLineChars="200"/>
        <w:rPr>
          <w:rFonts w:hint="eastAsia" w:ascii="宋体" w:hAnsi="宋体" w:eastAsia="宋体"/>
          <w:sz w:val="32"/>
          <w:szCs w:val="32"/>
          <w:highlight w:val="none"/>
        </w:rPr>
      </w:pPr>
      <w:r>
        <w:rPr>
          <w:rFonts w:hint="eastAsia" w:ascii="宋体" w:hAnsi="宋体" w:eastAsia="宋体"/>
          <w:sz w:val="32"/>
          <w:szCs w:val="32"/>
          <w:highlight w:val="none"/>
        </w:rPr>
        <w:t>（一）基本支出情况</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2022年度基本支出决算数130.17万元，占支出总额98.49%；主要包含2022年主要包括工资、津贴补贴等人员经费以及办公费、办公设备购置、公务接待费、公务用车运行维护费、会议费等日常公用经费支出。</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其中“三公”经费支出情况：</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“其中“三公”经费支出情况：公务接待支出预算数0万元，决算数0万元；因公出国出境预算数0万元，决算数0万元。</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科协基本支出使用和管理严格按照财务管理制度执行，无虚列支出及随意使用现象,无大额现金支付现象，努力做到使有限的经费保证机关日常工作的正常运转。</w:t>
      </w:r>
    </w:p>
    <w:p>
      <w:pPr>
        <w:pStyle w:val="12"/>
        <w:ind w:firstLine="640" w:firstLineChars="200"/>
        <w:rPr>
          <w:rFonts w:hint="eastAsia" w:ascii="宋体" w:hAnsi="宋体" w:eastAsia="宋体"/>
          <w:sz w:val="32"/>
          <w:szCs w:val="32"/>
          <w:highlight w:val="none"/>
        </w:rPr>
      </w:pPr>
      <w:r>
        <w:rPr>
          <w:rFonts w:hint="eastAsia" w:ascii="宋体" w:hAnsi="宋体" w:eastAsia="宋体"/>
          <w:sz w:val="32"/>
          <w:szCs w:val="32"/>
          <w:highlight w:val="none"/>
        </w:rPr>
        <w:t xml:space="preserve"> （二）专项支出 </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1.</w:t>
      </w:r>
      <w:r>
        <w:rPr>
          <w:rFonts w:hint="eastAsia" w:ascii="宋体" w:hAnsi="宋体" w:eastAsia="宋体"/>
          <w:sz w:val="32"/>
          <w:szCs w:val="32"/>
          <w:highlight w:val="none"/>
        </w:rPr>
        <w:t>项目资金（包括财政资金、自筹资金等）安排落实、总投入等情况分析。</w:t>
      </w:r>
      <w:r>
        <w:rPr>
          <w:rFonts w:hint="eastAsia" w:ascii="宋体" w:hAnsi="宋体" w:eastAsia="宋体"/>
          <w:sz w:val="32"/>
          <w:szCs w:val="32"/>
          <w:highlight w:val="none"/>
          <w:lang w:eastAsia="zh-CN"/>
        </w:rPr>
        <w:t>专</w:t>
      </w:r>
      <w:r>
        <w:rPr>
          <w:rFonts w:hint="eastAsia" w:ascii="宋体" w:hAnsi="宋体" w:eastAsia="宋体"/>
          <w:sz w:val="32"/>
          <w:szCs w:val="32"/>
          <w:highlight w:val="none"/>
          <w:lang w:val="en-US" w:eastAsia="zh-CN"/>
        </w:rPr>
        <w:t>项资金是在基本支出之外为完成特定的工作任务而发生的支出。2022年区财政批复的项目支出年初预算为50万元，上级资金12万元，主要包括区财政下拨的：科普设施建设专项经费；科普活动进校园、进社区专项经费；学会、协会、研究会专项经费；全国科普日专项经费；创建全国科普示范城区；院士专家工作站经费共计50万元。上级下拨</w:t>
      </w:r>
      <w:bookmarkStart w:id="0" w:name="_GoBack"/>
      <w:bookmarkEnd w:id="0"/>
      <w:r>
        <w:rPr>
          <w:rFonts w:hint="eastAsia" w:ascii="宋体" w:hAnsi="宋体" w:eastAsia="宋体"/>
          <w:sz w:val="32"/>
          <w:szCs w:val="32"/>
          <w:highlight w:val="none"/>
          <w:lang w:val="en-US" w:eastAsia="zh-CN"/>
        </w:rPr>
        <w:t>的：2020-2021年度青少年创新人才；科学传播能力提升项目经费共计12万元。</w:t>
      </w:r>
    </w:p>
    <w:p>
      <w:pPr>
        <w:pStyle w:val="12"/>
        <w:ind w:firstLine="640" w:firstLineChars="200"/>
        <w:rPr>
          <w:rFonts w:hint="eastAsia" w:ascii="宋体" w:hAnsi="宋体" w:eastAsia="宋体"/>
          <w:sz w:val="32"/>
          <w:szCs w:val="32"/>
          <w:highlight w:val="none"/>
          <w:lang w:val="en-US" w:eastAsia="zh-CN"/>
        </w:rPr>
      </w:pPr>
      <w:r>
        <w:rPr>
          <w:rFonts w:hint="default" w:ascii="宋体" w:hAnsi="宋体" w:eastAsia="宋体"/>
          <w:sz w:val="32"/>
          <w:szCs w:val="32"/>
          <w:highlight w:val="none"/>
        </w:rPr>
        <w:t>2</w:t>
      </w:r>
      <w:r>
        <w:rPr>
          <w:rFonts w:hint="default" w:ascii="宋体" w:hAnsi="宋体" w:eastAsia="宋体"/>
          <w:sz w:val="32"/>
          <w:szCs w:val="32"/>
          <w:highlight w:val="none"/>
          <w:lang w:val="en-US" w:eastAsia="zh-CN"/>
        </w:rPr>
        <w:t>.</w:t>
      </w:r>
      <w:r>
        <w:rPr>
          <w:rFonts w:hint="default" w:ascii="宋体" w:hAnsi="宋体" w:eastAsia="宋体"/>
          <w:sz w:val="32"/>
          <w:szCs w:val="32"/>
          <w:highlight w:val="none"/>
        </w:rPr>
        <w:t>项目资金（主要指财政资金）实际使用情况分析</w:t>
      </w:r>
      <w:r>
        <w:rPr>
          <w:rFonts w:hint="eastAsia" w:ascii="宋体" w:hAnsi="宋体" w:eastAsia="宋体"/>
          <w:sz w:val="32"/>
          <w:szCs w:val="32"/>
          <w:highlight w:val="none"/>
          <w:lang w:eastAsia="zh-CN"/>
        </w:rPr>
        <w:t>。</w:t>
      </w:r>
      <w:r>
        <w:rPr>
          <w:rFonts w:hint="eastAsia" w:ascii="宋体" w:hAnsi="宋体" w:eastAsia="宋体" w:cs="宋体"/>
          <w:b w:val="0"/>
          <w:bCs w:val="0"/>
          <w:color w:val="000000"/>
          <w:kern w:val="2"/>
          <w:sz w:val="32"/>
          <w:szCs w:val="32"/>
          <w:lang w:val="en-US" w:eastAsia="zh-CN" w:bidi="ar-SA"/>
        </w:rPr>
        <w:t>2022年项目支出预算数为50万元，是指单位为完成特定行政工作任务或事业发展目标而发生的支出，其中：</w:t>
      </w:r>
      <w:r>
        <w:rPr>
          <w:rFonts w:hint="eastAsia" w:ascii="宋体" w:hAnsi="宋体" w:eastAsia="宋体"/>
          <w:sz w:val="32"/>
          <w:szCs w:val="32"/>
          <w:highlight w:val="none"/>
          <w:lang w:val="en-US" w:eastAsia="zh-CN"/>
        </w:rPr>
        <w:t>科普设施建设专项经费6万元，；科普活动进校园、进社区专项经费12万元；</w:t>
      </w:r>
    </w:p>
    <w:p>
      <w:pPr>
        <w:pStyle w:val="12"/>
        <w:rPr>
          <w:rFonts w:hint="eastAsia" w:ascii="宋体" w:hAnsi="宋体" w:eastAsia="宋体" w:cs="宋体"/>
          <w:b w:val="0"/>
          <w:bCs w:val="0"/>
          <w:color w:val="000000"/>
          <w:kern w:val="2"/>
          <w:sz w:val="32"/>
          <w:szCs w:val="32"/>
          <w:lang w:val="en-US" w:eastAsia="zh-CN" w:bidi="ar-SA"/>
        </w:rPr>
      </w:pPr>
      <w:r>
        <w:rPr>
          <w:rFonts w:hint="eastAsia" w:ascii="宋体" w:hAnsi="宋体" w:eastAsia="宋体"/>
          <w:sz w:val="32"/>
          <w:szCs w:val="32"/>
          <w:highlight w:val="none"/>
          <w:lang w:val="en-US" w:eastAsia="zh-CN"/>
        </w:rPr>
        <w:t>学会、协会、研究会专项经费6万元；全国科普日专项经费5万元；创建全国科普示范城区3万元；院士专家工作站经费18万元。</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cs="宋体"/>
          <w:b w:val="0"/>
          <w:bCs w:val="0"/>
          <w:color w:val="000000"/>
          <w:kern w:val="2"/>
          <w:sz w:val="32"/>
          <w:szCs w:val="32"/>
          <w:lang w:val="en-US" w:eastAsia="zh-CN" w:bidi="ar-SA"/>
        </w:rPr>
        <w:t>2022年项目</w:t>
      </w:r>
      <w:r>
        <w:rPr>
          <w:rFonts w:hint="eastAsia" w:ascii="宋体" w:hAnsi="宋体" w:eastAsia="宋体" w:cs="宋体"/>
          <w:b w:val="0"/>
          <w:bCs w:val="0"/>
          <w:color w:val="000000"/>
          <w:kern w:val="2"/>
          <w:sz w:val="32"/>
          <w:szCs w:val="32"/>
        </w:rPr>
        <w:t>支出决算为</w:t>
      </w:r>
      <w:r>
        <w:rPr>
          <w:rFonts w:hint="eastAsia" w:ascii="宋体" w:hAnsi="宋体" w:eastAsia="宋体" w:cs="宋体"/>
          <w:b w:val="0"/>
          <w:bCs w:val="0"/>
          <w:color w:val="000000"/>
          <w:kern w:val="2"/>
          <w:sz w:val="32"/>
          <w:szCs w:val="32"/>
          <w:lang w:val="en-US" w:eastAsia="zh-CN"/>
        </w:rPr>
        <w:t>2</w:t>
      </w:r>
      <w:r>
        <w:rPr>
          <w:rFonts w:hint="eastAsia" w:ascii="宋体" w:hAnsi="宋体" w:eastAsia="宋体" w:cs="宋体"/>
          <w:b w:val="0"/>
          <w:bCs w:val="0"/>
          <w:color w:val="000000"/>
          <w:kern w:val="2"/>
          <w:sz w:val="32"/>
          <w:szCs w:val="32"/>
        </w:rPr>
        <w:t>万元，</w:t>
      </w:r>
      <w:r>
        <w:rPr>
          <w:rFonts w:hint="eastAsia" w:ascii="宋体" w:hAnsi="宋体" w:eastAsia="宋体"/>
          <w:sz w:val="32"/>
          <w:szCs w:val="32"/>
          <w:highlight w:val="none"/>
          <w:lang w:val="en-US" w:eastAsia="zh-CN"/>
        </w:rPr>
        <w:t>占支出总额的1.51%，</w:t>
      </w:r>
      <w:r>
        <w:rPr>
          <w:rFonts w:hint="eastAsia" w:ascii="宋体" w:hAnsi="宋体" w:eastAsia="宋体" w:cs="宋体"/>
          <w:b w:val="0"/>
          <w:bCs w:val="0"/>
          <w:color w:val="000000"/>
          <w:kern w:val="2"/>
          <w:sz w:val="32"/>
          <w:szCs w:val="32"/>
        </w:rPr>
        <w:t>预算数大于决算数的主要原因是</w:t>
      </w:r>
      <w:r>
        <w:rPr>
          <w:rFonts w:hint="eastAsia" w:ascii="宋体" w:hAnsi="宋体" w:eastAsia="宋体" w:cs="宋体"/>
          <w:b w:val="0"/>
          <w:bCs w:val="0"/>
          <w:color w:val="000000"/>
          <w:kern w:val="2"/>
          <w:sz w:val="32"/>
          <w:szCs w:val="32"/>
          <w:lang w:eastAsia="zh-CN"/>
        </w:rPr>
        <w:t>院士专家工作站经费是区级配套资金，因市级资金没到位，所以没有拨付，另外</w:t>
      </w:r>
      <w:r>
        <w:rPr>
          <w:rFonts w:hint="eastAsia" w:ascii="宋体" w:hAnsi="宋体" w:eastAsia="宋体"/>
          <w:sz w:val="32"/>
          <w:szCs w:val="32"/>
          <w:highlight w:val="none"/>
          <w:lang w:val="en-US" w:eastAsia="zh-CN"/>
        </w:rPr>
        <w:t>由于2022年底资金紧张，单位申请的项目经费未支付出去。</w:t>
      </w:r>
    </w:p>
    <w:p>
      <w:pPr>
        <w:pStyle w:val="12"/>
        <w:ind w:firstLine="640" w:firstLineChars="200"/>
        <w:rPr>
          <w:rFonts w:hint="default" w:ascii="宋体" w:hAnsi="宋体" w:eastAsia="宋体"/>
          <w:sz w:val="32"/>
          <w:szCs w:val="32"/>
          <w:highlight w:val="none"/>
        </w:rPr>
      </w:pPr>
      <w:r>
        <w:rPr>
          <w:rFonts w:hint="default" w:ascii="宋体" w:hAnsi="宋体" w:eastAsia="宋体"/>
          <w:sz w:val="32"/>
          <w:szCs w:val="32"/>
          <w:highlight w:val="none"/>
        </w:rPr>
        <w:t>3</w:t>
      </w:r>
      <w:r>
        <w:rPr>
          <w:rFonts w:hint="eastAsia" w:ascii="宋体" w:hAnsi="宋体" w:eastAsia="宋体"/>
          <w:sz w:val="32"/>
          <w:szCs w:val="32"/>
          <w:highlight w:val="none"/>
          <w:lang w:val="en-US" w:eastAsia="zh-CN"/>
        </w:rPr>
        <w:t>.</w:t>
      </w:r>
      <w:r>
        <w:rPr>
          <w:rFonts w:hint="default" w:ascii="宋体" w:hAnsi="宋体" w:eastAsia="宋体"/>
          <w:sz w:val="32"/>
          <w:szCs w:val="32"/>
          <w:highlight w:val="none"/>
        </w:rPr>
        <w:t>项目资金管理情况分析，主要包括管理制度、办法的制订及执行情况。我</w:t>
      </w:r>
      <w:r>
        <w:rPr>
          <w:rFonts w:hint="eastAsia" w:ascii="宋体" w:hAnsi="宋体" w:eastAsia="宋体"/>
          <w:sz w:val="32"/>
          <w:szCs w:val="32"/>
          <w:highlight w:val="none"/>
          <w:lang w:eastAsia="zh-CN"/>
        </w:rPr>
        <w:t>单位</w:t>
      </w:r>
      <w:r>
        <w:rPr>
          <w:rFonts w:hint="default" w:ascii="宋体" w:hAnsi="宋体" w:eastAsia="宋体"/>
          <w:sz w:val="32"/>
          <w:szCs w:val="32"/>
          <w:highlight w:val="none"/>
        </w:rPr>
        <w:t>项目资金全部按财政国库集中支付制度要求使用和拨付。在拨付过程中严把监督审核关，保障资金安全，高效运行，制定了管理制度，并严格执行相关财务制度。</w:t>
      </w:r>
    </w:p>
    <w:p>
      <w:pPr>
        <w:ind w:firstLine="803" w:firstLineChars="250"/>
        <w:rPr>
          <w:rFonts w:hint="eastAsia" w:ascii="宋体" w:hAnsi="宋体" w:eastAsia="宋体" w:cs="Times New Roman"/>
          <w:b/>
          <w:bCs/>
          <w:sz w:val="32"/>
          <w:szCs w:val="32"/>
          <w:highlight w:val="none"/>
        </w:rPr>
      </w:pPr>
      <w:r>
        <w:rPr>
          <w:rFonts w:hint="eastAsia" w:ascii="宋体" w:hAnsi="宋体" w:eastAsia="宋体" w:cs="Times New Roman"/>
          <w:b/>
          <w:bCs/>
          <w:sz w:val="32"/>
          <w:szCs w:val="32"/>
          <w:highlight w:val="none"/>
        </w:rPr>
        <w:t xml:space="preserve">三、部门专项组织实施情况 </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1.科普设施建设专项经费6万元，主要是加大基层科普阵地设施投入，全面提升科普硬件设施建设水平，形成了具有区域特色的品牌，加大科普e站屏媒和示范点建设力度，有效助推全区科普事业的发展。因疫情影响，此项目在年底完成，经费末及时拨付。</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2.科普活动进校园、进社区专项经费12万元，主要是充分发挥示范的带动作用，采取“分类指导、规范运行、培养典型、以点带面”的办法，不断推进“科普示范街镇”、“科普示范社区（村）”、“科普带头人”创建工作。由于2022年底资金紧张，单位申请的此项目经费未支付出去。</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3.学会、协会专项经费6万元，6月30日，雨花区2022年“院士专家雨花行”—首届“智汇雨花.工程智谷”技术创新座谈会在中机国际成功举办，本次创新座谈会以“强省会”战略为契机，为雨花区工程技术行业发展包括空间建设、设计、施工、科研等单位提供了一个交流平台，探讨了中部（长沙）工程技术创新智谷的发展思路。因疫情影响，此项目在年底完成，经费末及时拨付。</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4.全国科普日专项经费5万元，2022年9月雨花区以“创新争先，自立自强”为主题开展了一系列科普活动。因疫情影响，此项目在年底完成，经费末及时拨付。</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5.创建全国科普示范城区经费3万元，省科协于7月25日来我区开展创建检查验收工作，为做好迎检工作，区科协草拟了调研方案《雨花区创建全国科普示范县（市、区）工作方案（送审稿）》，于2022年7月圆满完成“2021-2025年度第二批全国科普示范区”创建验收工作。因疫情影响，此项目在年底完成，经费末及时拨付。</w:t>
      </w:r>
    </w:p>
    <w:p>
      <w:pPr>
        <w:pStyle w:val="12"/>
        <w:ind w:firstLine="640" w:firstLineChars="200"/>
        <w:rPr>
          <w:rFonts w:hint="eastAsia" w:ascii="宋体" w:hAnsi="宋体" w:eastAsia="宋体"/>
          <w:sz w:val="32"/>
          <w:szCs w:val="32"/>
          <w:highlight w:val="none"/>
          <w:lang w:val="en-US" w:eastAsia="zh-CN"/>
        </w:rPr>
      </w:pPr>
      <w:r>
        <w:rPr>
          <w:rFonts w:hint="eastAsia" w:ascii="宋体" w:hAnsi="宋体" w:eastAsia="宋体"/>
          <w:sz w:val="32"/>
          <w:szCs w:val="32"/>
          <w:highlight w:val="none"/>
          <w:lang w:val="en-US" w:eastAsia="zh-CN"/>
        </w:rPr>
        <w:t>6.院士专家工作站经费30万元。上级资金12万元（末到位），本级配套资金18万元。长沙市城市建设院士专家工作站是在我区唯一的院士工作站，此项经费主要用于发挥院士专家的技术引领作用，为政府当好参谋，为城市建设和品质提升作出更大的贡献。受益匪浅。此项目</w:t>
      </w:r>
      <w:r>
        <w:rPr>
          <w:rFonts w:hint="eastAsia" w:ascii="宋体" w:hAnsi="宋体" w:eastAsia="宋体" w:cs="宋体"/>
          <w:b w:val="0"/>
          <w:bCs w:val="0"/>
          <w:color w:val="000000"/>
          <w:kern w:val="2"/>
          <w:sz w:val="32"/>
          <w:szCs w:val="32"/>
          <w:lang w:eastAsia="zh-CN"/>
        </w:rPr>
        <w:t>经费是区级配套资金，因市级资金没到位，所以没有拨付。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200" w:firstLine="321" w:firstLineChars="100"/>
        <w:jc w:val="both"/>
        <w:textAlignment w:val="auto"/>
        <w:outlineLvl w:val="9"/>
        <w:rPr>
          <w:rFonts w:hint="eastAsia" w:ascii="宋体" w:hAnsi="宋体" w:eastAsia="宋体" w:cs="Times New Roman"/>
          <w:b/>
          <w:bCs/>
          <w:color w:val="000000"/>
          <w:kern w:val="0"/>
          <w:sz w:val="32"/>
          <w:szCs w:val="32"/>
          <w:highlight w:val="none"/>
          <w:lang w:val="en-US" w:eastAsia="zh-CN" w:bidi="ar-SA"/>
        </w:rPr>
      </w:pPr>
      <w:r>
        <w:rPr>
          <w:rFonts w:hint="eastAsia" w:ascii="宋体" w:hAnsi="宋体" w:eastAsia="宋体" w:cs="Times New Roman"/>
          <w:b/>
          <w:bCs/>
          <w:color w:val="000000"/>
          <w:kern w:val="0"/>
          <w:sz w:val="32"/>
          <w:szCs w:val="32"/>
          <w:highlight w:val="none"/>
          <w:lang w:val="en-US" w:eastAsia="zh-CN" w:bidi="ar-SA"/>
        </w:rPr>
        <w:t xml:space="preserve">四、资产管理情况 </w:t>
      </w:r>
    </w:p>
    <w:p>
      <w:pPr>
        <w:numPr>
          <w:ilvl w:val="0"/>
          <w:numId w:val="0"/>
        </w:numPr>
        <w:ind w:firstLine="640" w:firstLineChars="200"/>
        <w:rPr>
          <w:rFonts w:hint="eastAsia" w:ascii="仿宋_GB2312" w:eastAsia="仿宋_GB2312"/>
          <w:sz w:val="30"/>
          <w:szCs w:val="30"/>
          <w:lang w:eastAsia="zh-CN"/>
        </w:rPr>
      </w:pPr>
      <w:r>
        <w:rPr>
          <w:rFonts w:hint="eastAsia" w:ascii="宋体" w:hAnsi="宋体" w:eastAsia="宋体" w:cs="黑体"/>
          <w:color w:val="000000"/>
          <w:kern w:val="0"/>
          <w:sz w:val="32"/>
          <w:szCs w:val="32"/>
          <w:highlight w:val="none"/>
          <w:lang w:val="en-US" w:eastAsia="zh-CN" w:bidi="ar-SA"/>
        </w:rPr>
        <w:t>健全各项管理制度，严格执行内部会计控制制度和内部控制管理手册中的固定资产管理业务控制的要求，合理配备并节约、有效使用固定资产，提高固定资产的使用效率，避免固定资产的浪费和损失，保障固定资产的安全和完整，会计定期督促资产管理员进行清查盘点，确保账账相符、帐实相符、帐表相符，处置固定资产履行审批手续，以区财政局批复为准，资产处置残值收入依规上缴区财政局非税账户，新增资产按照区政府批准的配置计划进行政府采购。</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600" w:lineRule="exact"/>
        <w:ind w:firstLine="643" w:firstLineChars="200"/>
        <w:jc w:val="both"/>
        <w:textAlignment w:val="auto"/>
        <w:outlineLvl w:val="9"/>
        <w:rPr>
          <w:rFonts w:hint="eastAsia" w:ascii="宋体" w:hAnsi="宋体" w:eastAsia="宋体" w:cs="Times New Roman"/>
          <w:b/>
          <w:bCs/>
          <w:color w:val="000000"/>
          <w:kern w:val="0"/>
          <w:sz w:val="32"/>
          <w:szCs w:val="32"/>
          <w:highlight w:val="none"/>
          <w:lang w:val="en-US" w:eastAsia="zh-CN" w:bidi="ar-SA"/>
        </w:rPr>
      </w:pPr>
      <w:r>
        <w:rPr>
          <w:rFonts w:hint="eastAsia" w:ascii="宋体" w:hAnsi="宋体" w:eastAsia="宋体" w:cs="Times New Roman"/>
          <w:b/>
          <w:bCs/>
          <w:color w:val="000000"/>
          <w:kern w:val="0"/>
          <w:sz w:val="32"/>
          <w:szCs w:val="32"/>
          <w:highlight w:val="none"/>
          <w:lang w:val="en-US" w:eastAsia="zh-CN" w:bidi="ar-SA"/>
        </w:rPr>
        <w:t>部门整体支出绩效情况 反映部门履职及履职效益情况。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200" w:firstLine="640" w:firstLineChars="200"/>
        <w:jc w:val="both"/>
        <w:textAlignment w:val="auto"/>
        <w:outlineLvl w:val="9"/>
        <w:rPr>
          <w:rFonts w:hint="eastAsia" w:ascii="宋体" w:hAnsi="宋体" w:eastAsia="宋体" w:cs="Times New Roman"/>
          <w:b w:val="0"/>
          <w:bCs w:val="0"/>
          <w:color w:val="000000"/>
          <w:kern w:val="0"/>
          <w:sz w:val="32"/>
          <w:szCs w:val="32"/>
          <w:highlight w:val="none"/>
          <w:lang w:val="en-US" w:eastAsia="zh-CN" w:bidi="ar-SA"/>
        </w:rPr>
      </w:pPr>
      <w:r>
        <w:rPr>
          <w:rFonts w:hint="eastAsia" w:ascii="宋体" w:hAnsi="宋体" w:eastAsia="宋体" w:cs="Times New Roman"/>
          <w:b w:val="0"/>
          <w:bCs w:val="0"/>
          <w:color w:val="000000"/>
          <w:kern w:val="0"/>
          <w:sz w:val="32"/>
          <w:szCs w:val="32"/>
          <w:highlight w:val="none"/>
          <w:lang w:val="en-US" w:eastAsia="zh-CN" w:bidi="ar-SA"/>
        </w:rPr>
        <w:t>（一）贯彻落实《全民科学素质行动规划纲要》，科学谋划科普服务新局面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200" w:firstLine="640" w:firstLineChars="200"/>
        <w:jc w:val="both"/>
        <w:textAlignment w:val="auto"/>
        <w:outlineLvl w:val="9"/>
        <w:rPr>
          <w:rFonts w:hint="eastAsia" w:ascii="宋体" w:hAnsi="宋体" w:eastAsia="宋体" w:cs="Times New Roman"/>
          <w:b w:val="0"/>
          <w:bCs w:val="0"/>
          <w:color w:val="000000"/>
          <w:kern w:val="0"/>
          <w:sz w:val="32"/>
          <w:szCs w:val="32"/>
          <w:highlight w:val="none"/>
          <w:lang w:val="en-US" w:eastAsia="zh-CN" w:bidi="ar-SA"/>
        </w:rPr>
      </w:pPr>
      <w:r>
        <w:rPr>
          <w:rFonts w:hint="eastAsia" w:ascii="宋体" w:hAnsi="宋体" w:eastAsia="宋体" w:cs="Times New Roman"/>
          <w:b w:val="0"/>
          <w:bCs w:val="0"/>
          <w:color w:val="000000"/>
          <w:kern w:val="0"/>
          <w:sz w:val="32"/>
          <w:szCs w:val="32"/>
          <w:highlight w:val="none"/>
          <w:lang w:val="en-US" w:eastAsia="zh-CN" w:bidi="ar-SA"/>
        </w:rPr>
        <w:t>1月、2月向 21个区纲要办成员单位和13个街道（镇）征求意见，经认真研究、充分采纳后最终形成《长沙市雨花区全民科学素质行动规划纲要实施方案（2021—2025年）》（送审稿），于4月24日上区政府第七次常务会议审议通过，并以区人民政府办公室的名义印发到各纲要部门成员单位，推动科学素质工作力度持续增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200" w:firstLine="640" w:firstLineChars="200"/>
        <w:jc w:val="both"/>
        <w:textAlignment w:val="auto"/>
        <w:outlineLvl w:val="9"/>
        <w:rPr>
          <w:rFonts w:hint="eastAsia" w:ascii="宋体" w:hAnsi="宋体" w:eastAsia="宋体" w:cs="Times New Roman"/>
          <w:b w:val="0"/>
          <w:bCs w:val="0"/>
          <w:color w:val="000000"/>
          <w:kern w:val="0"/>
          <w:sz w:val="32"/>
          <w:szCs w:val="32"/>
          <w:highlight w:val="none"/>
          <w:lang w:val="en-US" w:eastAsia="zh-CN" w:bidi="ar-SA"/>
        </w:rPr>
      </w:pPr>
      <w:r>
        <w:rPr>
          <w:rFonts w:hint="eastAsia" w:ascii="宋体" w:hAnsi="宋体" w:eastAsia="宋体" w:cs="Times New Roman"/>
          <w:b w:val="0"/>
          <w:bCs w:val="0"/>
          <w:color w:val="000000"/>
          <w:kern w:val="0"/>
          <w:sz w:val="32"/>
          <w:szCs w:val="32"/>
          <w:highlight w:val="none"/>
          <w:lang w:val="en-US" w:eastAsia="zh-CN" w:bidi="ar-SA"/>
        </w:rPr>
        <w:t>（二）加强推进“科普中国”湖南行动，逐步建立科普服务新体系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200" w:firstLine="640" w:firstLineChars="200"/>
        <w:jc w:val="both"/>
        <w:textAlignment w:val="auto"/>
        <w:outlineLvl w:val="9"/>
        <w:rPr>
          <w:rFonts w:hint="eastAsia" w:ascii="宋体" w:hAnsi="宋体" w:eastAsia="宋体" w:cs="Times New Roman"/>
          <w:b w:val="0"/>
          <w:bCs w:val="0"/>
          <w:color w:val="000000"/>
          <w:kern w:val="0"/>
          <w:sz w:val="32"/>
          <w:szCs w:val="32"/>
          <w:highlight w:val="none"/>
          <w:lang w:val="en-US" w:eastAsia="zh-CN" w:bidi="ar-SA"/>
        </w:rPr>
      </w:pPr>
      <w:r>
        <w:rPr>
          <w:rFonts w:hint="eastAsia" w:ascii="宋体" w:hAnsi="宋体" w:eastAsia="宋体" w:cs="Times New Roman"/>
          <w:b w:val="0"/>
          <w:bCs w:val="0"/>
          <w:color w:val="000000"/>
          <w:kern w:val="0"/>
          <w:sz w:val="32"/>
          <w:szCs w:val="32"/>
          <w:highlight w:val="none"/>
          <w:lang w:val="en-US" w:eastAsia="zh-CN" w:bidi="ar-SA"/>
        </w:rPr>
        <w:t>1、构建社会化大科普格局。按照上级文件精神贯彻落实“科普中国”行动实施方案。经区级申报、市级审核、省级推荐，中国科协研究确定雨花区作为2021—2025年度第二批全国科普示范区创建单位。省科协于7月25日来我区开展检查验收工作，为做好迎检工作，区科协草拟了调研方案《雨花区创建全国科普示范县（市、区）工作方案（送审稿）》，于2022年7月圆满完成“2021-2025年度第二批全国科普示范区”创建验收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200" w:firstLine="640" w:firstLineChars="200"/>
        <w:jc w:val="both"/>
        <w:textAlignment w:val="auto"/>
        <w:outlineLvl w:val="9"/>
        <w:rPr>
          <w:rFonts w:hint="eastAsia" w:ascii="宋体" w:hAnsi="宋体" w:eastAsia="宋体" w:cs="Times New Roman"/>
          <w:b w:val="0"/>
          <w:bCs w:val="0"/>
          <w:color w:val="000000"/>
          <w:kern w:val="0"/>
          <w:sz w:val="32"/>
          <w:szCs w:val="32"/>
          <w:highlight w:val="none"/>
          <w:lang w:val="en-US" w:eastAsia="zh-CN" w:bidi="ar-SA"/>
        </w:rPr>
      </w:pPr>
      <w:r>
        <w:rPr>
          <w:rFonts w:hint="eastAsia" w:ascii="宋体" w:hAnsi="宋体" w:eastAsia="宋体" w:cs="Times New Roman"/>
          <w:b w:val="0"/>
          <w:bCs w:val="0"/>
          <w:color w:val="000000"/>
          <w:kern w:val="0"/>
          <w:sz w:val="32"/>
          <w:szCs w:val="32"/>
          <w:highlight w:val="none"/>
          <w:lang w:val="en-US" w:eastAsia="zh-CN" w:bidi="ar-SA"/>
        </w:rPr>
        <w:t>2、持续推进科普信息化。继续实施“科普信息化”项目，实现基层科协组织和科普信息化全覆盖。制定《关于进一加强2022年科普信息员队伍建设和传播分享的通知》（雨科协发〔2022〕2号），通过广泛宣传发动和系列科普活动开展，我区科普中国信息员注册量26000余人，科普信息传播量为460万余人。年度排名为全市第三，内五区第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200" w:firstLine="640" w:firstLineChars="200"/>
        <w:jc w:val="both"/>
        <w:textAlignment w:val="auto"/>
        <w:outlineLvl w:val="9"/>
        <w:rPr>
          <w:rFonts w:hint="eastAsia" w:ascii="宋体" w:hAnsi="宋体" w:eastAsia="宋体" w:cs="Times New Roman"/>
          <w:b w:val="0"/>
          <w:bCs w:val="0"/>
          <w:color w:val="000000"/>
          <w:kern w:val="0"/>
          <w:sz w:val="32"/>
          <w:szCs w:val="32"/>
          <w:highlight w:val="none"/>
          <w:lang w:val="en-US" w:eastAsia="zh-CN" w:bidi="ar-SA"/>
        </w:rPr>
      </w:pPr>
      <w:r>
        <w:rPr>
          <w:rFonts w:hint="eastAsia" w:ascii="宋体" w:hAnsi="宋体" w:eastAsia="宋体" w:cs="Times New Roman"/>
          <w:b w:val="0"/>
          <w:bCs w:val="0"/>
          <w:color w:val="000000"/>
          <w:kern w:val="0"/>
          <w:sz w:val="32"/>
          <w:szCs w:val="32"/>
          <w:highlight w:val="none"/>
          <w:lang w:val="en-US" w:eastAsia="zh-CN" w:bidi="ar-SA"/>
        </w:rPr>
        <w:t>（三）创新搭建科普服务新载体，助力基层科普活动有新突破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200" w:firstLine="640" w:firstLineChars="200"/>
        <w:jc w:val="both"/>
        <w:textAlignment w:val="auto"/>
        <w:outlineLvl w:val="9"/>
        <w:rPr>
          <w:rFonts w:hint="eastAsia" w:ascii="宋体" w:hAnsi="宋体" w:eastAsia="宋体" w:cs="Times New Roman"/>
          <w:b w:val="0"/>
          <w:bCs w:val="0"/>
          <w:color w:val="000000"/>
          <w:kern w:val="0"/>
          <w:sz w:val="32"/>
          <w:szCs w:val="32"/>
          <w:highlight w:val="none"/>
          <w:lang w:val="en-US" w:eastAsia="zh-CN" w:bidi="ar-SA"/>
        </w:rPr>
      </w:pPr>
      <w:r>
        <w:rPr>
          <w:rFonts w:hint="eastAsia" w:ascii="宋体" w:hAnsi="宋体" w:eastAsia="宋体" w:cs="Times New Roman"/>
          <w:b w:val="0"/>
          <w:bCs w:val="0"/>
          <w:color w:val="000000"/>
          <w:kern w:val="0"/>
          <w:sz w:val="32"/>
          <w:szCs w:val="32"/>
          <w:highlight w:val="none"/>
          <w:lang w:val="en-US" w:eastAsia="zh-CN" w:bidi="ar-SA"/>
        </w:rPr>
        <w:t>1、助力企业科技创新。一是为积极加强与企业的切实沟通了解，加大对科技工作者的服务，准确把握我区科技工作者的基本情况，进一步团结和引导全区科技工作者为奋力建设现代化一流强区贡献智慧和力量，4月21日联合区妇联、区直机关工委一道走访园区科技企业。向企业介绍了科技工作者的人才托举评奖及院士专家工作站等相关惠企政策，并鼓励企业入驻“科创中国”平台，充分利用平台资源有效地实现企业与技术、人才、科技等创新要素供需对接，为企业的创新科技发展提供智力支持。二是积极动员组织具备条件的企业创建专家工作站，做好宣传发动、解疑答惑等工作，并积极争取省、市科协的支持，及时推荐中国建筑第五工程局有限公司、可孚医疗科技股份有限公司、湖南百舸水利建设服务有限公司三家企业成功申报专家工作站,促使科技有关奖励政策有效落地，惠及企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200" w:firstLine="640" w:firstLineChars="200"/>
        <w:jc w:val="both"/>
        <w:textAlignment w:val="auto"/>
        <w:outlineLvl w:val="9"/>
        <w:rPr>
          <w:rFonts w:hint="eastAsia" w:ascii="宋体" w:hAnsi="宋体" w:eastAsia="宋体" w:cs="Times New Roman"/>
          <w:b w:val="0"/>
          <w:bCs w:val="0"/>
          <w:color w:val="000000"/>
          <w:kern w:val="0"/>
          <w:sz w:val="32"/>
          <w:szCs w:val="32"/>
          <w:highlight w:val="none"/>
          <w:lang w:val="en-US" w:eastAsia="zh-CN" w:bidi="ar-SA"/>
        </w:rPr>
      </w:pPr>
      <w:r>
        <w:rPr>
          <w:rFonts w:hint="eastAsia" w:ascii="宋体" w:hAnsi="宋体" w:eastAsia="宋体" w:cs="Times New Roman"/>
          <w:b w:val="0"/>
          <w:bCs w:val="0"/>
          <w:color w:val="000000"/>
          <w:kern w:val="0"/>
          <w:sz w:val="32"/>
          <w:szCs w:val="32"/>
          <w:highlight w:val="none"/>
          <w:lang w:val="en-US" w:eastAsia="zh-CN" w:bidi="ar-SA"/>
        </w:rPr>
        <w:t>2、开展丰富多彩的科普活动。一是为营造热爱科学、崇尚创新的浓厚氛围，进而带动全民科学素质整体提升，4月20日—29日组织发动部门街（镇）、园区企业、学校参加在“科普长沙”微信公众号平台开展“助力强省会 一起向未来”2022年长沙市公民科学素质知识竞赛。二是6月16日上午，联合区应急管理局、区总工会在雨花市民广场开展雨花区2022年“遵守安全生产法，当好第一责任人”主题安全宣传咨询日活动，共有区安委会成员单位、企业代表、社区群众等100余人参加活动。三是为了深入开展“双减”教育活动，激发青少年的科技创新能力，提高全民科学素质，5月13日在长沙市科技活动中心的支持下，科普大篷车活动走进了雨花区红星小学开展校园活动。6月1日科普大篷车活动走进了长沙市妇女儿童活动中心,为孩子们带来了一场别开生面的“科普盛宴”,让孩子们近距离感受科技的无穷魅力,近1000余名孩子、家长和志愿者参加活动。四是6月30日，雨花区2022年“院士专家雨花行”—首届“智汇雨花.工程智谷”技术创新座谈会在中机国际成功举办，本次创新座谈会以“强省会”战略为契机，为雨花区工程技术行业发展包括空间建设、设计、施工、科研等单位提供了一个交流平台，探讨了中部（长沙）工程技术创新智谷的发展思路。</w:t>
      </w:r>
    </w:p>
    <w:p>
      <w:pPr>
        <w:ind w:firstLine="800" w:firstLineChars="249"/>
        <w:rPr>
          <w:rFonts w:hint="eastAsia" w:ascii="宋体" w:hAnsi="宋体" w:eastAsia="宋体" w:cs="Times New Roman"/>
          <w:b/>
          <w:bCs/>
          <w:color w:val="000000"/>
          <w:kern w:val="0"/>
          <w:sz w:val="32"/>
          <w:szCs w:val="32"/>
          <w:highlight w:val="none"/>
          <w:lang w:val="en-US" w:eastAsia="zh-CN" w:bidi="ar-SA"/>
        </w:rPr>
      </w:pPr>
      <w:r>
        <w:rPr>
          <w:rFonts w:hint="eastAsia" w:ascii="宋体" w:hAnsi="宋体" w:eastAsia="宋体" w:cs="Times New Roman"/>
          <w:b/>
          <w:bCs/>
          <w:color w:val="000000"/>
          <w:kern w:val="0"/>
          <w:sz w:val="32"/>
          <w:szCs w:val="32"/>
          <w:highlight w:val="none"/>
          <w:lang w:val="en-US" w:eastAsia="zh-CN" w:bidi="ar-SA"/>
        </w:rPr>
        <w:t xml:space="preserve">六、存在的主要问题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200" w:firstLine="640" w:firstLineChars="200"/>
        <w:jc w:val="both"/>
        <w:textAlignment w:val="auto"/>
        <w:outlineLvl w:val="9"/>
        <w:rPr>
          <w:rFonts w:hint="eastAsia" w:ascii="宋体" w:hAnsi="宋体" w:eastAsia="宋体" w:cs="Times New Roman"/>
          <w:b w:val="0"/>
          <w:bCs w:val="0"/>
          <w:color w:val="000000"/>
          <w:kern w:val="0"/>
          <w:sz w:val="32"/>
          <w:szCs w:val="32"/>
          <w:highlight w:val="none"/>
          <w:lang w:val="en-US" w:eastAsia="zh-CN" w:bidi="ar-SA"/>
        </w:rPr>
      </w:pPr>
      <w:r>
        <w:rPr>
          <w:rFonts w:hint="eastAsia" w:ascii="宋体" w:hAnsi="宋体" w:eastAsia="宋体" w:cs="Times New Roman"/>
          <w:b w:val="0"/>
          <w:bCs w:val="0"/>
          <w:color w:val="000000"/>
          <w:kern w:val="0"/>
          <w:sz w:val="32"/>
          <w:szCs w:val="32"/>
          <w:highlight w:val="none"/>
          <w:lang w:val="en-US" w:eastAsia="zh-CN" w:bidi="ar-SA"/>
        </w:rPr>
        <w:t>政府采购执行率偏低，主要原因是年内工作的不确定因素，编制预算时不能精准预测。</w:t>
      </w:r>
    </w:p>
    <w:p>
      <w:pPr>
        <w:ind w:firstLine="800" w:firstLineChars="249"/>
        <w:rPr>
          <w:rFonts w:hint="eastAsia" w:ascii="宋体" w:hAnsi="宋体" w:eastAsia="宋体" w:cs="Times New Roman"/>
          <w:b/>
          <w:bCs/>
          <w:color w:val="000000"/>
          <w:kern w:val="0"/>
          <w:sz w:val="32"/>
          <w:szCs w:val="32"/>
          <w:highlight w:val="none"/>
          <w:lang w:val="en-US" w:eastAsia="zh-CN" w:bidi="ar-SA"/>
        </w:rPr>
      </w:pPr>
      <w:r>
        <w:rPr>
          <w:rFonts w:hint="eastAsia" w:ascii="宋体" w:hAnsi="宋体" w:eastAsia="宋体" w:cs="Times New Roman"/>
          <w:b/>
          <w:bCs/>
          <w:color w:val="000000"/>
          <w:kern w:val="0"/>
          <w:sz w:val="32"/>
          <w:szCs w:val="32"/>
          <w:highlight w:val="none"/>
          <w:lang w:val="en-US" w:eastAsia="zh-CN" w:bidi="ar-SA"/>
        </w:rPr>
        <w:t>七、下一步改进措施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200" w:firstLine="640" w:firstLineChars="200"/>
        <w:jc w:val="both"/>
        <w:textAlignment w:val="auto"/>
        <w:outlineLvl w:val="9"/>
        <w:rPr>
          <w:rFonts w:hint="default" w:ascii="宋体" w:hAnsi="宋体" w:eastAsia="宋体" w:cs="Times New Roman"/>
          <w:b w:val="0"/>
          <w:bCs w:val="0"/>
          <w:color w:val="000000"/>
          <w:kern w:val="0"/>
          <w:sz w:val="32"/>
          <w:szCs w:val="32"/>
          <w:highlight w:val="none"/>
          <w:lang w:val="en-US" w:eastAsia="zh-CN" w:bidi="ar-SA"/>
        </w:rPr>
      </w:pPr>
      <w:r>
        <w:rPr>
          <w:rFonts w:hint="eastAsia" w:ascii="宋体" w:hAnsi="宋体" w:eastAsia="宋体" w:cs="Times New Roman"/>
          <w:b w:val="0"/>
          <w:bCs w:val="0"/>
          <w:color w:val="000000"/>
          <w:kern w:val="0"/>
          <w:sz w:val="32"/>
          <w:szCs w:val="32"/>
          <w:highlight w:val="none"/>
          <w:lang w:val="en-US" w:eastAsia="zh-CN" w:bidi="ar-SA"/>
        </w:rPr>
        <w:t>加强政府采购执行力度，一是年初编制采购预算时充分考虑单位实际需要。二是实际工作中规范政府采购流程，做到“应采尽采”，对于集中采购目录之外，采购限额标准以下的自行采购，做好比价询价程序。</w:t>
      </w:r>
    </w:p>
    <w:p>
      <w:pPr>
        <w:ind w:firstLine="602" w:firstLineChars="200"/>
        <w:rPr>
          <w:rFonts w:hint="eastAsia" w:ascii="仿宋_GB2312" w:eastAsia="仿宋_GB2312"/>
          <w:b/>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- 15 -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CEDB33"/>
    <w:multiLevelType w:val="singleLevel"/>
    <w:tmpl w:val="AFCEDB3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CA3463"/>
    <w:rsid w:val="0003702B"/>
    <w:rsid w:val="00261AFD"/>
    <w:rsid w:val="0042515B"/>
    <w:rsid w:val="004E626F"/>
    <w:rsid w:val="00575EB0"/>
    <w:rsid w:val="005B1860"/>
    <w:rsid w:val="005F590C"/>
    <w:rsid w:val="00610118"/>
    <w:rsid w:val="00780391"/>
    <w:rsid w:val="00932DB2"/>
    <w:rsid w:val="009864B1"/>
    <w:rsid w:val="00A16055"/>
    <w:rsid w:val="00B115E4"/>
    <w:rsid w:val="00B65290"/>
    <w:rsid w:val="00B8606F"/>
    <w:rsid w:val="00C12DB7"/>
    <w:rsid w:val="00CA3463"/>
    <w:rsid w:val="00DE16D6"/>
    <w:rsid w:val="00EB2D88"/>
    <w:rsid w:val="030853F0"/>
    <w:rsid w:val="036E3700"/>
    <w:rsid w:val="0FDF5034"/>
    <w:rsid w:val="12A40683"/>
    <w:rsid w:val="1A993774"/>
    <w:rsid w:val="1C6D3A68"/>
    <w:rsid w:val="1D1F4CC2"/>
    <w:rsid w:val="1EF53DE4"/>
    <w:rsid w:val="20875058"/>
    <w:rsid w:val="28132265"/>
    <w:rsid w:val="2A651786"/>
    <w:rsid w:val="2C0C7A5C"/>
    <w:rsid w:val="2D1E6AEC"/>
    <w:rsid w:val="353E67DD"/>
    <w:rsid w:val="35BF09EE"/>
    <w:rsid w:val="36925808"/>
    <w:rsid w:val="3DBF4AFE"/>
    <w:rsid w:val="424A7635"/>
    <w:rsid w:val="46E344D8"/>
    <w:rsid w:val="4D9C0F4F"/>
    <w:rsid w:val="50EE03E6"/>
    <w:rsid w:val="544B183A"/>
    <w:rsid w:val="58471FE8"/>
    <w:rsid w:val="5D1729C4"/>
    <w:rsid w:val="65855D35"/>
    <w:rsid w:val="6B0A0953"/>
    <w:rsid w:val="6B5F5F9B"/>
    <w:rsid w:val="701228E7"/>
    <w:rsid w:val="7ED060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90"/>
      <w:ind w:left="214"/>
    </w:pPr>
    <w:rPr>
      <w:rFonts w:ascii="仿宋_GB2312" w:hAnsi="仿宋_GB2312" w:eastAsia="仿宋_GB2312" w:cs="仿宋_GB2312"/>
      <w:sz w:val="32"/>
      <w:szCs w:val="32"/>
      <w:lang w:val="zh-CN" w:bidi="zh-CN"/>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Emphasis"/>
    <w:qFormat/>
    <w:uiPriority w:val="20"/>
    <w:rPr>
      <w:i/>
      <w:iCs/>
    </w:rPr>
  </w:style>
  <w:style w:type="character" w:customStyle="1" w:styleId="10">
    <w:name w:val="页脚 Char"/>
    <w:basedOn w:val="7"/>
    <w:link w:val="3"/>
    <w:qFormat/>
    <w:uiPriority w:val="0"/>
    <w:rPr>
      <w:kern w:val="2"/>
      <w:sz w:val="18"/>
      <w:szCs w:val="18"/>
    </w:rPr>
  </w:style>
  <w:style w:type="character" w:customStyle="1" w:styleId="11">
    <w:name w:val="页眉 Char"/>
    <w:basedOn w:val="7"/>
    <w:link w:val="4"/>
    <w:qFormat/>
    <w:uiPriority w:val="0"/>
    <w:rPr>
      <w:kern w:val="2"/>
      <w:sz w:val="18"/>
      <w:szCs w:val="18"/>
    </w:rPr>
  </w:style>
  <w:style w:type="paragraph" w:customStyle="1" w:styleId="12">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13">
    <w:name w:val="181"/>
    <w:basedOn w:val="1"/>
    <w:qFormat/>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www.xunchi.com</Company>
  <Pages>14</Pages>
  <Words>6287</Words>
  <Characters>6636</Characters>
  <Lines>25</Lines>
  <Paragraphs>7</Paragraphs>
  <TotalTime>0</TotalTime>
  <ScaleCrop>false</ScaleCrop>
  <LinksUpToDate>false</LinksUpToDate>
  <CharactersWithSpaces>7158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2016-03-24T02:59:00Z</dcterms:created>
  <dc:creator>Sun</dc:creator>
  <cp:lastModifiedBy>Administrator</cp:lastModifiedBy>
  <cp:lastPrinted>2023-05-19T03:21:00Z</cp:lastPrinted>
  <dcterms:modified xsi:type="dcterms:W3CDTF">2023-09-21T02:22:42Z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A9AC95623A83440BA395C64FAA8253F8_13</vt:lpwstr>
  </property>
</Properties>
</file>