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80"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长沙市雨花区跳马镇人民政府</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4010</w:t>
      </w:r>
      <w:r>
        <w:rPr>
          <w:rFonts w:hint="eastAsia" w:eastAsia="仿宋_GB2312"/>
          <w:sz w:val="32"/>
          <w:highlight w:val="none"/>
          <w:u w:val="single"/>
          <w:lang w:val="en-US" w:eastAsia="zh-CN"/>
        </w:rPr>
        <w:t>13</w:t>
      </w:r>
      <w:r>
        <w:rPr>
          <w:rFonts w:hint="eastAsia" w:eastAsia="仿宋_GB2312"/>
          <w:sz w:val="32"/>
          <w:highlight w:val="none"/>
          <w:u w:val="single"/>
        </w:rPr>
        <w:t xml:space="preserve">      </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4" w:type="default"/>
          <w:headerReference r:id="rId3" w:type="even"/>
          <w:footerReference r:id="rId5" w:type="even"/>
          <w:pgSz w:w="11906" w:h="16838"/>
          <w:pgMar w:top="1701" w:right="1531" w:bottom="1531" w:left="1531" w:header="851" w:footer="992" w:gutter="0"/>
          <w:pgNumType w:fmt="numberInDash" w:start="8"/>
          <w:cols w:space="720" w:num="1"/>
          <w:rtlGutter w:val="0"/>
          <w:docGrid w:type="lines" w:linePitch="316" w:charSpace="0"/>
        </w:sect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部门整体支出绩效评价指标表</w:t>
      </w:r>
    </w:p>
    <w:tbl>
      <w:tblPr>
        <w:tblStyle w:val="10"/>
        <w:tblW w:w="4997" w:type="pct"/>
        <w:tblInd w:w="0" w:type="dxa"/>
        <w:tblLayout w:type="autofit"/>
        <w:tblCellMar>
          <w:top w:w="0" w:type="dxa"/>
          <w:left w:w="108" w:type="dxa"/>
          <w:bottom w:w="0" w:type="dxa"/>
          <w:right w:w="108" w:type="dxa"/>
        </w:tblCellMar>
      </w:tblPr>
      <w:tblGrid>
        <w:gridCol w:w="416"/>
        <w:gridCol w:w="416"/>
        <w:gridCol w:w="550"/>
        <w:gridCol w:w="416"/>
        <w:gridCol w:w="836"/>
        <w:gridCol w:w="417"/>
        <w:gridCol w:w="2541"/>
        <w:gridCol w:w="2945"/>
        <w:gridCol w:w="518"/>
      </w:tblGrid>
      <w:tr>
        <w:tblPrEx>
          <w:tblCellMar>
            <w:top w:w="0" w:type="dxa"/>
            <w:left w:w="108" w:type="dxa"/>
            <w:bottom w:w="0" w:type="dxa"/>
            <w:right w:w="108" w:type="dxa"/>
          </w:tblCellMar>
        </w:tblPrEx>
        <w:trPr>
          <w:trHeight w:val="567" w:hRule="atLeast"/>
          <w:tblHeader/>
        </w:trPr>
        <w:tc>
          <w:tcPr>
            <w:tcW w:w="2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一级指标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3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二级指标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46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三级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评价标准</w:t>
            </w:r>
          </w:p>
        </w:tc>
        <w:tc>
          <w:tcPr>
            <w:tcW w:w="16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指标说明</w:t>
            </w:r>
          </w:p>
        </w:tc>
        <w:tc>
          <w:tcPr>
            <w:tcW w:w="2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得分</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04" w:type="pct"/>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16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政府采购执行率=（实际政府采购金额/政府采购预算数）×100%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567" w:hRule="atLeast"/>
        </w:trPr>
        <w:tc>
          <w:tcPr>
            <w:tcW w:w="230"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229"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04" w:type="pct"/>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0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62"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6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229" w:type="pct"/>
            <w:vMerge w:val="restart"/>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027" w:type="pct"/>
            <w:gridSpan w:val="2"/>
            <w:vMerge w:val="restart"/>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286"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229" w:type="pct"/>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27" w:type="pct"/>
            <w:gridSpan w:val="2"/>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86"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16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2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12</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填报单位：</w:t>
      </w:r>
      <w:r>
        <w:rPr>
          <w:rFonts w:hint="eastAsia" w:ascii="仿宋_GB2312" w:hAnsi="仿宋_GB2312" w:eastAsia="仿宋_GB2312" w:cs="仿宋_GB2312"/>
          <w:kern w:val="0"/>
          <w:sz w:val="24"/>
          <w:lang w:val="en-US" w:eastAsia="zh-CN"/>
        </w:rPr>
        <w:t>长沙市雨花区跳马镇人民政府</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p>
    <w:tbl>
      <w:tblPr>
        <w:tblStyle w:val="10"/>
        <w:tblW w:w="4998" w:type="pct"/>
        <w:jc w:val="center"/>
        <w:tblLayout w:type="autofit"/>
        <w:tblCellMar>
          <w:top w:w="0" w:type="dxa"/>
          <w:left w:w="108" w:type="dxa"/>
          <w:bottom w:w="0" w:type="dxa"/>
          <w:right w:w="108" w:type="dxa"/>
        </w:tblCellMar>
      </w:tblPr>
      <w:tblGrid>
        <w:gridCol w:w="3050"/>
        <w:gridCol w:w="1010"/>
        <w:gridCol w:w="939"/>
        <w:gridCol w:w="1121"/>
        <w:gridCol w:w="1064"/>
        <w:gridCol w:w="855"/>
        <w:gridCol w:w="1017"/>
      </w:tblGrid>
      <w:tr>
        <w:tblPrEx>
          <w:tblCellMar>
            <w:top w:w="0" w:type="dxa"/>
            <w:left w:w="108" w:type="dxa"/>
            <w:bottom w:w="0" w:type="dxa"/>
            <w:right w:w="108" w:type="dxa"/>
          </w:tblCellMar>
        </w:tblPrEx>
        <w:trPr>
          <w:trHeight w:val="763" w:hRule="atLeast"/>
          <w:jc w:val="center"/>
        </w:trPr>
        <w:tc>
          <w:tcPr>
            <w:tcW w:w="169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财政供养人员情况</w:t>
            </w:r>
          </w:p>
        </w:tc>
        <w:tc>
          <w:tcPr>
            <w:tcW w:w="103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编制数</w:t>
            </w:r>
          </w:p>
        </w:tc>
        <w:tc>
          <w:tcPr>
            <w:tcW w:w="122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年实际在职人数</w:t>
            </w:r>
          </w:p>
        </w:tc>
        <w:tc>
          <w:tcPr>
            <w:tcW w:w="1047"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控制率</w:t>
            </w:r>
          </w:p>
        </w:tc>
      </w:tr>
      <w:tr>
        <w:tblPrEx>
          <w:tblCellMar>
            <w:top w:w="0" w:type="dxa"/>
            <w:left w:w="108" w:type="dxa"/>
            <w:bottom w:w="0" w:type="dxa"/>
            <w:right w:w="108" w:type="dxa"/>
          </w:tblCellMar>
        </w:tblPrEx>
        <w:trPr>
          <w:trHeight w:val="177" w:hRule="atLeast"/>
          <w:jc w:val="center"/>
        </w:trPr>
        <w:tc>
          <w:tcPr>
            <w:tcW w:w="16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p>
        </w:tc>
        <w:tc>
          <w:tcPr>
            <w:tcW w:w="103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rPr>
              <w:t>　</w:t>
            </w:r>
            <w:r>
              <w:rPr>
                <w:rFonts w:hint="eastAsia" w:ascii="仿宋_GB2312" w:hAnsi="仿宋_GB2312" w:eastAsia="仿宋_GB2312" w:cs="仿宋_GB2312"/>
                <w:kern w:val="0"/>
                <w:sz w:val="24"/>
                <w:highlight w:val="none"/>
                <w:lang w:val="en-US" w:eastAsia="zh-CN"/>
              </w:rPr>
              <w:t>90</w:t>
            </w:r>
          </w:p>
        </w:tc>
        <w:tc>
          <w:tcPr>
            <w:tcW w:w="122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val="en-US" w:eastAsia="zh-CN"/>
              </w:rPr>
              <w:t>88</w:t>
            </w:r>
            <w:r>
              <w:rPr>
                <w:rFonts w:hint="eastAsia" w:ascii="仿宋_GB2312" w:hAnsi="仿宋_GB2312" w:eastAsia="仿宋_GB2312" w:cs="仿宋_GB2312"/>
                <w:kern w:val="0"/>
                <w:sz w:val="24"/>
                <w:highlight w:val="none"/>
              </w:rPr>
              <w:t>　</w:t>
            </w:r>
          </w:p>
        </w:tc>
        <w:tc>
          <w:tcPr>
            <w:tcW w:w="1047"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lang w:val="en-US" w:eastAsia="zh-CN"/>
              </w:rPr>
              <w:t>91.78%</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经费控制情况</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2021</w:t>
            </w:r>
            <w:r>
              <w:rPr>
                <w:rFonts w:hint="eastAsia" w:ascii="仿宋_GB2312" w:hAnsi="仿宋_GB2312" w:eastAsia="仿宋_GB2312" w:cs="仿宋_GB2312"/>
                <w:b/>
                <w:bCs/>
                <w:kern w:val="0"/>
                <w:sz w:val="24"/>
              </w:rPr>
              <w:t>年决算数</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年预算数</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年决算数</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三公经费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25.8</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5.94</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5.78</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1、公务用车购置和维护经费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25.8</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5.94</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5.78</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其中：公车购置</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17.98</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　</w:t>
            </w:r>
            <w:r>
              <w:rPr>
                <w:rFonts w:hint="eastAsia" w:ascii="仿宋_GB2312" w:hAnsi="仿宋_GB2312" w:eastAsia="仿宋_GB2312" w:cs="仿宋_GB2312"/>
                <w:kern w:val="0"/>
                <w:sz w:val="24"/>
                <w:lang w:val="en-US" w:eastAsia="zh-CN"/>
              </w:rPr>
              <w:t>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公车运行维护</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7.82</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5.94</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5.78</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2、出国经费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3、公务接待</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10800.44</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　</w:t>
            </w:r>
            <w:r>
              <w:rPr>
                <w:rFonts w:hint="eastAsia" w:ascii="仿宋_GB2312" w:hAnsi="仿宋_GB2312" w:eastAsia="仿宋_GB2312" w:cs="仿宋_GB2312"/>
                <w:kern w:val="0"/>
                <w:sz w:val="24"/>
                <w:lang w:val="en-US" w:eastAsia="zh-CN"/>
              </w:rPr>
              <w:t>2299.77</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6466.89</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1、业务工作专项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10800.44</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　</w:t>
            </w:r>
            <w:r>
              <w:rPr>
                <w:rFonts w:hint="eastAsia" w:ascii="仿宋_GB2312" w:hAnsi="仿宋_GB2312" w:eastAsia="仿宋_GB2312" w:cs="仿宋_GB2312"/>
                <w:kern w:val="0"/>
                <w:sz w:val="24"/>
                <w:lang w:val="en-US" w:eastAsia="zh-CN"/>
              </w:rPr>
              <w:t>2299.77</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6466.89</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2、运行维护专项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217.15</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highlight w:val="none"/>
                <w:lang w:val="en-US"/>
              </w:rPr>
            </w:pPr>
            <w:r>
              <w:rPr>
                <w:rFonts w:hint="eastAsia" w:ascii="仿宋_GB2312" w:hAnsi="仿宋_GB2312" w:eastAsia="仿宋_GB2312" w:cs="仿宋_GB2312"/>
                <w:kern w:val="0"/>
                <w:sz w:val="24"/>
                <w:highlight w:val="none"/>
                <w:lang w:val="en-US" w:eastAsia="zh-CN"/>
              </w:rPr>
              <w:t>147.9</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128.07</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其中：办公经费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19.15</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kern w:val="0"/>
                <w:sz w:val="24"/>
                <w:highlight w:val="none"/>
              </w:rPr>
            </w:pPr>
            <w:r>
              <w:rPr>
                <w:rFonts w:hint="eastAsia" w:ascii="仿宋_GB2312" w:hAnsi="仿宋_GB2312" w:eastAsia="仿宋_GB2312" w:cs="仿宋_GB2312"/>
                <w:color w:val="FF0000"/>
                <w:kern w:val="0"/>
                <w:sz w:val="24"/>
                <w:highlight w:val="none"/>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21.98</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水费、电费、差旅费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46.87</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46</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0.19</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会议费、培训费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4.05</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kern w:val="0"/>
                <w:sz w:val="24"/>
                <w:highlight w:val="none"/>
              </w:rPr>
            </w:pPr>
            <w:r>
              <w:rPr>
                <w:rFonts w:hint="eastAsia" w:ascii="仿宋_GB2312" w:hAnsi="仿宋_GB2312" w:eastAsia="仿宋_GB2312" w:cs="仿宋_GB2312"/>
                <w:color w:val="FF0000"/>
                <w:kern w:val="0"/>
                <w:sz w:val="24"/>
                <w:highlight w:val="none"/>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3.93</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政府采购金额</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　</w:t>
            </w:r>
            <w:r>
              <w:rPr>
                <w:rFonts w:hint="eastAsia" w:ascii="仿宋_GB2312" w:hAnsi="仿宋_GB2312" w:eastAsia="仿宋_GB2312" w:cs="仿宋_GB2312"/>
                <w:kern w:val="0"/>
                <w:sz w:val="24"/>
                <w:lang w:val="en-US" w:eastAsia="zh-CN"/>
              </w:rPr>
              <w:t>25.7</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51.94</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部门整体支出预算调整 </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154" w:hRule="atLeast"/>
          <w:jc w:val="center"/>
        </w:trPr>
        <w:tc>
          <w:tcPr>
            <w:tcW w:w="169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楼堂馆所控制情况</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（2019年完工项目）</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批复规模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4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实际规模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规模控制率</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预算投资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（万元）</w:t>
            </w:r>
          </w:p>
        </w:tc>
        <w:tc>
          <w:tcPr>
            <w:tcW w:w="4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实际投资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（万元）</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169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4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4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厉行节约保障措施</w:t>
            </w:r>
          </w:p>
        </w:tc>
        <w:tc>
          <w:tcPr>
            <w:tcW w:w="3307" w:type="pct"/>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严格控制和压缩一般性开支，确保收支平衡，“三公”经费支出力争压缩10%，行政办公经费支出力争压缩20%。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700" w:hRule="atLeast"/>
          <w:jc w:val="center"/>
        </w:trPr>
        <w:tc>
          <w:tcPr>
            <w:tcW w:w="5000" w:type="pct"/>
            <w:gridSpan w:val="7"/>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keepNext w:val="0"/>
        <w:keepLines w:val="0"/>
        <w:pageBreakBefore w:val="0"/>
        <w:kinsoku/>
        <w:wordWrap/>
        <w:overflowPunct/>
        <w:topLinePunct w:val="0"/>
        <w:autoSpaceDN/>
        <w:bidi w:val="0"/>
        <w:adjustRightInd/>
        <w:snapToGrid/>
        <w:spacing w:line="600" w:lineRule="exact"/>
        <w:textAlignment w:val="auto"/>
        <w:rPr>
          <w:rFonts w:hint="eastAsia" w:ascii="黑体" w:hAnsi="宋体" w:eastAsia="黑体" w:cs="宋体"/>
          <w:kern w:val="0"/>
          <w:sz w:val="32"/>
          <w:szCs w:val="32"/>
        </w:rPr>
      </w:pPr>
      <w:r>
        <w:rPr>
          <w:rFonts w:hint="eastAsia" w:ascii="黑体" w:hAnsi="宋体" w:eastAsia="黑体" w:cs="宋体"/>
          <w:kern w:val="0"/>
          <w:sz w:val="32"/>
          <w:szCs w:val="32"/>
        </w:rPr>
        <w:t>附件3</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center"/>
        <w:textAlignment w:val="auto"/>
        <w:rPr>
          <w:rFonts w:hint="eastAsia" w:ascii="Times New Roman" w:hAnsi="Times New Roman" w:eastAsia="方正小标宋简体" w:cs="方正小标宋简体"/>
          <w:b w:val="0"/>
          <w:bCs w:val="0"/>
          <w:color w:val="auto"/>
          <w:kern w:val="2"/>
          <w:sz w:val="44"/>
          <w:szCs w:val="44"/>
          <w:lang w:val="en-US" w:eastAsia="zh-CN" w:bidi="ar"/>
        </w:rPr>
      </w:pPr>
      <w:r>
        <w:rPr>
          <w:rFonts w:hint="eastAsia" w:ascii="Times New Roman" w:hAnsi="Times New Roman" w:eastAsia="方正小标宋简体" w:cs="方正小标宋简体"/>
          <w:b w:val="0"/>
          <w:bCs w:val="0"/>
          <w:color w:val="auto"/>
          <w:kern w:val="2"/>
          <w:sz w:val="44"/>
          <w:szCs w:val="44"/>
          <w:lang w:val="en-US" w:eastAsia="zh-CN" w:bidi="ar"/>
        </w:rPr>
        <w:t>部门整体支出绩效报告</w:t>
      </w:r>
    </w:p>
    <w:p>
      <w:pPr>
        <w:keepNext w:val="0"/>
        <w:keepLines w:val="0"/>
        <w:pageBreakBefore w:val="0"/>
        <w:kinsoku/>
        <w:wordWrap/>
        <w:overflowPunct/>
        <w:topLinePunct w:val="0"/>
        <w:autoSpaceDN/>
        <w:bidi w:val="0"/>
        <w:adjustRightInd/>
        <w:snapToGrid/>
        <w:spacing w:line="600" w:lineRule="exact"/>
        <w:ind w:firstLine="750" w:firstLineChars="250"/>
        <w:textAlignment w:val="auto"/>
        <w:rPr>
          <w:rFonts w:hint="eastAsia"/>
          <w:sz w:val="30"/>
          <w:szCs w:val="30"/>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一、部门概况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楷体_GB2312" w:hAnsi="楷体_GB2312" w:eastAsia="楷体_GB2312" w:cs="楷体_GB2312"/>
          <w:kern w:val="0"/>
          <w:sz w:val="32"/>
          <w:szCs w:val="32"/>
          <w:lang w:val="en-US" w:eastAsia="zh-CN"/>
        </w:rPr>
        <w:t>（一）2022年12月街道实有编内人员88人</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lang w:val="en-US" w:eastAsia="zh-CN"/>
        </w:rPr>
        <w:t>其中：在岗编制人数为88名，包括机关行政编制为40名，全额拨款事业编制48名；（享受编内待遇的其他人员9名（含人才引进2人、挂编学生2人、转业士官3人、机构改革未竞聘上岗1人、机关雇员1人）；2022年12月街道实有编外人员132人，其中：雇员59人，社会救助专干7名，综治巡防员27人，城管协管员24名，文化专干3名，应急队员10名，残疾人岗位1名，协税护税员1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内设机构：党政综合办公室、基层党建办公室、经济发展办公室（农业农村办公室）、社会事务办公室（行政审批服务办公室）、生态环境管理办公室（城市管理办公室）、公共安全及应急管理办公室、农业农村综合服务中心、村镇建设服务中心、政务（便民）服务中心（党群服务中心）、财政所（加挂“三资”监管服务中心、审计站）、行政综合执法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其他设置：跳马镇人民代表大会主席团、跳马镇纪律检查委员会、跳马镇人民武装部。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（三）主要职能：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负责本行政区域内的民政、计划生育、 文化教育、卫生、体育等社会公益事业的综合性工作，维护一切经济单位和个人的正当经济权益，取缔非法经济活动，调解和处理 民事纠纷，打击刑事犯罪维护社会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（4）按计划组织本级财政收入和地方税的征收，完成国家财政计划，不断培植税源，管好财政资金，增强财政实力。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（5）抓好精神文明建设，丰富 群众文化生活，提倡移风易俗，反对封建迷信，破除陈规陋习，树立社会主义新风尚。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（6）完成上级政府交办的其它事项。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2022年度完成一般预算支出9902万元（其中基本支出3435.11万元、项目支出6466.89万元）。一般公共服务支出3706万元；公共安全支出21万元；文化旅游体育及传媒支出3万元；社会保障和就业支出614万元；城乡社区支出237万元；农林水支出5321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二、部门整体支出管理及使用情况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（一）2022年基本支出3435.58万元，其中人员经费3307.51万元、公用经费128.07万元。“三公”经费决算数为5.78万元，其中，公务接待费0万元，公务用车购置及维护经费5.78万元。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highlight w:val="none"/>
        </w:rPr>
      </w:pPr>
      <w:r>
        <w:rPr>
          <w:rFonts w:hint="eastAsia" w:ascii="仿宋_GB2312" w:hAnsi="宋体" w:eastAsia="仿宋_GB2312" w:cs="宋体"/>
          <w:kern w:val="0"/>
          <w:sz w:val="32"/>
          <w:szCs w:val="32"/>
          <w:highlight w:val="none"/>
          <w:lang w:val="en-US" w:eastAsia="zh-CN"/>
        </w:rPr>
        <w:t xml:space="preserve">（二）专项支出。 </w:t>
      </w: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专项资金</w:t>
      </w:r>
      <w:r>
        <w:rPr>
          <w:rFonts w:hint="eastAsia" w:ascii="仿宋_GB2312" w:eastAsia="仿宋_GB2312"/>
          <w:sz w:val="32"/>
          <w:szCs w:val="32"/>
          <w:highlight w:val="none"/>
          <w:lang w:val="en-US" w:eastAsia="zh-CN"/>
        </w:rPr>
        <w:t>6466.89万元，均为一般公共预算收入</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2、专项资金（主要指财政资金）实际使用情况分析。2022年度区级预算安排的专项资金涉及44个专项项目，其中预算执行率为100%的专项项目由24个，按照“谁支出，谁负责”、“谁使用、谁评价” 的原则，根据各办线的使用资金的情况，将24个专项项目整合成9个专项项目共计2629.63万元，即2022年巡防人员专项经费79.23万元、2022年社区运行经费177万元、2022年度工程项目1298.39万元、金屏片区小微水体管护示范创建工程9.36万元、金屏片区无害化厕所改造设备采购及安装项目10.92万元、2021年度美丽宜居村庄建设680万元、2020年扶贫公路建设资金37.47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专项资金管理情况。建立镇指标使用预警制度，定期督促各办线及时使用资金，提高资金使用效率；建立镇预算执行进度考核和加强项目绩效评价，强化预算管理工作；加强对工程款、乡村振兴等专项资金的使用管理，各办线、各村社建立专项资金使用台帐，做到专项资金的使用底册清楚，切实做到专项管理、专款专用、专账核算；建立村级债务化解典型案例，其他村社债务化解学习其方式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三、部门专项组织实施情况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专项组织情况分析。项目前期报区人民政府批复立项后，组织专业技术人员进行现场踏勘、设计，完成项目招标程序及建设实施流程；项目建设过程中组织定期自检及迎接上级部门的检查，不断加强工程质量、安全、进度以及财务管理，确保项目建设质量、安全、进度到位、财务管理规范；项目建设完成后，经验收组现场验收测量及资料检查评分，一致同意该工程的质量等级评定为合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（二）专项管理情况分析。按照《雨花区跳马镇工程建设项目操作细则》《雨花区跳马镇人民政府工程建设项目招投标管理办法》《跳马镇财政资金支付细则》等文件要求执行。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四、资产管理情况</w:t>
      </w:r>
      <w:r>
        <w:rPr>
          <w:rFonts w:hint="eastAsia" w:ascii="黑体" w:hAnsi="黑体" w:eastAsia="黑体" w:cs="黑体"/>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lang w:val="en-US" w:eastAsia="zh-CN"/>
        </w:rPr>
        <w:t>规范资产管理制度，加快编制我镇固定资产表和资产负债表，实行资产分类管理和实名制管理，规范固定资产采购、维护和报废程序。</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sz w:val="32"/>
          <w:szCs w:val="32"/>
        </w:rPr>
        <w:t>部门整体支出绩效情况</w:t>
      </w:r>
      <w:r>
        <w:rPr>
          <w:rFonts w:hint="eastAsia" w:ascii="黑体" w:hAnsi="黑体" w:eastAsia="黑体" w:cs="黑体"/>
          <w:b w:val="0"/>
          <w:bCs/>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完成了水库坝顶道路改造、增加排水设施、塌土方的清理和外运、边坡修复、砌挡土墙、截排水沟、喷锚支护、三维植被网喷草籽、护坡面修整、路基铺碎石、路面沥青摊铺及路面绿化带种植等。如：鸭巢冲水库坝顶道路改造及增加排水设施，主要为坝顶道路找平并采用沥青硬化面积约900m2，新建排水沟长约310m，φ600混凝土管铺设约60m，φ1000混凝土管铺设约16m，新建集水井4座，新建沉砂池2座等内容。跳马镇石桥村中石油郑长成品油管道水毁工程，解决管道上方200余米渠道积水问题，排水局和排水管道50米等提质改造内容。</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提质改造以贴近民生，重在实际为原则，有效消除了安全隐患，保障了人民群众生命财产安全，又解决了居民生活中的实际</w:t>
      </w:r>
      <w:r>
        <w:rPr>
          <w:rFonts w:hint="eastAsia" w:ascii="仿宋_GB2312" w:eastAsia="仿宋_GB2312" w:cs="宋体"/>
          <w:kern w:val="0"/>
          <w:sz w:val="32"/>
          <w:szCs w:val="32"/>
          <w:lang w:val="en-US" w:eastAsia="zh-CN" w:bidi="ar-SA"/>
        </w:rPr>
        <w:t>困</w:t>
      </w:r>
      <w:bookmarkStart w:id="0" w:name="_GoBack"/>
      <w:bookmarkEnd w:id="0"/>
      <w:r>
        <w:rPr>
          <w:rFonts w:hint="eastAsia" w:ascii="仿宋_GB2312" w:hAnsi="宋体" w:eastAsia="仿宋_GB2312" w:cs="宋体"/>
          <w:kern w:val="0"/>
          <w:sz w:val="32"/>
          <w:szCs w:val="32"/>
          <w:lang w:val="en-US" w:eastAsia="zh-CN" w:bidi="ar-SA"/>
        </w:rPr>
        <w:t>难和问题，使周边环境整体得到提升。项目前期做好现场踏勘、设计等工作；建设过程中定期自检及迎接上级部门的检查，不断加强工程质量、安全、进度管理以及财务管理，确保项目建设质量、安全、进度到位、财务管理规范。</w:t>
      </w:r>
    </w:p>
    <w:p>
      <w:pPr>
        <w:keepNext w:val="0"/>
        <w:keepLines w:val="0"/>
        <w:pageBreakBefore w:val="0"/>
        <w:kinsoku/>
        <w:wordWrap/>
        <w:overflowPunct/>
        <w:topLinePunct w:val="0"/>
        <w:autoSpaceDN/>
        <w:bidi w:val="0"/>
        <w:adjustRightInd/>
        <w:snapToGrid/>
        <w:spacing w:line="600" w:lineRule="exact"/>
        <w:ind w:firstLine="643" w:firstLineChars="200"/>
        <w:textAlignment w:val="auto"/>
        <w:rPr>
          <w:rFonts w:hint="eastAsia" w:ascii="仿宋_GB2312" w:eastAsia="仿宋_GB2312"/>
          <w:b/>
          <w:sz w:val="32"/>
          <w:szCs w:val="32"/>
        </w:rPr>
      </w:pPr>
    </w:p>
    <w:sectPr>
      <w:pgSz w:w="11906" w:h="16838"/>
      <w:pgMar w:top="1701" w:right="1531" w:bottom="1531"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- 15 -</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53F9"/>
    <w:multiLevelType w:val="singleLevel"/>
    <w:tmpl w:val="06C353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DE16D6"/>
    <w:rsid w:val="00EB2D88"/>
    <w:rsid w:val="030853F0"/>
    <w:rsid w:val="14CB5B87"/>
    <w:rsid w:val="1B8460C5"/>
    <w:rsid w:val="219D2A36"/>
    <w:rsid w:val="254C2111"/>
    <w:rsid w:val="28132265"/>
    <w:rsid w:val="2F9B168F"/>
    <w:rsid w:val="31E142C5"/>
    <w:rsid w:val="3DBF4AFE"/>
    <w:rsid w:val="3EC266F4"/>
    <w:rsid w:val="44BA68A9"/>
    <w:rsid w:val="5134341B"/>
    <w:rsid w:val="5D1729C4"/>
    <w:rsid w:val="65855D35"/>
    <w:rsid w:val="6B2C0AC5"/>
    <w:rsid w:val="71163687"/>
    <w:rsid w:val="75F20841"/>
    <w:rsid w:val="78544995"/>
    <w:rsid w:val="785E2919"/>
    <w:rsid w:val="78EF4B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Normal Indent"/>
    <w:basedOn w:val="1"/>
    <w:qFormat/>
    <w:uiPriority w:val="0"/>
    <w:pPr>
      <w:ind w:firstLine="640" w:firstLineChars="200"/>
    </w:pPr>
    <w:rPr>
      <w:rFonts w:ascii="仿宋_GB2312" w:hAnsi="仿宋" w:eastAsia="仿宋_GB2312" w:cs="仿宋"/>
      <w:bCs/>
      <w:sz w:val="32"/>
      <w:szCs w:val="32"/>
    </w:rPr>
  </w:style>
  <w:style w:type="paragraph" w:styleId="4">
    <w:name w:val="Body Text"/>
    <w:basedOn w:val="1"/>
    <w:next w:val="1"/>
    <w:qFormat/>
    <w:uiPriority w:val="0"/>
  </w:style>
  <w:style w:type="paragraph" w:styleId="5">
    <w:name w:val="Body Text Indent"/>
    <w:basedOn w:val="1"/>
    <w:next w:val="6"/>
    <w:qFormat/>
    <w:uiPriority w:val="99"/>
    <w:pPr>
      <w:spacing w:after="120"/>
      <w:ind w:left="420" w:leftChars="200"/>
    </w:pPr>
  </w:style>
  <w:style w:type="paragraph" w:styleId="6">
    <w:name w:val="Body Text First Indent 2"/>
    <w:basedOn w:val="5"/>
    <w:next w:val="1"/>
    <w:qFormat/>
    <w:uiPriority w:val="99"/>
    <w:pPr>
      <w:ind w:firstLine="420" w:firstLineChars="200"/>
    </w:p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uiPriority w:val="0"/>
  </w:style>
  <w:style w:type="character" w:customStyle="1" w:styleId="14">
    <w:name w:val="页脚 Char"/>
    <w:basedOn w:val="11"/>
    <w:link w:val="7"/>
    <w:uiPriority w:val="0"/>
    <w:rPr>
      <w:kern w:val="2"/>
      <w:sz w:val="18"/>
      <w:szCs w:val="18"/>
    </w:rPr>
  </w:style>
  <w:style w:type="character" w:customStyle="1" w:styleId="15">
    <w:name w:val="页眉 Char"/>
    <w:basedOn w:val="11"/>
    <w:link w:val="8"/>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9</Pages>
  <Words>4256</Words>
  <Characters>4676</Characters>
  <Lines>25</Lines>
  <Paragraphs>7</Paragraphs>
  <TotalTime>440</TotalTime>
  <ScaleCrop>false</ScaleCrop>
  <LinksUpToDate>false</LinksUpToDate>
  <CharactersWithSpaces>5189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cp:lastPrinted>2023-05-22T07:53:00Z</cp:lastPrinted>
  <dcterms:modified xsi:type="dcterms:W3CDTF">2023-11-07T03:39:02Z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3D3881F1C39C4EF3B46F416D55A2FBE3_13</vt:lpwstr>
  </property>
</Properties>
</file>