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2"/>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一级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二级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投入</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目标</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设定</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t>6</w:t>
            </w:r>
            <w:r>
              <w:rPr>
                <w:rStyle w:val="4"/>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绩效目标</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①是否符合国家法律法规、国民经济和社会发展总体规划；</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②是否符合部门</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三定</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方案确定的职责；</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①符合国家相关法律法规，本</w:t>
            </w:r>
            <w:r>
              <w:rPr>
                <w:rStyle w:val="4"/>
                <w:rFonts w:hint="eastAsia" w:cs="Times New Roman"/>
                <w:sz w:val="20"/>
                <w:szCs w:val="20"/>
                <w:lang w:val="en-US" w:eastAsia="zh-CN" w:bidi="ar"/>
              </w:rPr>
              <w:t>区</w:t>
            </w:r>
            <w:r>
              <w:rPr>
                <w:rStyle w:val="4"/>
                <w:rFonts w:hint="default" w:ascii="Times New Roman" w:hAnsi="Times New Roman" w:cs="Times New Roman"/>
                <w:sz w:val="20"/>
                <w:szCs w:val="20"/>
                <w:lang w:val="en-US" w:eastAsia="zh-CN" w:bidi="ar"/>
              </w:rPr>
              <w:t>国民经济和社会发展规划，计</w:t>
            </w:r>
            <w:r>
              <w:rPr>
                <w:rStyle w:val="5"/>
                <w:rFonts w:hint="default" w:ascii="Times New Roman" w:hAnsi="Times New Roman" w:eastAsia="宋体" w:cs="Times New Roman"/>
                <w:sz w:val="20"/>
                <w:szCs w:val="20"/>
                <w:lang w:val="en-US" w:eastAsia="zh-CN" w:bidi="ar"/>
              </w:rPr>
              <w:t>0.5</w:t>
            </w:r>
            <w:r>
              <w:rPr>
                <w:rStyle w:val="4"/>
                <w:rFonts w:hint="default" w:ascii="Times New Roman" w:hAnsi="Times New Roman" w:cs="Times New Roman"/>
                <w:sz w:val="20"/>
                <w:szCs w:val="20"/>
                <w:lang w:val="en-US" w:eastAsia="zh-CN" w:bidi="ar"/>
              </w:rPr>
              <w:t>分，否则不得分；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②与部门（单位）职责密切相关，计</w:t>
            </w:r>
            <w:r>
              <w:rPr>
                <w:rStyle w:val="5"/>
                <w:rFonts w:hint="default" w:ascii="Times New Roman" w:hAnsi="Times New Roman" w:eastAsia="宋体" w:cs="Times New Roman"/>
                <w:sz w:val="20"/>
                <w:szCs w:val="20"/>
                <w:lang w:val="en-US" w:eastAsia="zh-CN" w:bidi="ar"/>
              </w:rPr>
              <w:t>0.5</w:t>
            </w:r>
            <w:r>
              <w:rPr>
                <w:rStyle w:val="4"/>
                <w:rFonts w:hint="default" w:ascii="Times New Roman" w:hAnsi="Times New Roman" w:cs="Times New Roman"/>
                <w:sz w:val="20"/>
                <w:szCs w:val="20"/>
                <w:lang w:val="en-US" w:eastAsia="zh-CN" w:bidi="ar"/>
              </w:rPr>
              <w:t>分，否则不得分；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③符合部门制定的发展实施规划，计</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4"/>
                <w:rFonts w:hint="default" w:ascii="Times New Roman" w:hAnsi="Times New Roman" w:cs="Times New Roman"/>
                <w:sz w:val="20"/>
                <w:szCs w:val="20"/>
                <w:lang w:val="en-US" w:eastAsia="zh-CN" w:bidi="ar"/>
              </w:rPr>
            </w:pPr>
            <w:r>
              <w:rPr>
                <w:rStyle w:val="4"/>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绩效指标</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①是否将部门整体的绩效目标细化分解为具体的工作任务；</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②是否通过清晰、可衡量的指标值予以体现。</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③是否与部门年度的任务数或计划数相对应；</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①有目标，计1分，否则不得分；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②目标明确，细化量化良好，个性指标中量化指标超过</w:t>
            </w:r>
            <w:r>
              <w:rPr>
                <w:rStyle w:val="5"/>
                <w:rFonts w:hint="default" w:ascii="Times New Roman" w:hAnsi="Times New Roman" w:eastAsia="宋体" w:cs="Times New Roman"/>
                <w:sz w:val="20"/>
                <w:szCs w:val="20"/>
                <w:lang w:val="en-US" w:eastAsia="zh-CN" w:bidi="ar"/>
              </w:rPr>
              <w:t>3</w:t>
            </w:r>
            <w:r>
              <w:rPr>
                <w:rStyle w:val="4"/>
                <w:rFonts w:hint="default" w:ascii="Times New Roman" w:hAnsi="Times New Roman" w:cs="Times New Roman"/>
                <w:sz w:val="20"/>
                <w:szCs w:val="20"/>
                <w:lang w:val="en-US" w:eastAsia="zh-CN" w:bidi="ar"/>
              </w:rPr>
              <w:t>个，计1分，量化指标为</w:t>
            </w:r>
            <w:r>
              <w:rPr>
                <w:rStyle w:val="5"/>
                <w:rFonts w:hint="default" w:ascii="Times New Roman" w:hAnsi="Times New Roman" w:eastAsia="宋体" w:cs="Times New Roman"/>
                <w:sz w:val="20"/>
                <w:szCs w:val="20"/>
                <w:lang w:val="en-US" w:eastAsia="zh-CN" w:bidi="ar"/>
              </w:rPr>
              <w:t>2</w:t>
            </w:r>
            <w:r>
              <w:rPr>
                <w:rStyle w:val="4"/>
                <w:rFonts w:hint="default" w:ascii="Times New Roman" w:hAnsi="Times New Roman" w:cs="Times New Roman"/>
                <w:sz w:val="20"/>
                <w:szCs w:val="20"/>
                <w:lang w:val="en-US" w:eastAsia="zh-CN" w:bidi="ar"/>
              </w:rPr>
              <w:t>个，计</w:t>
            </w:r>
            <w:r>
              <w:rPr>
                <w:rStyle w:val="5"/>
                <w:rFonts w:hint="default" w:ascii="Times New Roman" w:hAnsi="Times New Roman" w:eastAsia="宋体" w:cs="Times New Roman"/>
                <w:sz w:val="20"/>
                <w:szCs w:val="20"/>
                <w:lang w:val="en-US" w:eastAsia="zh-CN" w:bidi="ar"/>
              </w:rPr>
              <w:t>0.5</w:t>
            </w:r>
            <w:r>
              <w:rPr>
                <w:rStyle w:val="4"/>
                <w:rFonts w:hint="default" w:ascii="Times New Roman" w:hAnsi="Times New Roman" w:cs="Times New Roman"/>
                <w:sz w:val="20"/>
                <w:szCs w:val="20"/>
                <w:lang w:val="en-US" w:eastAsia="zh-CN" w:bidi="ar"/>
              </w:rPr>
              <w:t>分，</w:t>
            </w:r>
            <w:r>
              <w:rPr>
                <w:rStyle w:val="5"/>
                <w:rFonts w:hint="default" w:ascii="Times New Roman" w:hAnsi="Times New Roman" w:eastAsia="宋体" w:cs="Times New Roman"/>
                <w:sz w:val="20"/>
                <w:szCs w:val="20"/>
                <w:lang w:val="en-US" w:eastAsia="zh-CN" w:bidi="ar"/>
              </w:rPr>
              <w:t>2</w:t>
            </w:r>
            <w:r>
              <w:rPr>
                <w:rStyle w:val="4"/>
                <w:rFonts w:hint="default" w:ascii="Times New Roman" w:hAnsi="Times New Roman" w:cs="Times New Roman"/>
                <w:sz w:val="20"/>
                <w:szCs w:val="20"/>
                <w:lang w:val="en-US" w:eastAsia="zh-CN" w:bidi="ar"/>
              </w:rPr>
              <w:t>个以下不得分；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③与年度任务数或计划数相对应，计1分，低于</w:t>
            </w:r>
            <w:r>
              <w:rPr>
                <w:rStyle w:val="5"/>
                <w:rFonts w:hint="default" w:ascii="Times New Roman" w:hAnsi="Times New Roman" w:eastAsia="宋体" w:cs="Times New Roman"/>
                <w:sz w:val="20"/>
                <w:szCs w:val="20"/>
                <w:lang w:val="en-US" w:eastAsia="zh-CN" w:bidi="ar"/>
              </w:rPr>
              <w:t>2</w:t>
            </w:r>
            <w:r>
              <w:rPr>
                <w:rStyle w:val="4"/>
                <w:rFonts w:hint="default" w:ascii="Times New Roman" w:hAnsi="Times New Roman" w:cs="Times New Roman"/>
                <w:sz w:val="20"/>
                <w:szCs w:val="20"/>
                <w:lang w:val="en-US" w:eastAsia="zh-CN" w:bidi="ar"/>
              </w:rPr>
              <w:t>个，计0.5分，低于</w:t>
            </w:r>
            <w:r>
              <w:rPr>
                <w:rStyle w:val="5"/>
                <w:rFonts w:hint="default" w:ascii="Times New Roman" w:hAnsi="Times New Roman" w:eastAsia="宋体" w:cs="Times New Roman"/>
                <w:sz w:val="20"/>
                <w:szCs w:val="20"/>
                <w:lang w:val="en-US" w:eastAsia="zh-CN" w:bidi="ar"/>
              </w:rPr>
              <w:t>4</w:t>
            </w:r>
            <w:r>
              <w:rPr>
                <w:rStyle w:val="4"/>
                <w:rFonts w:hint="default" w:ascii="Times New Roman" w:hAnsi="Times New Roman" w:cs="Times New Roman"/>
                <w:sz w:val="20"/>
                <w:szCs w:val="20"/>
                <w:lang w:val="en-US" w:eastAsia="zh-CN" w:bidi="ar"/>
              </w:rPr>
              <w:t>个不得分；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4"/>
                <w:rFonts w:hint="default" w:ascii="Times New Roman" w:hAnsi="Times New Roman" w:cs="Times New Roman"/>
                <w:sz w:val="20"/>
                <w:szCs w:val="20"/>
                <w:lang w:val="en-US" w:eastAsia="zh-CN" w:bidi="ar"/>
              </w:rPr>
            </w:pPr>
            <w:r>
              <w:rPr>
                <w:rStyle w:val="4"/>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预算</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配置</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t>4</w:t>
            </w:r>
            <w:r>
              <w:rPr>
                <w:rStyle w:val="4"/>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在职人员控制率</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（在职人员数</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编制数）</w:t>
            </w:r>
            <w:r>
              <w:rPr>
                <w:rStyle w:val="5"/>
                <w:rFonts w:hint="default" w:ascii="Times New Roman" w:hAnsi="Times New Roman" w:eastAsia="宋体" w:cs="Times New Roman"/>
                <w:sz w:val="20"/>
                <w:szCs w:val="20"/>
                <w:lang w:val="en-US" w:eastAsia="zh-CN" w:bidi="ar"/>
              </w:rPr>
              <w:t>×100%</w:t>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聘用人员控制率≦人社和编办共同批复的人数；</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在职人员数：部门（单位）实际在职人数</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以财政部门确定的部门决算编制口径为准。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在职人员控制率≦</w:t>
            </w:r>
            <w:r>
              <w:rPr>
                <w:rStyle w:val="5"/>
                <w:rFonts w:hint="default" w:ascii="Times New Roman" w:hAnsi="Times New Roman" w:eastAsia="宋体" w:cs="Times New Roman"/>
                <w:sz w:val="20"/>
                <w:szCs w:val="20"/>
                <w:lang w:val="en-US" w:eastAsia="zh-CN" w:bidi="ar"/>
              </w:rPr>
              <w:t>100%</w:t>
            </w:r>
            <w:r>
              <w:rPr>
                <w:rStyle w:val="4"/>
                <w:rFonts w:hint="default" w:ascii="Times New Roman" w:hAnsi="Times New Roman" w:cs="Times New Roman"/>
                <w:sz w:val="20"/>
                <w:szCs w:val="20"/>
                <w:lang w:val="en-US" w:eastAsia="zh-CN" w:bidi="ar"/>
              </w:rPr>
              <w:t>计</w:t>
            </w:r>
            <w:r>
              <w:rPr>
                <w:rStyle w:val="5"/>
                <w:rFonts w:hint="default" w:ascii="Times New Roman" w:hAnsi="Times New Roman" w:eastAsia="宋体" w:cs="Times New Roman"/>
                <w:sz w:val="20"/>
                <w:szCs w:val="20"/>
                <w:lang w:val="en-US" w:eastAsia="zh-CN" w:bidi="ar"/>
              </w:rPr>
              <w:t>2</w:t>
            </w:r>
            <w:r>
              <w:rPr>
                <w:rStyle w:val="4"/>
                <w:rFonts w:hint="default" w:ascii="Times New Roman" w:hAnsi="Times New Roman" w:cs="Times New Roman"/>
                <w:sz w:val="20"/>
                <w:szCs w:val="20"/>
                <w:lang w:val="en-US" w:eastAsia="zh-CN" w:bidi="ar"/>
              </w:rPr>
              <w:t>分，每超出</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扣</w:t>
            </w:r>
            <w:r>
              <w:rPr>
                <w:rStyle w:val="5"/>
                <w:rFonts w:hint="default" w:ascii="Times New Roman" w:hAnsi="Times New Roman" w:eastAsia="宋体" w:cs="Times New Roman"/>
                <w:sz w:val="20"/>
                <w:szCs w:val="20"/>
                <w:lang w:val="en-US" w:eastAsia="zh-CN" w:bidi="ar"/>
              </w:rPr>
              <w:t>0.2</w:t>
            </w:r>
            <w:r>
              <w:rPr>
                <w:rStyle w:val="4"/>
                <w:rFonts w:hint="default" w:ascii="Times New Roman" w:hAnsi="Times New Roman" w:cs="Times New Roman"/>
                <w:sz w:val="20"/>
                <w:szCs w:val="20"/>
                <w:lang w:val="en-US" w:eastAsia="zh-CN" w:bidi="ar"/>
              </w:rPr>
              <w:t>分，扣完为止。</w:t>
            </w:r>
            <w:r>
              <w:rPr>
                <w:rStyle w:val="5"/>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color w:val="auto"/>
                <w:sz w:val="20"/>
                <w:szCs w:val="20"/>
                <w:lang w:val="en-US" w:eastAsia="zh-CN" w:bidi="ar"/>
              </w:rPr>
              <w:t>聘用人员实际使用数小于等于编办人社部门批复数，计</w:t>
            </w:r>
            <w:r>
              <w:rPr>
                <w:rStyle w:val="7"/>
                <w:rFonts w:hint="default" w:ascii="Times New Roman" w:hAnsi="Times New Roman" w:eastAsia="宋体" w:cs="Times New Roman"/>
                <w:color w:val="auto"/>
                <w:sz w:val="20"/>
                <w:szCs w:val="20"/>
                <w:lang w:val="en-US" w:eastAsia="zh-CN" w:bidi="ar"/>
              </w:rPr>
              <w:t>2</w:t>
            </w:r>
            <w:r>
              <w:rPr>
                <w:rStyle w:val="6"/>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4"/>
                <w:rFonts w:hint="default" w:ascii="Times New Roman" w:hAnsi="Times New Roman" w:cs="Times New Roman"/>
                <w:sz w:val="20"/>
                <w:szCs w:val="20"/>
                <w:lang w:val="en-US" w:eastAsia="zh-CN" w:bidi="ar"/>
              </w:rPr>
            </w:pPr>
            <w:r>
              <w:rPr>
                <w:rStyle w:val="4"/>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过程</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t>40</w:t>
            </w:r>
            <w:r>
              <w:rPr>
                <w:rStyle w:val="4"/>
                <w:rFonts w:hint="default" w:ascii="Times New Roman" w:hAnsi="Times New Roman" w:cs="Times New Roman"/>
                <w:sz w:val="20"/>
                <w:szCs w:val="20"/>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①预算完成率</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（预算完成数</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预算数）</w:t>
            </w:r>
            <w:r>
              <w:rPr>
                <w:rStyle w:val="5"/>
                <w:rFonts w:hint="default" w:ascii="Times New Roman" w:hAnsi="Times New Roman" w:eastAsia="宋体" w:cs="Times New Roman"/>
                <w:sz w:val="20"/>
                <w:szCs w:val="20"/>
                <w:lang w:val="en-US" w:eastAsia="zh-CN" w:bidi="ar"/>
              </w:rPr>
              <w:t>×100%</w:t>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预算完成数：部门（单位）本年度实际完成的预算数。</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预算数：财政部门批复的本年度部门（单位）预算数及追加的项目预算数。</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②支付序时进度</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（序时执行数</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序时指标下达数）</w:t>
            </w:r>
            <w:r>
              <w:rPr>
                <w:rStyle w:val="5"/>
                <w:rFonts w:hint="default" w:ascii="Times New Roman" w:hAnsi="Times New Roman" w:eastAsia="宋体" w:cs="Times New Roman"/>
                <w:sz w:val="20"/>
                <w:szCs w:val="20"/>
                <w:lang w:val="en-US" w:eastAsia="zh-CN" w:bidi="ar"/>
              </w:rPr>
              <w:t>×100%</w:t>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③部门预算项目支出调剂到</w:t>
            </w:r>
            <w:r>
              <w:rPr>
                <w:rStyle w:val="4"/>
                <w:rFonts w:hint="eastAsia" w:ascii="Times New Roman" w:hAnsi="Times New Roman" w:cs="Times New Roman"/>
                <w:sz w:val="20"/>
                <w:szCs w:val="20"/>
                <w:highlight w:val="none"/>
                <w:lang w:val="en-US" w:eastAsia="zh-CN" w:bidi="ar"/>
              </w:rPr>
              <w:t>单位</w:t>
            </w:r>
            <w:r>
              <w:rPr>
                <w:rStyle w:val="4"/>
                <w:rFonts w:hint="default" w:ascii="Times New Roman" w:hAnsi="Times New Roman" w:cs="Times New Roman"/>
                <w:sz w:val="20"/>
                <w:szCs w:val="20"/>
                <w:highlight w:val="none"/>
                <w:lang w:val="en-US" w:eastAsia="zh-CN" w:bidi="ar"/>
              </w:rPr>
              <w:t>。</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①全年预算完成率</w:t>
            </w:r>
            <w:r>
              <w:rPr>
                <w:rStyle w:val="5"/>
                <w:rFonts w:hint="default" w:ascii="Times New Roman" w:hAnsi="Times New Roman" w:eastAsia="宋体" w:cs="Times New Roman"/>
                <w:sz w:val="20"/>
                <w:szCs w:val="20"/>
                <w:lang w:val="en-US" w:eastAsia="zh-CN" w:bidi="ar"/>
              </w:rPr>
              <w:t>95%</w:t>
            </w:r>
            <w:r>
              <w:rPr>
                <w:rStyle w:val="4"/>
                <w:rFonts w:hint="default" w:ascii="Times New Roman" w:hAnsi="Times New Roman" w:cs="Times New Roman"/>
                <w:sz w:val="20"/>
                <w:szCs w:val="20"/>
                <w:lang w:val="en-US" w:eastAsia="zh-CN" w:bidi="ar"/>
              </w:rPr>
              <w:t>以上计</w:t>
            </w:r>
            <w:r>
              <w:rPr>
                <w:rStyle w:val="5"/>
                <w:rFonts w:hint="default" w:ascii="Times New Roman" w:hAnsi="Times New Roman" w:eastAsia="宋体" w:cs="Times New Roman"/>
                <w:sz w:val="20"/>
                <w:szCs w:val="20"/>
                <w:lang w:val="en-US" w:eastAsia="zh-CN" w:bidi="ar"/>
              </w:rPr>
              <w:t>2</w:t>
            </w:r>
            <w:r>
              <w:rPr>
                <w:rStyle w:val="4"/>
                <w:rFonts w:hint="default" w:ascii="Times New Roman" w:hAnsi="Times New Roman" w:cs="Times New Roman"/>
                <w:sz w:val="20"/>
                <w:szCs w:val="20"/>
                <w:lang w:val="en-US" w:eastAsia="zh-CN" w:bidi="ar"/>
              </w:rPr>
              <w:t>分，</w:t>
            </w:r>
            <w:r>
              <w:rPr>
                <w:rStyle w:val="5"/>
                <w:rFonts w:hint="default" w:ascii="Times New Roman" w:hAnsi="Times New Roman" w:eastAsia="宋体" w:cs="Times New Roman"/>
                <w:sz w:val="20"/>
                <w:szCs w:val="20"/>
                <w:lang w:val="en-US" w:eastAsia="zh-CN" w:bidi="ar"/>
              </w:rPr>
              <w:t>95-90%</w:t>
            </w:r>
            <w:r>
              <w:rPr>
                <w:rStyle w:val="4"/>
                <w:rFonts w:hint="default" w:ascii="Times New Roman" w:hAnsi="Times New Roman" w:cs="Times New Roman"/>
                <w:sz w:val="20"/>
                <w:szCs w:val="20"/>
                <w:lang w:val="en-US" w:eastAsia="zh-CN" w:bidi="ar"/>
              </w:rPr>
              <w:t>（含），计</w:t>
            </w:r>
            <w:r>
              <w:rPr>
                <w:rStyle w:val="5"/>
                <w:rFonts w:hint="default" w:ascii="Times New Roman" w:hAnsi="Times New Roman" w:eastAsia="宋体" w:cs="Times New Roman"/>
                <w:sz w:val="20"/>
                <w:szCs w:val="20"/>
                <w:lang w:val="en-US" w:eastAsia="zh-CN" w:bidi="ar"/>
              </w:rPr>
              <w:t>1.5</w:t>
            </w:r>
            <w:r>
              <w:rPr>
                <w:rStyle w:val="4"/>
                <w:rFonts w:hint="default" w:ascii="Times New Roman" w:hAnsi="Times New Roman" w:cs="Times New Roman"/>
                <w:sz w:val="20"/>
                <w:szCs w:val="20"/>
                <w:lang w:val="en-US" w:eastAsia="zh-CN" w:bidi="ar"/>
              </w:rPr>
              <w:t>分，</w:t>
            </w:r>
            <w:r>
              <w:rPr>
                <w:rStyle w:val="5"/>
                <w:rFonts w:hint="default" w:ascii="Times New Roman" w:hAnsi="Times New Roman" w:eastAsia="宋体" w:cs="Times New Roman"/>
                <w:sz w:val="20"/>
                <w:szCs w:val="20"/>
                <w:lang w:val="en-US" w:eastAsia="zh-CN" w:bidi="ar"/>
              </w:rPr>
              <w:t>90-80%</w:t>
            </w:r>
            <w:r>
              <w:rPr>
                <w:rStyle w:val="4"/>
                <w:rFonts w:hint="default" w:ascii="Times New Roman" w:hAnsi="Times New Roman" w:cs="Times New Roman"/>
                <w:sz w:val="20"/>
                <w:szCs w:val="20"/>
                <w:lang w:val="en-US" w:eastAsia="zh-CN" w:bidi="ar"/>
              </w:rPr>
              <w:t>（含），计</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分，小于</w:t>
            </w:r>
            <w:r>
              <w:rPr>
                <w:rStyle w:val="5"/>
                <w:rFonts w:hint="default" w:ascii="Times New Roman" w:hAnsi="Times New Roman" w:eastAsia="宋体" w:cs="Times New Roman"/>
                <w:sz w:val="20"/>
                <w:szCs w:val="20"/>
                <w:lang w:val="en-US" w:eastAsia="zh-CN" w:bidi="ar"/>
              </w:rPr>
              <w:t>80%</w:t>
            </w:r>
            <w:r>
              <w:rPr>
                <w:rStyle w:val="4"/>
                <w:rFonts w:hint="default" w:ascii="Times New Roman" w:hAnsi="Times New Roman" w:cs="Times New Roman"/>
                <w:sz w:val="20"/>
                <w:szCs w:val="20"/>
                <w:lang w:val="en-US" w:eastAsia="zh-CN" w:bidi="ar"/>
              </w:rPr>
              <w:t>不得分；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②一、二、三季度末支付序时进度分别达到</w:t>
            </w:r>
            <w:r>
              <w:rPr>
                <w:rStyle w:val="5"/>
                <w:rFonts w:hint="default" w:ascii="Times New Roman" w:hAnsi="Times New Roman" w:eastAsia="宋体" w:cs="Times New Roman"/>
                <w:sz w:val="20"/>
                <w:szCs w:val="20"/>
                <w:lang w:val="en-US" w:eastAsia="zh-CN" w:bidi="ar"/>
              </w:rPr>
              <w:t>20%</w:t>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t>50%</w:t>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t>80%</w:t>
            </w:r>
            <w:r>
              <w:rPr>
                <w:rStyle w:val="4"/>
                <w:rFonts w:hint="default" w:ascii="Times New Roman" w:hAnsi="Times New Roman" w:cs="Times New Roman"/>
                <w:sz w:val="20"/>
                <w:szCs w:val="20"/>
                <w:lang w:val="en-US" w:eastAsia="zh-CN" w:bidi="ar"/>
              </w:rPr>
              <w:t>（含）以上计</w:t>
            </w:r>
            <w:r>
              <w:rPr>
                <w:rStyle w:val="5"/>
                <w:rFonts w:hint="default" w:ascii="Times New Roman" w:hAnsi="Times New Roman" w:eastAsia="宋体" w:cs="Times New Roman"/>
                <w:sz w:val="20"/>
                <w:szCs w:val="20"/>
                <w:lang w:val="en-US" w:eastAsia="zh-CN" w:bidi="ar"/>
              </w:rPr>
              <w:t>2</w:t>
            </w:r>
            <w:r>
              <w:rPr>
                <w:rStyle w:val="4"/>
                <w:rFonts w:hint="default" w:ascii="Times New Roman" w:hAnsi="Times New Roman" w:cs="Times New Roman"/>
                <w:sz w:val="20"/>
                <w:szCs w:val="20"/>
                <w:lang w:val="en-US" w:eastAsia="zh-CN" w:bidi="ar"/>
              </w:rPr>
              <w:t>分，每低</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个百分点扣</w:t>
            </w:r>
            <w:r>
              <w:rPr>
                <w:rStyle w:val="5"/>
                <w:rFonts w:hint="default" w:ascii="Times New Roman" w:hAnsi="Times New Roman" w:eastAsia="宋体" w:cs="Times New Roman"/>
                <w:sz w:val="20"/>
                <w:szCs w:val="20"/>
                <w:lang w:val="en-US" w:eastAsia="zh-CN" w:bidi="ar"/>
              </w:rPr>
              <w:t>0.2</w:t>
            </w:r>
            <w:r>
              <w:rPr>
                <w:rStyle w:val="4"/>
                <w:rFonts w:hint="default" w:ascii="Times New Roman" w:hAnsi="Times New Roman" w:cs="Times New Roman"/>
                <w:sz w:val="20"/>
                <w:szCs w:val="20"/>
                <w:lang w:val="en-US" w:eastAsia="zh-CN" w:bidi="ar"/>
              </w:rPr>
              <w:t>分，扣完为止。</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③部门预算项目支出调</w:t>
            </w:r>
            <w:r>
              <w:rPr>
                <w:rStyle w:val="4"/>
                <w:rFonts w:hint="default" w:ascii="Times New Roman" w:hAnsi="Times New Roman" w:cs="Times New Roman"/>
                <w:sz w:val="20"/>
                <w:szCs w:val="20"/>
                <w:highlight w:val="none"/>
                <w:lang w:val="en-US" w:eastAsia="zh-CN" w:bidi="ar"/>
              </w:rPr>
              <w:t>剂到</w:t>
            </w:r>
            <w:r>
              <w:rPr>
                <w:rStyle w:val="4"/>
                <w:rFonts w:hint="eastAsia" w:cs="Times New Roman"/>
                <w:sz w:val="20"/>
                <w:szCs w:val="20"/>
                <w:highlight w:val="none"/>
                <w:lang w:val="en-US" w:eastAsia="zh-CN" w:bidi="ar"/>
              </w:rPr>
              <w:t>单位</w:t>
            </w:r>
            <w:r>
              <w:rPr>
                <w:rStyle w:val="4"/>
                <w:rFonts w:hint="default" w:ascii="Times New Roman" w:hAnsi="Times New Roman" w:cs="Times New Roman"/>
                <w:sz w:val="20"/>
                <w:szCs w:val="20"/>
                <w:lang w:val="en-US" w:eastAsia="zh-CN" w:bidi="ar"/>
              </w:rPr>
              <w:t>小于等于项目支出</w:t>
            </w:r>
            <w:r>
              <w:rPr>
                <w:rStyle w:val="5"/>
                <w:rFonts w:hint="default" w:ascii="Times New Roman" w:hAnsi="Times New Roman" w:eastAsia="宋体" w:cs="Times New Roman"/>
                <w:sz w:val="20"/>
                <w:szCs w:val="20"/>
                <w:lang w:val="en-US" w:eastAsia="zh-CN" w:bidi="ar"/>
              </w:rPr>
              <w:t>2%</w:t>
            </w:r>
            <w:r>
              <w:rPr>
                <w:rStyle w:val="4"/>
                <w:rFonts w:hint="default" w:ascii="Times New Roman" w:hAnsi="Times New Roman" w:cs="Times New Roman"/>
                <w:sz w:val="20"/>
                <w:szCs w:val="20"/>
                <w:lang w:val="en-US" w:eastAsia="zh-CN" w:bidi="ar"/>
              </w:rPr>
              <w:t>，计</w:t>
            </w:r>
            <w:r>
              <w:rPr>
                <w:rStyle w:val="5"/>
                <w:rFonts w:hint="default" w:ascii="Times New Roman" w:hAnsi="Times New Roman" w:eastAsia="宋体" w:cs="Times New Roman"/>
                <w:sz w:val="20"/>
                <w:szCs w:val="20"/>
                <w:lang w:val="en-US" w:eastAsia="zh-CN" w:bidi="ar"/>
              </w:rPr>
              <w:t>2</w:t>
            </w:r>
            <w:r>
              <w:rPr>
                <w:rStyle w:val="4"/>
                <w:rFonts w:hint="default" w:ascii="Times New Roman" w:hAnsi="Times New Roman" w:cs="Times New Roman"/>
                <w:sz w:val="20"/>
                <w:szCs w:val="20"/>
                <w:lang w:val="en-US" w:eastAsia="zh-CN" w:bidi="ar"/>
              </w:rPr>
              <w:t>分；大于</w:t>
            </w:r>
            <w:r>
              <w:rPr>
                <w:rStyle w:val="5"/>
                <w:rFonts w:hint="default" w:ascii="Times New Roman" w:hAnsi="Times New Roman" w:eastAsia="宋体" w:cs="Times New Roman"/>
                <w:sz w:val="20"/>
                <w:szCs w:val="20"/>
                <w:lang w:val="en-US" w:eastAsia="zh-CN" w:bidi="ar"/>
              </w:rPr>
              <w:t>2%</w:t>
            </w:r>
            <w:r>
              <w:rPr>
                <w:rStyle w:val="4"/>
                <w:rFonts w:hint="default" w:ascii="Times New Roman" w:hAnsi="Times New Roman" w:cs="Times New Roman"/>
                <w:sz w:val="20"/>
                <w:szCs w:val="20"/>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4"/>
                <w:rFonts w:hint="default" w:ascii="Times New Roman" w:hAnsi="Times New Roman" w:cs="Times New Roman"/>
                <w:sz w:val="20"/>
                <w:szCs w:val="20"/>
                <w:lang w:val="en-US" w:eastAsia="zh-CN" w:bidi="ar"/>
              </w:rPr>
            </w:pPr>
            <w:r>
              <w:rPr>
                <w:rStyle w:val="4"/>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过程</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t>40</w:t>
            </w:r>
            <w:r>
              <w:rPr>
                <w:rStyle w:val="4"/>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预算调整率</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（预算调整数</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预算数）</w:t>
            </w:r>
            <w:r>
              <w:rPr>
                <w:rStyle w:val="5"/>
                <w:rFonts w:hint="default" w:ascii="Times New Roman" w:hAnsi="Times New Roman" w:eastAsia="宋体" w:cs="Times New Roman"/>
                <w:sz w:val="20"/>
                <w:szCs w:val="20"/>
                <w:lang w:val="en-US" w:eastAsia="zh-CN" w:bidi="ar"/>
              </w:rPr>
              <w:t>×100%</w:t>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预算调整率</w:t>
            </w:r>
            <w:r>
              <w:rPr>
                <w:rStyle w:val="5"/>
                <w:rFonts w:hint="default" w:ascii="Times New Roman" w:hAnsi="Times New Roman" w:eastAsia="宋体" w:cs="Times New Roman"/>
                <w:sz w:val="20"/>
                <w:szCs w:val="20"/>
                <w:lang w:val="en-US" w:eastAsia="zh-CN" w:bidi="ar"/>
              </w:rPr>
              <w:t>&lt;5%</w:t>
            </w:r>
            <w:r>
              <w:rPr>
                <w:rStyle w:val="4"/>
                <w:rFonts w:hint="default" w:ascii="Times New Roman" w:hAnsi="Times New Roman" w:cs="Times New Roman"/>
                <w:sz w:val="20"/>
                <w:szCs w:val="20"/>
                <w:lang w:val="en-US" w:eastAsia="zh-CN" w:bidi="ar"/>
              </w:rPr>
              <w:t>，计</w:t>
            </w:r>
            <w:r>
              <w:rPr>
                <w:rStyle w:val="5"/>
                <w:rFonts w:hint="default" w:ascii="Times New Roman" w:hAnsi="Times New Roman" w:eastAsia="宋体" w:cs="Times New Roman"/>
                <w:sz w:val="20"/>
                <w:szCs w:val="20"/>
                <w:lang w:val="en-US" w:eastAsia="zh-CN" w:bidi="ar"/>
              </w:rPr>
              <w:t>3</w:t>
            </w:r>
            <w:r>
              <w:rPr>
                <w:rStyle w:val="4"/>
                <w:rFonts w:hint="default" w:ascii="Times New Roman" w:hAnsi="Times New Roman" w:cs="Times New Roman"/>
                <w:sz w:val="20"/>
                <w:szCs w:val="20"/>
                <w:lang w:val="en-US" w:eastAsia="zh-CN" w:bidi="ar"/>
              </w:rPr>
              <w:t>分；</w:t>
            </w:r>
            <w:r>
              <w:rPr>
                <w:rStyle w:val="5"/>
                <w:rFonts w:hint="default" w:ascii="Times New Roman" w:hAnsi="Times New Roman" w:eastAsia="宋体" w:cs="Times New Roman"/>
                <w:sz w:val="20"/>
                <w:szCs w:val="20"/>
                <w:lang w:val="en-US" w:eastAsia="zh-CN" w:bidi="ar"/>
              </w:rPr>
              <w:t>5-10%</w:t>
            </w:r>
            <w:r>
              <w:rPr>
                <w:rStyle w:val="4"/>
                <w:rFonts w:hint="default" w:ascii="Times New Roman" w:hAnsi="Times New Roman" w:cs="Times New Roman"/>
                <w:sz w:val="20"/>
                <w:szCs w:val="20"/>
                <w:lang w:val="en-US" w:eastAsia="zh-CN" w:bidi="ar"/>
              </w:rPr>
              <w:t>（含），计</w:t>
            </w:r>
            <w:r>
              <w:rPr>
                <w:rStyle w:val="5"/>
                <w:rFonts w:hint="default" w:ascii="Times New Roman" w:hAnsi="Times New Roman" w:eastAsia="宋体" w:cs="Times New Roman"/>
                <w:sz w:val="20"/>
                <w:szCs w:val="20"/>
                <w:lang w:val="en-US" w:eastAsia="zh-CN" w:bidi="ar"/>
              </w:rPr>
              <w:t>1.5</w:t>
            </w:r>
            <w:r>
              <w:rPr>
                <w:rStyle w:val="4"/>
                <w:rFonts w:hint="default" w:ascii="Times New Roman" w:hAnsi="Times New Roman" w:cs="Times New Roman"/>
                <w:sz w:val="20"/>
                <w:szCs w:val="20"/>
                <w:lang w:val="en-US" w:eastAsia="zh-CN" w:bidi="ar"/>
              </w:rPr>
              <w:t>分；大于</w:t>
            </w:r>
            <w:r>
              <w:rPr>
                <w:rStyle w:val="5"/>
                <w:rFonts w:hint="default" w:ascii="Times New Roman" w:hAnsi="Times New Roman" w:eastAsia="宋体" w:cs="Times New Roman"/>
                <w:sz w:val="20"/>
                <w:szCs w:val="20"/>
                <w:lang w:val="en-US" w:eastAsia="zh-CN" w:bidi="ar"/>
              </w:rPr>
              <w:t>10%</w:t>
            </w:r>
            <w:r>
              <w:rPr>
                <w:rStyle w:val="4"/>
                <w:rFonts w:hint="default" w:ascii="Times New Roman" w:hAnsi="Times New Roman" w:cs="Times New Roman"/>
                <w:sz w:val="20"/>
                <w:szCs w:val="20"/>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
                <w:rFonts w:hint="default" w:ascii="Times New Roman" w:hAnsi="Times New Roman" w:cs="Times New Roman"/>
                <w:sz w:val="20"/>
                <w:szCs w:val="20"/>
                <w:lang w:val="en-US" w:eastAsia="zh-CN" w:bidi="ar"/>
              </w:rPr>
            </w:pPr>
            <w:r>
              <w:rPr>
                <w:rStyle w:val="4"/>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w:t>
            </w:r>
            <w:r>
              <w:rPr>
                <w:rStyle w:val="4"/>
                <w:rFonts w:hint="eastAsia" w:ascii="Times New Roman" w:hAnsi="Times New Roman" w:cs="Times New Roman"/>
                <w:sz w:val="20"/>
                <w:szCs w:val="20"/>
                <w:highlight w:val="none"/>
                <w:lang w:val="en-US" w:eastAsia="zh-CN" w:bidi="ar"/>
              </w:rPr>
              <w:t>区</w:t>
            </w:r>
            <w:r>
              <w:rPr>
                <w:rStyle w:val="4"/>
                <w:rFonts w:hint="default" w:ascii="Times New Roman" w:hAnsi="Times New Roman" w:cs="Times New Roman"/>
                <w:sz w:val="20"/>
                <w:szCs w:val="20"/>
                <w:highlight w:val="none"/>
                <w:lang w:val="en-US" w:eastAsia="zh-CN" w:bidi="ar"/>
              </w:rPr>
              <w:t>政府文件规定，预算单位年度安排的</w:t>
            </w:r>
            <w:r>
              <w:rPr>
                <w:rStyle w:val="4"/>
                <w:rFonts w:hint="eastAsia" w:ascii="Times New Roman" w:hAnsi="Times New Roman" w:cs="Times New Roman"/>
                <w:sz w:val="20"/>
                <w:szCs w:val="20"/>
                <w:highlight w:val="none"/>
                <w:lang w:val="en-US" w:eastAsia="zh-CN" w:bidi="ar"/>
              </w:rPr>
              <w:t>区</w:t>
            </w:r>
            <w:r>
              <w:rPr>
                <w:rStyle w:val="4"/>
                <w:rFonts w:hint="default" w:ascii="Times New Roman" w:hAnsi="Times New Roman" w:cs="Times New Roman"/>
                <w:sz w:val="20"/>
                <w:szCs w:val="20"/>
                <w:highlight w:val="none"/>
                <w:lang w:val="en-US" w:eastAsia="zh-CN" w:bidi="ar"/>
              </w:rPr>
              <w:t>级预算资金不能结转。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4"/>
                <w:rFonts w:hint="eastAsia" w:ascii="Times New Roman" w:hAnsi="Times New Roman" w:cs="Times New Roman"/>
                <w:sz w:val="20"/>
                <w:szCs w:val="20"/>
                <w:highlight w:val="none"/>
                <w:lang w:val="en-US" w:eastAsia="zh-CN" w:bidi="ar"/>
              </w:rPr>
              <w:t>区</w:t>
            </w:r>
            <w:r>
              <w:rPr>
                <w:rStyle w:val="4"/>
                <w:rFonts w:hint="default" w:ascii="Times New Roman" w:hAnsi="Times New Roman" w:cs="Times New Roman"/>
                <w:sz w:val="20"/>
                <w:szCs w:val="20"/>
                <w:highlight w:val="none"/>
                <w:lang w:val="en-US" w:eastAsia="zh-CN" w:bidi="ar"/>
              </w:rPr>
              <w:t>本级资金无</w:t>
            </w:r>
            <w:r>
              <w:rPr>
                <w:rFonts w:hint="default" w:ascii="Times New Roman" w:hAnsi="Times New Roman" w:eastAsia="宋体" w:cs="Times New Roman"/>
                <w:i w:val="0"/>
                <w:color w:val="000000"/>
                <w:kern w:val="0"/>
                <w:sz w:val="20"/>
                <w:szCs w:val="20"/>
                <w:u w:val="none"/>
                <w:lang w:val="en-US" w:eastAsia="zh-CN" w:bidi="ar"/>
              </w:rPr>
              <w:t>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
                <w:rFonts w:hint="default" w:ascii="Times New Roman" w:hAnsi="Times New Roman" w:cs="Times New Roman"/>
                <w:sz w:val="20"/>
                <w:szCs w:val="20"/>
                <w:lang w:val="en-US" w:eastAsia="zh-CN" w:bidi="ar"/>
              </w:rPr>
            </w:pP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eastAsia="宋体" w:cs="Times New Roman"/>
                <w:sz w:val="20"/>
                <w:szCs w:val="20"/>
                <w:lang w:val="en-US" w:eastAsia="zh-CN" w:bidi="ar"/>
              </w:rPr>
            </w:pPr>
            <w:r>
              <w:rPr>
                <w:rStyle w:val="4"/>
                <w:rFonts w:hint="default" w:ascii="Times New Roman" w:hAnsi="Times New Roman" w:cs="Times New Roman"/>
                <w:sz w:val="20"/>
                <w:szCs w:val="20"/>
                <w:lang w:val="en-US" w:eastAsia="zh-CN" w:bidi="ar"/>
              </w:rPr>
              <w:t>经费</w:t>
            </w:r>
            <w:r>
              <w:rPr>
                <w:rStyle w:val="5"/>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三公经费</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控制率</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三公经费</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实际支出数</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三公经费</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预算安排数）</w:t>
            </w:r>
            <w:r>
              <w:rPr>
                <w:rStyle w:val="5"/>
                <w:rFonts w:hint="default" w:ascii="Times New Roman" w:hAnsi="Times New Roman" w:eastAsia="宋体" w:cs="Times New Roman"/>
                <w:sz w:val="20"/>
                <w:szCs w:val="20"/>
                <w:lang w:val="en-US" w:eastAsia="zh-CN" w:bidi="ar"/>
              </w:rPr>
              <w:t>×100%</w:t>
            </w:r>
            <w:r>
              <w:rPr>
                <w:rStyle w:val="4"/>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三公经费</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控制率</w:t>
            </w:r>
            <w:r>
              <w:rPr>
                <w:rStyle w:val="5"/>
                <w:rFonts w:hint="default" w:ascii="Times New Roman" w:hAnsi="Times New Roman" w:eastAsia="宋体" w:cs="Times New Roman"/>
                <w:sz w:val="20"/>
                <w:szCs w:val="20"/>
                <w:lang w:val="en-US" w:eastAsia="zh-CN" w:bidi="ar"/>
              </w:rPr>
              <w:t>100%</w:t>
            </w:r>
            <w:r>
              <w:rPr>
                <w:rStyle w:val="4"/>
                <w:rFonts w:hint="default" w:ascii="Times New Roman" w:hAnsi="Times New Roman" w:cs="Times New Roman"/>
                <w:sz w:val="20"/>
                <w:szCs w:val="20"/>
                <w:lang w:val="en-US" w:eastAsia="zh-CN" w:bidi="ar"/>
              </w:rPr>
              <w:t>以下（含）计</w:t>
            </w:r>
            <w:r>
              <w:rPr>
                <w:rStyle w:val="5"/>
                <w:rFonts w:hint="default" w:ascii="Times New Roman" w:hAnsi="Times New Roman" w:eastAsia="宋体" w:cs="Times New Roman"/>
                <w:sz w:val="20"/>
                <w:szCs w:val="20"/>
                <w:lang w:val="en-US" w:eastAsia="zh-CN" w:bidi="ar"/>
              </w:rPr>
              <w:t>2</w:t>
            </w:r>
            <w:r>
              <w:rPr>
                <w:rStyle w:val="4"/>
                <w:rFonts w:hint="default" w:ascii="Times New Roman" w:hAnsi="Times New Roman" w:cs="Times New Roman"/>
                <w:sz w:val="20"/>
                <w:szCs w:val="20"/>
                <w:lang w:val="en-US" w:eastAsia="zh-CN" w:bidi="ar"/>
              </w:rPr>
              <w:t>分，每超出</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扣</w:t>
            </w:r>
            <w:r>
              <w:rPr>
                <w:rStyle w:val="5"/>
                <w:rFonts w:hint="default" w:ascii="Times New Roman" w:hAnsi="Times New Roman" w:eastAsia="宋体" w:cs="Times New Roman"/>
                <w:sz w:val="20"/>
                <w:szCs w:val="20"/>
                <w:lang w:val="en-US" w:eastAsia="zh-CN" w:bidi="ar"/>
              </w:rPr>
              <w:t>0.15</w:t>
            </w:r>
            <w:r>
              <w:rPr>
                <w:rStyle w:val="4"/>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eastAsia="宋体" w:cs="Times New Roman"/>
                <w:sz w:val="20"/>
                <w:szCs w:val="20"/>
                <w:lang w:val="en-US" w:eastAsia="zh-CN" w:bidi="ar"/>
              </w:rPr>
            </w:pPr>
            <w:r>
              <w:rPr>
                <w:rStyle w:val="5"/>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政府采购</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执行率和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政府采购执行率</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（实际政府采购金额</w:t>
            </w:r>
            <w:r>
              <w:rPr>
                <w:rStyle w:val="5"/>
                <w:rFonts w:hint="default" w:ascii="Times New Roman" w:hAnsi="Times New Roman" w:eastAsia="宋体" w:cs="Times New Roman"/>
                <w:sz w:val="20"/>
                <w:szCs w:val="20"/>
                <w:lang w:val="en-US" w:eastAsia="zh-CN" w:bidi="ar"/>
              </w:rPr>
              <w:t>/</w:t>
            </w:r>
            <w:r>
              <w:rPr>
                <w:rStyle w:val="4"/>
                <w:rFonts w:hint="default" w:ascii="Times New Roman" w:hAnsi="Times New Roman" w:cs="Times New Roman"/>
                <w:sz w:val="20"/>
                <w:szCs w:val="20"/>
                <w:lang w:val="en-US" w:eastAsia="zh-CN" w:bidi="ar"/>
              </w:rPr>
              <w:t>政府采购预算数）</w:t>
            </w:r>
            <w:r>
              <w:rPr>
                <w:rStyle w:val="5"/>
                <w:rFonts w:hint="default" w:ascii="Times New Roman" w:hAnsi="Times New Roman" w:eastAsia="宋体" w:cs="Times New Roman"/>
                <w:sz w:val="20"/>
                <w:szCs w:val="20"/>
                <w:lang w:val="en-US" w:eastAsia="zh-CN" w:bidi="ar"/>
              </w:rPr>
              <w:t>×100%</w:t>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r>
              <w:rPr>
                <w:rStyle w:val="4"/>
                <w:rFonts w:hint="default" w:ascii="Times New Roman" w:hAnsi="Times New Roman"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预算单位严格执行</w:t>
            </w:r>
            <w:bookmarkStart w:id="0" w:name="_GoBack"/>
            <w:bookmarkEnd w:id="0"/>
            <w:r>
              <w:rPr>
                <w:rStyle w:val="4"/>
                <w:rFonts w:hint="eastAsia" w:cs="Times New Roman"/>
                <w:sz w:val="20"/>
                <w:szCs w:val="20"/>
                <w:lang w:val="en-US" w:eastAsia="zh-CN" w:bidi="ar"/>
              </w:rPr>
              <w:t>《中华人民共和国政府采购法》</w:t>
            </w:r>
            <w:r>
              <w:rPr>
                <w:rStyle w:val="4"/>
                <w:rFonts w:hint="default" w:ascii="Times New Roman" w:hAnsi="Times New Roman" w:cs="Times New Roman"/>
                <w:sz w:val="20"/>
                <w:szCs w:val="20"/>
                <w:lang w:val="en-US" w:eastAsia="zh-CN" w:bidi="ar"/>
              </w:rPr>
              <w:t>，无规避政府采购或化整为零进行政府采购的行为。所有项目必须依法采购，履行验收手续。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政府采购执行率</w:t>
            </w:r>
            <w:r>
              <w:rPr>
                <w:rStyle w:val="5"/>
                <w:rFonts w:hint="default" w:ascii="Times New Roman" w:hAnsi="Times New Roman" w:eastAsia="宋体" w:cs="Times New Roman"/>
                <w:sz w:val="20"/>
                <w:szCs w:val="20"/>
                <w:lang w:val="en-US" w:eastAsia="zh-CN" w:bidi="ar"/>
              </w:rPr>
              <w:t>100%</w:t>
            </w:r>
            <w:r>
              <w:rPr>
                <w:rStyle w:val="4"/>
                <w:rFonts w:hint="default" w:ascii="Times New Roman" w:hAnsi="Times New Roman" w:cs="Times New Roman"/>
                <w:sz w:val="20"/>
                <w:szCs w:val="20"/>
                <w:lang w:val="en-US" w:eastAsia="zh-CN" w:bidi="ar"/>
              </w:rPr>
              <w:t>计</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分，每超过（降低）</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扣</w:t>
            </w:r>
            <w:r>
              <w:rPr>
                <w:rStyle w:val="5"/>
                <w:rFonts w:hint="default" w:ascii="Times New Roman" w:hAnsi="Times New Roman" w:eastAsia="宋体" w:cs="Times New Roman"/>
                <w:sz w:val="20"/>
                <w:szCs w:val="20"/>
                <w:lang w:val="en-US" w:eastAsia="zh-CN" w:bidi="ar"/>
              </w:rPr>
              <w:t>0.1</w:t>
            </w:r>
            <w:r>
              <w:rPr>
                <w:rStyle w:val="4"/>
                <w:rFonts w:hint="default" w:ascii="Times New Roman" w:hAnsi="Times New Roman" w:cs="Times New Roman"/>
                <w:sz w:val="20"/>
                <w:szCs w:val="20"/>
                <w:lang w:val="en-US" w:eastAsia="zh-CN" w:bidi="ar"/>
              </w:rPr>
              <w:t>分，扣完为止。</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
                <w:rFonts w:hint="default" w:ascii="Times New Roman" w:hAnsi="Times New Roman" w:cs="Times New Roman"/>
                <w:sz w:val="20"/>
                <w:szCs w:val="20"/>
                <w:lang w:val="en-US" w:eastAsia="zh-CN" w:bidi="ar"/>
              </w:rPr>
            </w:pPr>
            <w:r>
              <w:rPr>
                <w:rStyle w:val="4"/>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预算</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管理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t>20</w:t>
            </w:r>
            <w:r>
              <w:rPr>
                <w:rStyle w:val="4"/>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管理制度</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①部门（单位）内控制度、内部财务管理制度和会计核算制度是否健全；</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②相关管理制度是否合法、合规、完整；</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①部门（单位）内控制度、内部财务管理制度和会计核算制度健全，计</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分，否则酌情扣分；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②管理制度合法、合规、完整，计</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分，否则酌情扣分；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③管理制度得到有效执行，计</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分，</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例不符合扣</w:t>
            </w:r>
            <w:r>
              <w:rPr>
                <w:rStyle w:val="5"/>
                <w:rFonts w:hint="default" w:ascii="Times New Roman" w:hAnsi="Times New Roman" w:eastAsia="宋体" w:cs="Times New Roman"/>
                <w:sz w:val="20"/>
                <w:szCs w:val="20"/>
                <w:lang w:val="en-US" w:eastAsia="zh-CN" w:bidi="ar"/>
              </w:rPr>
              <w:t>0.2</w:t>
            </w:r>
            <w:r>
              <w:rPr>
                <w:rStyle w:val="4"/>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
                <w:rFonts w:hint="default" w:ascii="Times New Roman" w:hAnsi="Times New Roman" w:cs="Times New Roman"/>
                <w:sz w:val="20"/>
                <w:szCs w:val="20"/>
                <w:lang w:val="en-US" w:eastAsia="zh-CN" w:bidi="ar"/>
              </w:rPr>
            </w:pPr>
            <w:r>
              <w:rPr>
                <w:rStyle w:val="4"/>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资金使用</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①是否符合国家财经法规和财务管理制度以及有关专项资金管理办法的规定；</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②资金的支付是否有完整的审批程序和手续；</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③重大项目开支和大额资金使用是否经单位党组集体研究决策；</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④是否符合项目预算批复或合同规定的用途；</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⑤是否存在截留、挤占、挪用、虚列支出等情况；</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①符合国家财经法规和财务管理制度以及有关专项资金管理办法的规定，计</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分，</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例不符合扣</w:t>
            </w:r>
            <w:r>
              <w:rPr>
                <w:rStyle w:val="5"/>
                <w:rFonts w:hint="default" w:ascii="Times New Roman" w:hAnsi="Times New Roman" w:eastAsia="宋体" w:cs="Times New Roman"/>
                <w:sz w:val="20"/>
                <w:szCs w:val="20"/>
                <w:lang w:val="en-US" w:eastAsia="zh-CN" w:bidi="ar"/>
              </w:rPr>
              <w:t>0.2</w:t>
            </w:r>
            <w:r>
              <w:rPr>
                <w:rStyle w:val="4"/>
                <w:rFonts w:hint="default" w:ascii="Times New Roman" w:hAnsi="Times New Roman" w:cs="Times New Roman"/>
                <w:sz w:val="20"/>
                <w:szCs w:val="20"/>
                <w:lang w:val="en-US" w:eastAsia="zh-CN" w:bidi="ar"/>
              </w:rPr>
              <w:t>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②资金的支付有完整的审批程序和手续，计</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分，</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例不符合扣</w:t>
            </w:r>
            <w:r>
              <w:rPr>
                <w:rStyle w:val="5"/>
                <w:rFonts w:hint="default" w:ascii="Times New Roman" w:hAnsi="Times New Roman" w:eastAsia="宋体" w:cs="Times New Roman"/>
                <w:sz w:val="20"/>
                <w:szCs w:val="20"/>
                <w:lang w:val="en-US" w:eastAsia="zh-CN" w:bidi="ar"/>
              </w:rPr>
              <w:t>0.2</w:t>
            </w:r>
            <w:r>
              <w:rPr>
                <w:rStyle w:val="4"/>
                <w:rFonts w:hint="default" w:ascii="Times New Roman" w:hAnsi="Times New Roman" w:cs="Times New Roman"/>
                <w:sz w:val="20"/>
                <w:szCs w:val="20"/>
                <w:lang w:val="en-US" w:eastAsia="zh-CN" w:bidi="ar"/>
              </w:rPr>
              <w:t>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③重大项目开支和大额资金使用经过单位党组集体研究决策，计</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分，</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例不符合扣</w:t>
            </w:r>
            <w:r>
              <w:rPr>
                <w:rStyle w:val="5"/>
                <w:rFonts w:hint="default" w:ascii="Times New Roman" w:hAnsi="Times New Roman" w:eastAsia="宋体" w:cs="Times New Roman"/>
                <w:sz w:val="20"/>
                <w:szCs w:val="20"/>
                <w:lang w:val="en-US" w:eastAsia="zh-CN" w:bidi="ar"/>
              </w:rPr>
              <w:t>0.2</w:t>
            </w:r>
            <w:r>
              <w:rPr>
                <w:rStyle w:val="4"/>
                <w:rFonts w:hint="default" w:ascii="Times New Roman" w:hAnsi="Times New Roman" w:cs="Times New Roman"/>
                <w:sz w:val="20"/>
                <w:szCs w:val="20"/>
                <w:lang w:val="en-US" w:eastAsia="zh-CN" w:bidi="ar"/>
              </w:rPr>
              <w:t>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④符合项目预算批复或合同规定的用途，计</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分，</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例不符合扣</w:t>
            </w:r>
            <w:r>
              <w:rPr>
                <w:rStyle w:val="5"/>
                <w:rFonts w:hint="default" w:ascii="Times New Roman" w:hAnsi="Times New Roman" w:eastAsia="宋体" w:cs="Times New Roman"/>
                <w:sz w:val="20"/>
                <w:szCs w:val="20"/>
                <w:lang w:val="en-US" w:eastAsia="zh-CN" w:bidi="ar"/>
              </w:rPr>
              <w:t>0.2</w:t>
            </w:r>
            <w:r>
              <w:rPr>
                <w:rStyle w:val="4"/>
                <w:rFonts w:hint="default" w:ascii="Times New Roman" w:hAnsi="Times New Roman" w:cs="Times New Roman"/>
                <w:sz w:val="20"/>
                <w:szCs w:val="20"/>
                <w:lang w:val="en-US" w:eastAsia="zh-CN" w:bidi="ar"/>
              </w:rPr>
              <w:t>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⑤不存在截留、挤占、挪用、虚列支出等情况，计</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分，</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例不符合本指标</w:t>
            </w:r>
            <w:r>
              <w:rPr>
                <w:rStyle w:val="5"/>
                <w:rFonts w:hint="default" w:ascii="Times New Roman" w:hAnsi="Times New Roman" w:eastAsia="宋体" w:cs="Times New Roman"/>
                <w:sz w:val="20"/>
                <w:szCs w:val="20"/>
                <w:lang w:val="en-US" w:eastAsia="zh-CN" w:bidi="ar"/>
              </w:rPr>
              <w:t>6</w:t>
            </w:r>
            <w:r>
              <w:rPr>
                <w:rStyle w:val="4"/>
                <w:rFonts w:hint="default" w:ascii="Times New Roman" w:hAnsi="Times New Roman" w:cs="Times New Roman"/>
                <w:sz w:val="20"/>
                <w:szCs w:val="20"/>
                <w:lang w:val="en-US" w:eastAsia="zh-CN" w:bidi="ar"/>
              </w:rPr>
              <w:t>分全扣；</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⑥</w:t>
            </w:r>
            <w:r>
              <w:rPr>
                <w:rStyle w:val="4"/>
                <w:rFonts w:hint="default" w:ascii="Times New Roman" w:hAnsi="Times New Roman" w:cs="Times New Roman"/>
                <w:spacing w:val="-6"/>
                <w:sz w:val="20"/>
                <w:szCs w:val="20"/>
                <w:lang w:val="en-US" w:eastAsia="zh-CN" w:bidi="ar"/>
              </w:rPr>
              <w:t>不存在重复申报项目、虚报冒领资金，计</w:t>
            </w:r>
            <w:r>
              <w:rPr>
                <w:rStyle w:val="5"/>
                <w:rFonts w:hint="default" w:ascii="Times New Roman" w:hAnsi="Times New Roman" w:eastAsia="宋体" w:cs="Times New Roman"/>
                <w:spacing w:val="-6"/>
                <w:sz w:val="20"/>
                <w:szCs w:val="20"/>
                <w:lang w:val="en-US" w:eastAsia="zh-CN" w:bidi="ar"/>
              </w:rPr>
              <w:t>1</w:t>
            </w:r>
            <w:r>
              <w:rPr>
                <w:rStyle w:val="4"/>
                <w:rFonts w:hint="default" w:ascii="Times New Roman" w:hAnsi="Times New Roman" w:cs="Times New Roman"/>
                <w:spacing w:val="-6"/>
                <w:sz w:val="20"/>
                <w:szCs w:val="20"/>
                <w:lang w:val="en-US" w:eastAsia="zh-CN" w:bidi="ar"/>
              </w:rPr>
              <w:t>分，</w:t>
            </w:r>
            <w:r>
              <w:rPr>
                <w:rStyle w:val="5"/>
                <w:rFonts w:hint="default" w:ascii="Times New Roman" w:hAnsi="Times New Roman" w:eastAsia="宋体" w:cs="Times New Roman"/>
                <w:spacing w:val="-6"/>
                <w:sz w:val="20"/>
                <w:szCs w:val="20"/>
                <w:lang w:val="en-US" w:eastAsia="zh-CN" w:bidi="ar"/>
              </w:rPr>
              <w:t>1</w:t>
            </w:r>
            <w:r>
              <w:rPr>
                <w:rStyle w:val="4"/>
                <w:rFonts w:hint="default" w:ascii="Times New Roman" w:hAnsi="Times New Roman" w:cs="Times New Roman"/>
                <w:spacing w:val="-6"/>
                <w:sz w:val="20"/>
                <w:szCs w:val="20"/>
                <w:lang w:val="en-US" w:eastAsia="zh-CN" w:bidi="ar"/>
              </w:rPr>
              <w:t>例不符合本指标6分全扣；</w:t>
            </w:r>
            <w:r>
              <w:rPr>
                <w:rStyle w:val="4"/>
                <w:rFonts w:hint="default" w:ascii="Times New Roman" w:hAnsi="Times New Roman"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4"/>
                <w:rFonts w:hint="default" w:ascii="Times New Roman" w:hAnsi="Times New Roman" w:cs="Times New Roman"/>
                <w:sz w:val="20"/>
                <w:szCs w:val="20"/>
                <w:lang w:val="en-US" w:eastAsia="zh-CN" w:bidi="ar"/>
              </w:rPr>
            </w:pPr>
            <w:r>
              <w:rPr>
                <w:rStyle w:val="4"/>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过程</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t>40</w:t>
            </w:r>
            <w:r>
              <w:rPr>
                <w:rStyle w:val="4"/>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4"/>
                <w:rFonts w:hint="default" w:ascii="Times New Roman" w:hAnsi="Times New Roman" w:cs="Times New Roman"/>
                <w:sz w:val="20"/>
                <w:szCs w:val="20"/>
                <w:lang w:val="en-US" w:eastAsia="zh-CN" w:bidi="ar"/>
              </w:rPr>
              <w:t>预算</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管理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t>20</w:t>
            </w:r>
            <w:r>
              <w:rPr>
                <w:rStyle w:val="4"/>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①预算单位按规定及时、准确、完整的公开预决算和绩效管理信息；</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①、②各计</w:t>
            </w:r>
            <w:r>
              <w:rPr>
                <w:rStyle w:val="5"/>
                <w:rFonts w:hint="default" w:ascii="Times New Roman" w:hAnsi="Times New Roman" w:eastAsia="宋体" w:cs="Times New Roman"/>
                <w:sz w:val="20"/>
                <w:szCs w:val="20"/>
                <w:lang w:val="en-US" w:eastAsia="zh-CN" w:bidi="ar"/>
              </w:rPr>
              <w:t>1</w:t>
            </w:r>
            <w:r>
              <w:rPr>
                <w:rStyle w:val="4"/>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绩效自评</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Style w:val="4"/>
                <w:rFonts w:hint="default" w:ascii="Times New Roman" w:hAnsi="Times New Roman" w:cs="Times New Roman"/>
                <w:color w:val="000000" w:themeColor="text1"/>
                <w:sz w:val="20"/>
                <w:szCs w:val="20"/>
                <w:lang w:val="en-US" w:eastAsia="zh-CN" w:bidi="ar"/>
                <w14:textFill>
                  <w14:solidFill>
                    <w14:schemeClr w14:val="tx1"/>
                  </w14:solidFill>
                </w14:textFill>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Style w:val="4"/>
                <w:rFonts w:hint="default" w:ascii="Times New Roman" w:hAnsi="Times New Roman" w:cs="Times New Roman"/>
                <w:color w:val="000000" w:themeColor="text1"/>
                <w:sz w:val="20"/>
                <w:szCs w:val="20"/>
                <w:lang w:val="en-US" w:eastAsia="zh-CN" w:bidi="ar"/>
                <w14:textFill>
                  <w14:solidFill>
                    <w14:schemeClr w14:val="tx1"/>
                  </w14:solidFill>
                </w14:textFill>
              </w:rPr>
              <w:t>根据</w:t>
            </w:r>
            <w:r>
              <w:rPr>
                <w:rStyle w:val="4"/>
                <w:rFonts w:hint="eastAsia" w:cs="Times New Roman"/>
                <w:color w:val="000000" w:themeColor="text1"/>
                <w:sz w:val="20"/>
                <w:szCs w:val="20"/>
                <w:highlight w:val="none"/>
                <w:lang w:val="en-US" w:eastAsia="zh-CN" w:bidi="ar"/>
                <w14:textFill>
                  <w14:solidFill>
                    <w14:schemeClr w14:val="tx1"/>
                  </w14:solidFill>
                </w14:textFill>
              </w:rPr>
              <w:t>区</w:t>
            </w:r>
            <w:r>
              <w:rPr>
                <w:rStyle w:val="4"/>
                <w:rFonts w:hint="default" w:ascii="Times New Roman" w:hAnsi="Times New Roman" w:cs="Times New Roman"/>
                <w:color w:val="000000" w:themeColor="text1"/>
                <w:sz w:val="20"/>
                <w:szCs w:val="20"/>
                <w:highlight w:val="none"/>
                <w:lang w:val="en-US" w:eastAsia="zh-CN" w:bidi="ar"/>
                <w14:textFill>
                  <w14:solidFill>
                    <w14:schemeClr w14:val="tx1"/>
                  </w14:solidFill>
                </w14:textFill>
              </w:rPr>
              <w:t>财政局20</w:t>
            </w:r>
            <w:r>
              <w:rPr>
                <w:rStyle w:val="4"/>
                <w:rFonts w:hint="default" w:ascii="Times New Roman" w:hAnsi="Times New Roman" w:cs="Times New Roman"/>
                <w:color w:val="000000" w:themeColor="text1"/>
                <w:sz w:val="20"/>
                <w:szCs w:val="20"/>
                <w:lang w:val="en-US" w:eastAsia="zh-CN" w:bidi="ar"/>
                <w14:textFill>
                  <w14:solidFill>
                    <w14:schemeClr w14:val="tx1"/>
                  </w14:solidFill>
                </w14:textFill>
              </w:rPr>
              <w:t>20年考核结果，评审为优，计</w:t>
            </w:r>
            <w:r>
              <w:rPr>
                <w:rStyle w:val="5"/>
                <w:rFonts w:hint="default" w:ascii="Times New Roman" w:hAnsi="Times New Roman" w:eastAsia="宋体" w:cs="Times New Roman"/>
                <w:color w:val="000000" w:themeColor="text1"/>
                <w:sz w:val="20"/>
                <w:szCs w:val="20"/>
                <w:lang w:val="en-US" w:eastAsia="zh-CN" w:bidi="ar"/>
                <w14:textFill>
                  <w14:solidFill>
                    <w14:schemeClr w14:val="tx1"/>
                  </w14:solidFill>
                </w14:textFill>
              </w:rPr>
              <w:t>4</w:t>
            </w:r>
            <w:r>
              <w:rPr>
                <w:rStyle w:val="4"/>
                <w:rFonts w:hint="default" w:ascii="Times New Roman" w:hAnsi="Times New Roman" w:cs="Times New Roman"/>
                <w:color w:val="000000" w:themeColor="text1"/>
                <w:sz w:val="20"/>
                <w:szCs w:val="20"/>
                <w:lang w:val="en-US" w:eastAsia="zh-CN" w:bidi="ar"/>
                <w14:textFill>
                  <w14:solidFill>
                    <w14:schemeClr w14:val="tx1"/>
                  </w14:solidFill>
                </w14:textFill>
              </w:rPr>
              <w:t>分；评审为良，计</w:t>
            </w:r>
            <w:r>
              <w:rPr>
                <w:rStyle w:val="5"/>
                <w:rFonts w:hint="default" w:ascii="Times New Roman" w:hAnsi="Times New Roman" w:eastAsia="宋体" w:cs="Times New Roman"/>
                <w:color w:val="000000" w:themeColor="text1"/>
                <w:sz w:val="20"/>
                <w:szCs w:val="20"/>
                <w:lang w:val="en-US" w:eastAsia="zh-CN" w:bidi="ar"/>
                <w14:textFill>
                  <w14:solidFill>
                    <w14:schemeClr w14:val="tx1"/>
                  </w14:solidFill>
                </w14:textFill>
              </w:rPr>
              <w:t>3</w:t>
            </w:r>
            <w:r>
              <w:rPr>
                <w:rStyle w:val="4"/>
                <w:rFonts w:hint="default" w:ascii="Times New Roman" w:hAnsi="Times New Roman" w:cs="Times New Roman"/>
                <w:color w:val="000000" w:themeColor="text1"/>
                <w:sz w:val="20"/>
                <w:szCs w:val="20"/>
                <w:lang w:val="en-US" w:eastAsia="zh-CN" w:bidi="ar"/>
                <w14:textFill>
                  <w14:solidFill>
                    <w14:schemeClr w14:val="tx1"/>
                  </w14:solidFill>
                </w14:textFill>
              </w:rPr>
              <w:t>分；评审为中，计</w:t>
            </w:r>
            <w:r>
              <w:rPr>
                <w:rStyle w:val="5"/>
                <w:rFonts w:hint="default" w:ascii="Times New Roman" w:hAnsi="Times New Roman" w:eastAsia="宋体" w:cs="Times New Roman"/>
                <w:color w:val="000000" w:themeColor="text1"/>
                <w:sz w:val="20"/>
                <w:szCs w:val="20"/>
                <w:lang w:val="en-US" w:eastAsia="zh-CN" w:bidi="ar"/>
                <w14:textFill>
                  <w14:solidFill>
                    <w14:schemeClr w14:val="tx1"/>
                  </w14:solidFill>
                </w14:textFill>
              </w:rPr>
              <w:t>2</w:t>
            </w:r>
            <w:r>
              <w:rPr>
                <w:rStyle w:val="4"/>
                <w:rFonts w:hint="default" w:ascii="Times New Roman" w:hAnsi="Times New Roman" w:cs="Times New Roman"/>
                <w:color w:val="000000" w:themeColor="text1"/>
                <w:sz w:val="20"/>
                <w:szCs w:val="20"/>
                <w:lang w:val="en-US" w:eastAsia="zh-CN" w:bidi="ar"/>
                <w14:textFill>
                  <w14:solidFill>
                    <w14:schemeClr w14:val="tx1"/>
                  </w14:solidFill>
                </w14:textFill>
              </w:rPr>
              <w:t>分；评审为低，计</w:t>
            </w:r>
            <w:r>
              <w:rPr>
                <w:rStyle w:val="5"/>
                <w:rFonts w:hint="default" w:ascii="Times New Roman" w:hAnsi="Times New Roman" w:eastAsia="宋体" w:cs="Times New Roman"/>
                <w:color w:val="000000" w:themeColor="text1"/>
                <w:sz w:val="20"/>
                <w:szCs w:val="20"/>
                <w:lang w:val="en-US" w:eastAsia="zh-CN" w:bidi="ar"/>
                <w14:textFill>
                  <w14:solidFill>
                    <w14:schemeClr w14:val="tx1"/>
                  </w14:solidFill>
                </w14:textFill>
              </w:rPr>
              <w:t>1</w:t>
            </w:r>
            <w:r>
              <w:rPr>
                <w:rStyle w:val="4"/>
                <w:rFonts w:hint="default" w:ascii="Times New Roman" w:hAnsi="Times New Roman" w:cs="Times New Roman"/>
                <w:color w:val="000000" w:themeColor="text1"/>
                <w:sz w:val="20"/>
                <w:szCs w:val="20"/>
                <w:lang w:val="en-US" w:eastAsia="zh-CN" w:bidi="ar"/>
                <w14:textFill>
                  <w14:solidFill>
                    <w14:schemeClr w14:val="tx1"/>
                  </w14:solidFill>
                </w14:textFill>
              </w:rPr>
              <w:t>分；评审为差，计</w:t>
            </w:r>
            <w:r>
              <w:rPr>
                <w:rStyle w:val="5"/>
                <w:rFonts w:hint="default" w:ascii="Times New Roman" w:hAnsi="Times New Roman" w:eastAsia="宋体" w:cs="Times New Roman"/>
                <w:color w:val="000000" w:themeColor="text1"/>
                <w:sz w:val="20"/>
                <w:szCs w:val="20"/>
                <w:lang w:val="en-US" w:eastAsia="zh-CN" w:bidi="ar"/>
                <w14:textFill>
                  <w14:solidFill>
                    <w14:schemeClr w14:val="tx1"/>
                  </w14:solidFill>
                </w14:textFill>
              </w:rPr>
              <w:t>0</w:t>
            </w:r>
            <w:r>
              <w:rPr>
                <w:rStyle w:val="4"/>
                <w:rFonts w:hint="default" w:ascii="Times New Roman" w:hAnsi="Times New Roman" w:cs="Times New Roman"/>
                <w:color w:val="000000" w:themeColor="text1"/>
                <w:sz w:val="20"/>
                <w:szCs w:val="20"/>
                <w:lang w:val="en-US" w:eastAsia="zh-CN" w:bidi="ar"/>
                <w14:textFill>
                  <w14:solidFill>
                    <w14:schemeClr w14:val="tx1"/>
                  </w14:solidFill>
                </w14:textFill>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2019年重点评价问题全部整改，计</w:t>
            </w:r>
            <w:r>
              <w:rPr>
                <w:rStyle w:val="5"/>
                <w:rFonts w:hint="default" w:ascii="Times New Roman" w:hAnsi="Times New Roman" w:eastAsia="宋体" w:cs="Times New Roman"/>
                <w:sz w:val="20"/>
                <w:szCs w:val="20"/>
                <w:lang w:val="en-US" w:eastAsia="zh-CN" w:bidi="ar"/>
              </w:rPr>
              <w:t>5</w:t>
            </w:r>
            <w:r>
              <w:rPr>
                <w:rStyle w:val="4"/>
                <w:rFonts w:hint="default" w:ascii="Times New Roman" w:hAnsi="Times New Roman" w:cs="Times New Roman"/>
                <w:sz w:val="20"/>
                <w:szCs w:val="20"/>
                <w:lang w:val="en-US" w:eastAsia="zh-CN" w:bidi="ar"/>
              </w:rPr>
              <w:t>分；2019年重点评价问题部分整改，计</w:t>
            </w:r>
            <w:r>
              <w:rPr>
                <w:rStyle w:val="5"/>
                <w:rFonts w:hint="default" w:ascii="Times New Roman" w:hAnsi="Times New Roman" w:eastAsia="宋体" w:cs="Times New Roman"/>
                <w:sz w:val="20"/>
                <w:szCs w:val="20"/>
                <w:lang w:val="en-US" w:eastAsia="zh-CN" w:bidi="ar"/>
              </w:rPr>
              <w:t>3</w:t>
            </w:r>
            <w:r>
              <w:rPr>
                <w:rStyle w:val="4"/>
                <w:rFonts w:hint="default" w:ascii="Times New Roman" w:hAnsi="Times New Roman" w:cs="Times New Roman"/>
                <w:sz w:val="20"/>
                <w:szCs w:val="20"/>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资产</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管理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t>5</w:t>
            </w:r>
            <w:r>
              <w:rPr>
                <w:rStyle w:val="4"/>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管理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①是否已制定合法、合规、完整的资产管理制度；</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②相关资产管理制度是否得到有效执行；</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③资产配置是否编制年度预算；</w:t>
            </w:r>
            <w:r>
              <w:rPr>
                <w:rStyle w:val="4"/>
                <w:rFonts w:hint="default" w:ascii="Times New Roman" w:hAnsi="Times New Roman"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①已制定合法、合规、完整的资产管理制度，计</w:t>
            </w:r>
            <w:r>
              <w:rPr>
                <w:rStyle w:val="5"/>
                <w:rFonts w:hint="default" w:ascii="Times New Roman" w:hAnsi="Times New Roman" w:eastAsia="宋体" w:cs="Times New Roman"/>
                <w:sz w:val="20"/>
                <w:szCs w:val="20"/>
                <w:lang w:val="en-US" w:eastAsia="zh-CN" w:bidi="ar"/>
              </w:rPr>
              <w:t>0.5</w:t>
            </w:r>
            <w:r>
              <w:rPr>
                <w:rStyle w:val="4"/>
                <w:rFonts w:hint="default" w:ascii="Times New Roman" w:hAnsi="Times New Roman" w:cs="Times New Roman"/>
                <w:sz w:val="20"/>
                <w:szCs w:val="20"/>
                <w:lang w:val="en-US" w:eastAsia="zh-CN" w:bidi="ar"/>
              </w:rPr>
              <w:t>分，否则不得分；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②相关资产管理制度得到有效执行，计</w:t>
            </w:r>
            <w:r>
              <w:rPr>
                <w:rStyle w:val="5"/>
                <w:rFonts w:hint="default" w:ascii="Times New Roman" w:hAnsi="Times New Roman" w:eastAsia="宋体" w:cs="Times New Roman"/>
                <w:sz w:val="20"/>
                <w:szCs w:val="20"/>
                <w:lang w:val="en-US" w:eastAsia="zh-CN" w:bidi="ar"/>
              </w:rPr>
              <w:t>0.5</w:t>
            </w:r>
            <w:r>
              <w:rPr>
                <w:rStyle w:val="4"/>
                <w:rFonts w:hint="default" w:ascii="Times New Roman" w:hAnsi="Times New Roman" w:cs="Times New Roman"/>
                <w:sz w:val="20"/>
                <w:szCs w:val="20"/>
                <w:lang w:val="en-US" w:eastAsia="zh-CN" w:bidi="ar"/>
              </w:rPr>
              <w:t>分，否则，不得分；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③资产管理编制年度预算，计</w:t>
            </w:r>
            <w:r>
              <w:rPr>
                <w:rStyle w:val="5"/>
                <w:rFonts w:hint="default" w:ascii="Times New Roman" w:hAnsi="Times New Roman" w:eastAsia="宋体" w:cs="Times New Roman"/>
                <w:sz w:val="20"/>
                <w:szCs w:val="20"/>
                <w:lang w:val="en-US" w:eastAsia="zh-CN" w:bidi="ar"/>
              </w:rPr>
              <w:t>0.5</w:t>
            </w:r>
            <w:r>
              <w:rPr>
                <w:rStyle w:val="4"/>
                <w:rFonts w:hint="default" w:ascii="Times New Roman" w:hAnsi="Times New Roman" w:cs="Times New Roman"/>
                <w:sz w:val="20"/>
                <w:szCs w:val="20"/>
                <w:lang w:val="en-US" w:eastAsia="zh-CN" w:bidi="ar"/>
              </w:rPr>
              <w:t>分，未编制不得分。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④资产配置预算实际执行情况未超年度预算（按程序审批除外），计</w:t>
            </w:r>
            <w:r>
              <w:rPr>
                <w:rStyle w:val="5"/>
                <w:rFonts w:hint="default" w:ascii="Times New Roman" w:hAnsi="Times New Roman" w:eastAsia="宋体" w:cs="Times New Roman"/>
                <w:sz w:val="20"/>
                <w:szCs w:val="20"/>
                <w:lang w:val="en-US" w:eastAsia="zh-CN" w:bidi="ar"/>
              </w:rPr>
              <w:t>0.5</w:t>
            </w:r>
            <w:r>
              <w:rPr>
                <w:rStyle w:val="4"/>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资产管理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①资产保存是否完整并有台账；</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②资产配置是否合理；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③资产处置是否规范；</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④资产账务管理是否合规，是否</w:t>
            </w:r>
            <w:r>
              <w:rPr>
                <w:rStyle w:val="4"/>
                <w:rFonts w:hint="eastAsia" w:cs="Times New Roman"/>
                <w:sz w:val="20"/>
                <w:szCs w:val="20"/>
                <w:lang w:val="en-US" w:eastAsia="zh-CN" w:bidi="ar"/>
              </w:rPr>
              <w:t>账实相符</w:t>
            </w:r>
            <w:r>
              <w:rPr>
                <w:rStyle w:val="4"/>
                <w:rFonts w:hint="default" w:ascii="Times New Roman" w:hAnsi="Times New Roman" w:cs="Times New Roman"/>
                <w:sz w:val="20"/>
                <w:szCs w:val="20"/>
                <w:lang w:val="en-US" w:eastAsia="zh-CN" w:bidi="ar"/>
              </w:rPr>
              <w:t>；</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⑤资产是否有偿使用或处置收入及时足额上缴；</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⑥相关资产购置是否履行政府采购手续；</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5"/>
                <w:rFonts w:hint="default" w:ascii="Times New Roman" w:hAnsi="Times New Roman" w:eastAsia="宋体" w:cs="Times New Roman"/>
                <w:sz w:val="20"/>
                <w:szCs w:val="20"/>
                <w:lang w:val="en-US" w:eastAsia="zh-CN" w:bidi="ar"/>
              </w:rPr>
              <w:t>0.5</w:t>
            </w:r>
            <w:r>
              <w:rPr>
                <w:rStyle w:val="4"/>
                <w:rFonts w:hint="default" w:ascii="Times New Roman" w:hAnsi="Times New Roman" w:cs="Times New Roman"/>
                <w:sz w:val="20"/>
                <w:szCs w:val="20"/>
                <w:lang w:val="en-US" w:eastAsia="zh-CN" w:bidi="ar"/>
              </w:rPr>
              <w:t>分，发现一例不符，扣</w:t>
            </w:r>
            <w:r>
              <w:rPr>
                <w:rStyle w:val="5"/>
                <w:rFonts w:hint="default" w:ascii="Times New Roman" w:hAnsi="Times New Roman" w:eastAsia="宋体" w:cs="Times New Roman"/>
                <w:sz w:val="20"/>
                <w:szCs w:val="20"/>
                <w:lang w:val="en-US" w:eastAsia="zh-CN" w:bidi="ar"/>
              </w:rPr>
              <w:t>0.1</w:t>
            </w:r>
            <w:r>
              <w:rPr>
                <w:rStyle w:val="4"/>
                <w:rFonts w:hint="default" w:ascii="Times New Roman" w:hAnsi="Times New Roman" w:cs="Times New Roman"/>
                <w:sz w:val="20"/>
                <w:szCs w:val="20"/>
                <w:lang w:val="en-US" w:eastAsia="zh-CN" w:bidi="ar"/>
              </w:rPr>
              <w:t>分，扣完为止；</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②资产处置规范，计0.5分，发现一例不符，扣0.1分，扣完为止；</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③资产有偿使用或处置收入及时足额上缴，计0.5分，发现未上缴，本项不得分；</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eastAsia" w:cs="Times New Roman"/>
                <w:sz w:val="20"/>
                <w:szCs w:val="20"/>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4"/>
                <w:rFonts w:hint="default" w:ascii="Times New Roman" w:hAnsi="Times New Roman" w:cs="Times New Roman"/>
                <w:sz w:val="20"/>
                <w:szCs w:val="20"/>
                <w:lang w:val="en-US" w:eastAsia="zh-CN" w:bidi="ar"/>
              </w:rPr>
              <w:t>固定资产</w:t>
            </w:r>
            <w:r>
              <w:rPr>
                <w:rStyle w:val="5"/>
                <w:rFonts w:hint="default" w:ascii="Times New Roman" w:hAnsi="Times New Roman" w:eastAsia="宋体" w:cs="Times New Roman"/>
                <w:sz w:val="20"/>
                <w:szCs w:val="20"/>
                <w:lang w:val="en-US" w:eastAsia="zh-CN" w:bidi="ar"/>
              </w:rPr>
              <w:br w:type="textWrapping"/>
            </w:r>
            <w:r>
              <w:rPr>
                <w:rStyle w:val="4"/>
                <w:rFonts w:hint="default" w:ascii="Times New Roman" w:hAnsi="Times New Roman" w:cs="Times New Roman"/>
                <w:sz w:val="20"/>
                <w:szCs w:val="20"/>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r>
              <w:rPr>
                <w:rStyle w:val="4"/>
                <w:rFonts w:hint="default" w:ascii="Times New Roman" w:hAnsi="Times New Roman" w:cs="Times New Roman"/>
                <w:sz w:val="20"/>
                <w:szCs w:val="20"/>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4"/>
                <w:rFonts w:hint="default" w:ascii="Times New Roman" w:hAnsi="Times New Roman" w:cs="Times New Roman"/>
                <w:sz w:val="20"/>
                <w:szCs w:val="20"/>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92.5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8752345"/>
    <w:rsid w:val="08752345"/>
    <w:rsid w:val="0AAC7116"/>
    <w:rsid w:val="240616EE"/>
    <w:rsid w:val="540C40AA"/>
    <w:rsid w:val="5FF07460"/>
    <w:rsid w:val="609278A8"/>
    <w:rsid w:val="7D995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color w:val="000000"/>
      <w:sz w:val="18"/>
      <w:szCs w:val="18"/>
      <w:u w:val="none"/>
    </w:rPr>
  </w:style>
  <w:style w:type="character" w:customStyle="1" w:styleId="5">
    <w:name w:val="font31"/>
    <w:basedOn w:val="3"/>
    <w:qFormat/>
    <w:uiPriority w:val="0"/>
    <w:rPr>
      <w:rFonts w:hint="default" w:ascii="Times New Roman" w:hAnsi="Times New Roman" w:cs="Times New Roman"/>
      <w:color w:val="000000"/>
      <w:sz w:val="18"/>
      <w:szCs w:val="18"/>
      <w:u w:val="none"/>
    </w:rPr>
  </w:style>
  <w:style w:type="character" w:customStyle="1" w:styleId="6">
    <w:name w:val="font21"/>
    <w:basedOn w:val="3"/>
    <w:qFormat/>
    <w:uiPriority w:val="0"/>
    <w:rPr>
      <w:rFonts w:hint="eastAsia" w:ascii="宋体" w:hAnsi="宋体" w:eastAsia="宋体" w:cs="宋体"/>
      <w:color w:val="FF0000"/>
      <w:sz w:val="18"/>
      <w:szCs w:val="18"/>
      <w:u w:val="none"/>
    </w:rPr>
  </w:style>
  <w:style w:type="character" w:customStyle="1" w:styleId="7">
    <w:name w:val="font11"/>
    <w:basedOn w:val="3"/>
    <w:qFormat/>
    <w:uiPriority w:val="0"/>
    <w:rPr>
      <w:rFonts w:hint="default" w:ascii="Times New Roman" w:hAnsi="Times New Roman" w:cs="Times New Roman"/>
      <w:color w:val="FF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3756</Words>
  <Characters>3927</Characters>
  <Lines>0</Lines>
  <Paragraphs>0</Paragraphs>
  <TotalTime>4</TotalTime>
  <ScaleCrop>false</ScaleCrop>
  <LinksUpToDate>false</LinksUpToDate>
  <CharactersWithSpaces>3928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2021-03-24T02:35:00Z</dcterms:created>
  <dc:creator>流年似水</dc:creator>
  <cp:lastModifiedBy>Administrator</cp:lastModifiedBy>
  <cp:lastPrinted>2021-03-30T04:20:00Z</cp:lastPrinted>
  <dcterms:modified xsi:type="dcterms:W3CDTF">2023-04-18T06:26:40Z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57FC163ACDEA4981983FAE2A2DF65C8E_13</vt:lpwstr>
  </property>
</Properties>
</file>