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年度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长沙市雨花区跳马镇人民政府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部门整体支出预算绩效自评报告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eastAsia" w:eastAsia="黑体" w:cs="Times New Roman"/>
          <w:sz w:val="36"/>
          <w:szCs w:val="36"/>
          <w:lang w:val="en-US" w:eastAsia="zh-CN"/>
        </w:rPr>
      </w:pPr>
    </w:p>
    <w:p>
      <w:pPr>
        <w:jc w:val="both"/>
        <w:rPr>
          <w:rFonts w:hint="eastAsia" w:eastAsia="黑体" w:cs="Times New Roman"/>
          <w:sz w:val="36"/>
          <w:szCs w:val="36"/>
          <w:lang w:val="en-US" w:eastAsia="zh-CN"/>
        </w:rPr>
      </w:pPr>
    </w:p>
    <w:p>
      <w:pPr>
        <w:jc w:val="both"/>
        <w:rPr>
          <w:rFonts w:hint="eastAsia" w:eastAsia="黑体" w:cs="Times New Roman"/>
          <w:sz w:val="36"/>
          <w:szCs w:val="36"/>
          <w:lang w:val="en-US" w:eastAsia="zh-CN"/>
        </w:rPr>
      </w:pPr>
    </w:p>
    <w:p>
      <w:pPr>
        <w:jc w:val="both"/>
        <w:rPr>
          <w:rFonts w:hint="eastAsia" w:eastAsia="黑体" w:cs="Times New Roman"/>
          <w:sz w:val="36"/>
          <w:szCs w:val="36"/>
          <w:lang w:val="en-US" w:eastAsia="zh-CN"/>
        </w:rPr>
      </w:pPr>
    </w:p>
    <w:p>
      <w:pPr>
        <w:jc w:val="both"/>
        <w:rPr>
          <w:rFonts w:hint="eastAsia" w:eastAsia="黑体" w:cs="Times New Roman"/>
          <w:sz w:val="36"/>
          <w:szCs w:val="36"/>
          <w:lang w:val="en-US" w:eastAsia="zh-CN"/>
        </w:rPr>
      </w:pPr>
    </w:p>
    <w:p>
      <w:pPr>
        <w:jc w:val="both"/>
        <w:rPr>
          <w:rFonts w:hint="eastAsia" w:eastAsia="黑体" w:cs="Times New Roman"/>
          <w:sz w:val="36"/>
          <w:szCs w:val="36"/>
          <w:lang w:val="en-US" w:eastAsia="zh-CN"/>
        </w:rPr>
      </w:pPr>
    </w:p>
    <w:p>
      <w:pPr>
        <w:jc w:val="both"/>
        <w:rPr>
          <w:rFonts w:hint="eastAsia" w:eastAsia="黑体" w:cs="Times New Roman"/>
          <w:sz w:val="36"/>
          <w:szCs w:val="36"/>
          <w:lang w:val="en-US" w:eastAsia="zh-CN"/>
        </w:rPr>
      </w:pPr>
    </w:p>
    <w:p>
      <w:pPr>
        <w:jc w:val="both"/>
        <w:rPr>
          <w:rFonts w:hint="eastAsia" w:eastAsia="黑体" w:cs="Times New Roman"/>
          <w:sz w:val="36"/>
          <w:szCs w:val="36"/>
          <w:lang w:val="en-US" w:eastAsia="zh-CN"/>
        </w:rPr>
      </w:pPr>
    </w:p>
    <w:p>
      <w:pPr>
        <w:jc w:val="both"/>
        <w:rPr>
          <w:rFonts w:hint="eastAsia" w:eastAsia="黑体" w:cs="Times New Roman"/>
          <w:sz w:val="36"/>
          <w:szCs w:val="36"/>
          <w:lang w:val="en-US" w:eastAsia="zh-CN"/>
        </w:rPr>
      </w:pPr>
    </w:p>
    <w:p>
      <w:pPr>
        <w:jc w:val="both"/>
        <w:rPr>
          <w:rFonts w:hint="eastAsia" w:ascii="Times New Roman" w:hAnsi="Times New Roman" w:eastAsia="黑体" w:cs="Times New Roman"/>
          <w:sz w:val="36"/>
          <w:szCs w:val="36"/>
          <w:lang w:eastAsia="zh-CN"/>
        </w:rPr>
      </w:pPr>
      <w:r>
        <w:rPr>
          <w:rFonts w:hint="eastAsia" w:eastAsia="黑体" w:cs="Times New Roman"/>
          <w:sz w:val="36"/>
          <w:szCs w:val="36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 w:val="36"/>
          <w:szCs w:val="36"/>
        </w:rPr>
        <w:t>单位名称（盖章）：</w:t>
      </w:r>
      <w:r>
        <w:rPr>
          <w:rFonts w:hint="eastAsia" w:eastAsia="黑体" w:cs="Times New Roman"/>
          <w:sz w:val="36"/>
          <w:szCs w:val="36"/>
          <w:lang w:eastAsia="zh-CN"/>
        </w:rPr>
        <w:t>长沙市雨花区跳马镇人民政府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部门、单位基本情况</w:t>
      </w:r>
    </w:p>
    <w:p>
      <w:pPr>
        <w:snapToGrid w:val="0"/>
        <w:spacing w:line="600" w:lineRule="exact"/>
        <w:ind w:firstLine="600" w:firstLineChars="200"/>
        <w:jc w:val="both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跳马镇人民政府年末</w:t>
      </w:r>
      <w:r>
        <w:rPr>
          <w:rFonts w:ascii="仿宋_GB2312" w:hAnsi="仿宋" w:eastAsia="仿宋_GB2312"/>
          <w:sz w:val="30"/>
          <w:szCs w:val="30"/>
        </w:rPr>
        <w:t>实有在职人员共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80</w:t>
      </w:r>
      <w:r>
        <w:rPr>
          <w:rFonts w:hint="eastAsia" w:ascii="仿宋_GB2312" w:hAnsi="仿宋" w:eastAsia="仿宋_GB2312"/>
          <w:sz w:val="30"/>
          <w:szCs w:val="30"/>
        </w:rPr>
        <w:t>人</w:t>
      </w:r>
      <w:r>
        <w:rPr>
          <w:rFonts w:ascii="仿宋_GB2312" w:hAnsi="仿宋" w:eastAsia="仿宋_GB2312"/>
          <w:sz w:val="30"/>
          <w:szCs w:val="30"/>
        </w:rPr>
        <w:t>，其中</w:t>
      </w:r>
      <w:r>
        <w:rPr>
          <w:rFonts w:hint="eastAsia" w:ascii="仿宋_GB2312" w:hAnsi="仿宋" w:eastAsia="仿宋_GB2312"/>
          <w:sz w:val="30"/>
          <w:szCs w:val="30"/>
        </w:rPr>
        <w:t>行政</w:t>
      </w:r>
      <w:r>
        <w:rPr>
          <w:rFonts w:ascii="仿宋_GB2312" w:hAnsi="仿宋" w:eastAsia="仿宋_GB2312"/>
          <w:sz w:val="30"/>
          <w:szCs w:val="30"/>
        </w:rPr>
        <w:t>编制人员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36</w:t>
      </w:r>
      <w:r>
        <w:rPr>
          <w:rFonts w:hint="eastAsia" w:ascii="仿宋_GB2312" w:hAnsi="仿宋" w:eastAsia="仿宋_GB2312"/>
          <w:sz w:val="30"/>
          <w:szCs w:val="30"/>
        </w:rPr>
        <w:t>人</w:t>
      </w:r>
      <w:r>
        <w:rPr>
          <w:rFonts w:ascii="仿宋_GB2312" w:hAnsi="仿宋" w:eastAsia="仿宋_GB2312"/>
          <w:sz w:val="30"/>
          <w:szCs w:val="30"/>
        </w:rPr>
        <w:t>，</w:t>
      </w:r>
      <w:r>
        <w:rPr>
          <w:rFonts w:hint="eastAsia" w:ascii="仿宋_GB2312" w:hAnsi="仿宋" w:eastAsia="仿宋_GB2312"/>
          <w:sz w:val="30"/>
          <w:szCs w:val="30"/>
        </w:rPr>
        <w:t>事业</w:t>
      </w:r>
      <w:r>
        <w:rPr>
          <w:rFonts w:ascii="仿宋_GB2312" w:hAnsi="仿宋" w:eastAsia="仿宋_GB2312"/>
          <w:sz w:val="30"/>
          <w:szCs w:val="30"/>
        </w:rPr>
        <w:t>编制人员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44</w:t>
      </w:r>
      <w:r>
        <w:rPr>
          <w:rFonts w:hint="eastAsia" w:ascii="仿宋_GB2312" w:hAnsi="仿宋" w:eastAsia="仿宋_GB2312"/>
          <w:sz w:val="30"/>
          <w:szCs w:val="30"/>
        </w:rPr>
        <w:t>人</w:t>
      </w:r>
      <w:r>
        <w:rPr>
          <w:rFonts w:ascii="仿宋_GB2312" w:hAnsi="仿宋" w:eastAsia="仿宋_GB2312"/>
          <w:sz w:val="30"/>
          <w:szCs w:val="30"/>
        </w:rPr>
        <w:t>。引进人才</w:t>
      </w:r>
      <w:r>
        <w:rPr>
          <w:rFonts w:hint="eastAsia" w:ascii="仿宋_GB2312" w:hAnsi="仿宋" w:eastAsia="仿宋_GB2312"/>
          <w:sz w:val="30"/>
          <w:szCs w:val="30"/>
        </w:rPr>
        <w:t>1人，雇员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55</w:t>
      </w:r>
      <w:r>
        <w:rPr>
          <w:rFonts w:hint="eastAsia" w:ascii="仿宋_GB2312" w:hAnsi="仿宋" w:eastAsia="仿宋_GB2312"/>
          <w:sz w:val="30"/>
          <w:szCs w:val="30"/>
        </w:rPr>
        <w:t>人，挂编学生及转业士官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" w:eastAsia="仿宋_GB2312"/>
          <w:sz w:val="30"/>
          <w:szCs w:val="30"/>
        </w:rPr>
        <w:t>人。</w:t>
      </w:r>
      <w:r>
        <w:rPr>
          <w:rFonts w:ascii="仿宋_GB2312" w:hAnsi="仿宋" w:eastAsia="仿宋_GB2312"/>
          <w:sz w:val="30"/>
          <w:szCs w:val="30"/>
        </w:rPr>
        <w:t>下设党政综合办、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基层党建办、经济发展办、社会事务办（行政审批服务办公室）</w:t>
      </w:r>
      <w:r>
        <w:rPr>
          <w:rFonts w:ascii="仿宋_GB2312" w:hAnsi="仿宋" w:eastAsia="仿宋_GB2312"/>
          <w:sz w:val="30"/>
          <w:szCs w:val="30"/>
        </w:rPr>
        <w:t>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生态环境管理办公室（城市管理办公室）</w:t>
      </w:r>
      <w:r>
        <w:rPr>
          <w:rFonts w:ascii="仿宋_GB2312" w:hAnsi="仿宋" w:eastAsia="仿宋_GB2312"/>
          <w:sz w:val="30"/>
          <w:szCs w:val="30"/>
        </w:rPr>
        <w:t>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农业农村综合服务中心</w:t>
      </w:r>
      <w:r>
        <w:rPr>
          <w:rFonts w:ascii="仿宋_GB2312" w:hAnsi="仿宋" w:eastAsia="仿宋_GB2312"/>
          <w:sz w:val="30"/>
          <w:szCs w:val="30"/>
        </w:rPr>
        <w:t>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村镇建设服务中心</w:t>
      </w:r>
      <w:r>
        <w:rPr>
          <w:rFonts w:ascii="仿宋_GB2312" w:hAnsi="仿宋" w:eastAsia="仿宋_GB2312"/>
          <w:sz w:val="30"/>
          <w:szCs w:val="30"/>
        </w:rPr>
        <w:t>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政务（便民）服务中心（党群服务中心）</w:t>
      </w:r>
      <w:r>
        <w:rPr>
          <w:rFonts w:ascii="仿宋_GB2312" w:hAnsi="仿宋" w:eastAsia="仿宋_GB2312"/>
          <w:sz w:val="30"/>
          <w:szCs w:val="30"/>
        </w:rPr>
        <w:t>及财政所等机构。</w:t>
      </w:r>
      <w:r>
        <w:rPr>
          <w:rFonts w:hint="eastAsia" w:ascii="仿宋_GB2312" w:hAnsi="仿宋" w:eastAsia="仿宋_GB2312"/>
          <w:sz w:val="30"/>
          <w:szCs w:val="30"/>
        </w:rPr>
        <w:t>跳马镇人民</w:t>
      </w:r>
      <w:r>
        <w:rPr>
          <w:rFonts w:ascii="仿宋_GB2312" w:hAnsi="仿宋" w:eastAsia="仿宋_GB2312"/>
          <w:sz w:val="30"/>
          <w:szCs w:val="30"/>
        </w:rPr>
        <w:t>政府在基层的</w:t>
      </w:r>
      <w:r>
        <w:rPr>
          <w:rFonts w:hint="eastAsia" w:ascii="仿宋_GB2312" w:hAnsi="仿宋" w:eastAsia="仿宋_GB2312"/>
          <w:sz w:val="30"/>
          <w:szCs w:val="30"/>
        </w:rPr>
        <w:t>政治</w:t>
      </w:r>
      <w:r>
        <w:rPr>
          <w:rFonts w:ascii="仿宋_GB2312" w:hAnsi="仿宋" w:eastAsia="仿宋_GB2312"/>
          <w:sz w:val="30"/>
          <w:szCs w:val="30"/>
        </w:rPr>
        <w:t>、经济、文化和生活中扮演着</w:t>
      </w:r>
      <w:r>
        <w:rPr>
          <w:rFonts w:hint="eastAsia" w:ascii="仿宋_GB2312" w:hAnsi="仿宋" w:eastAsia="仿宋_GB2312"/>
          <w:sz w:val="30"/>
          <w:szCs w:val="30"/>
        </w:rPr>
        <w:t>极其</w:t>
      </w:r>
      <w:r>
        <w:rPr>
          <w:rFonts w:ascii="仿宋_GB2312" w:hAnsi="仿宋" w:eastAsia="仿宋_GB2312"/>
          <w:sz w:val="30"/>
          <w:szCs w:val="30"/>
        </w:rPr>
        <w:t>重要的角色</w:t>
      </w:r>
      <w:r>
        <w:rPr>
          <w:rFonts w:hint="eastAsia" w:ascii="仿宋_GB2312" w:hAnsi="仿宋" w:eastAsia="仿宋_GB2312"/>
          <w:sz w:val="30"/>
          <w:szCs w:val="30"/>
        </w:rPr>
        <w:t>。</w:t>
      </w:r>
      <w:r>
        <w:rPr>
          <w:rFonts w:ascii="仿宋_GB2312" w:hAnsi="仿宋" w:eastAsia="仿宋_GB2312"/>
          <w:sz w:val="30"/>
          <w:szCs w:val="30"/>
        </w:rPr>
        <w:t>一是</w:t>
      </w:r>
      <w:r>
        <w:rPr>
          <w:rFonts w:hint="eastAsia" w:ascii="仿宋_GB2312" w:hAnsi="仿宋" w:eastAsia="仿宋_GB2312"/>
          <w:sz w:val="30"/>
          <w:szCs w:val="30"/>
        </w:rPr>
        <w:t>贯彻</w:t>
      </w:r>
      <w:r>
        <w:rPr>
          <w:rFonts w:ascii="仿宋_GB2312" w:hAnsi="仿宋" w:eastAsia="仿宋_GB2312"/>
          <w:sz w:val="30"/>
          <w:szCs w:val="30"/>
        </w:rPr>
        <w:t>执行法律政策，不断推进民主建设。二是</w:t>
      </w:r>
      <w:r>
        <w:rPr>
          <w:rFonts w:hint="eastAsia" w:ascii="仿宋_GB2312" w:hAnsi="仿宋" w:eastAsia="仿宋_GB2312"/>
          <w:sz w:val="30"/>
          <w:szCs w:val="30"/>
        </w:rPr>
        <w:t>加快</w:t>
      </w:r>
      <w:r>
        <w:rPr>
          <w:rFonts w:ascii="仿宋_GB2312" w:hAnsi="仿宋" w:eastAsia="仿宋_GB2312"/>
          <w:sz w:val="30"/>
          <w:szCs w:val="30"/>
        </w:rPr>
        <w:t>发展农村经济，切实增加农民收入。三是</w:t>
      </w:r>
      <w:r>
        <w:rPr>
          <w:rFonts w:hint="eastAsia" w:ascii="仿宋_GB2312" w:hAnsi="仿宋" w:eastAsia="仿宋_GB2312"/>
          <w:sz w:val="30"/>
          <w:szCs w:val="30"/>
        </w:rPr>
        <w:t>推行</w:t>
      </w:r>
      <w:r>
        <w:rPr>
          <w:rFonts w:ascii="仿宋_GB2312" w:hAnsi="仿宋" w:eastAsia="仿宋_GB2312"/>
          <w:sz w:val="30"/>
          <w:szCs w:val="30"/>
        </w:rPr>
        <w:t>政务公开，扩大农民的知情权与参与权。四</w:t>
      </w:r>
      <w:r>
        <w:rPr>
          <w:rFonts w:hint="eastAsia" w:ascii="仿宋_GB2312" w:hAnsi="仿宋" w:eastAsia="仿宋_GB2312"/>
          <w:sz w:val="30"/>
          <w:szCs w:val="30"/>
        </w:rPr>
        <w:t>是</w:t>
      </w:r>
      <w:r>
        <w:rPr>
          <w:rFonts w:ascii="仿宋_GB2312" w:hAnsi="仿宋" w:eastAsia="仿宋_GB2312"/>
          <w:sz w:val="30"/>
          <w:szCs w:val="30"/>
        </w:rPr>
        <w:t>推高社会管理水平，创造良好的发展环境。</w:t>
      </w:r>
      <w:r>
        <w:rPr>
          <w:rFonts w:hint="eastAsia" w:ascii="仿宋_GB2312" w:hAnsi="仿宋" w:eastAsia="仿宋_GB2312"/>
          <w:sz w:val="30"/>
          <w:szCs w:val="30"/>
        </w:rPr>
        <w:t>五</w:t>
      </w:r>
      <w:r>
        <w:rPr>
          <w:rFonts w:ascii="仿宋_GB2312" w:hAnsi="仿宋" w:eastAsia="仿宋_GB2312"/>
          <w:sz w:val="30"/>
          <w:szCs w:val="30"/>
        </w:rPr>
        <w:t>是</w:t>
      </w:r>
      <w:r>
        <w:rPr>
          <w:rFonts w:hint="eastAsia" w:ascii="仿宋_GB2312" w:hAnsi="仿宋" w:eastAsia="仿宋_GB2312"/>
          <w:sz w:val="30"/>
          <w:szCs w:val="30"/>
        </w:rPr>
        <w:t>积极发展</w:t>
      </w:r>
      <w:r>
        <w:rPr>
          <w:rFonts w:ascii="仿宋_GB2312" w:hAnsi="仿宋" w:eastAsia="仿宋_GB2312"/>
          <w:sz w:val="30"/>
          <w:szCs w:val="30"/>
        </w:rPr>
        <w:t>公益事业，提供公共服务保障。六</w:t>
      </w:r>
      <w:r>
        <w:rPr>
          <w:rFonts w:hint="eastAsia" w:ascii="仿宋_GB2312" w:hAnsi="仿宋" w:eastAsia="仿宋_GB2312"/>
          <w:sz w:val="30"/>
          <w:szCs w:val="30"/>
        </w:rPr>
        <w:t>是</w:t>
      </w:r>
      <w:r>
        <w:rPr>
          <w:rFonts w:ascii="仿宋_GB2312" w:hAnsi="仿宋" w:eastAsia="仿宋_GB2312"/>
          <w:sz w:val="30"/>
          <w:szCs w:val="30"/>
        </w:rPr>
        <w:t>大力加强综合治理，有效维护社会稳定。七是加强绿心地区生态保护。</w:t>
      </w:r>
    </w:p>
    <w:p>
      <w:pPr>
        <w:snapToGrid w:val="0"/>
        <w:spacing w:line="60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2020</w:t>
      </w:r>
      <w:r>
        <w:rPr>
          <w:rFonts w:hint="eastAsia" w:ascii="仿宋_GB2312" w:hAnsi="仿宋" w:eastAsia="仿宋_GB2312"/>
          <w:sz w:val="30"/>
          <w:szCs w:val="30"/>
        </w:rPr>
        <w:t>年预算批复为</w:t>
      </w:r>
      <w:r>
        <w:rPr>
          <w:rFonts w:hint="eastAsia" w:ascii="仿宋_GB2312" w:hAnsi="仿宋" w:eastAsia="仿宋_GB2312"/>
          <w:color w:val="auto"/>
          <w:sz w:val="30"/>
          <w:szCs w:val="30"/>
          <w:highlight w:val="none"/>
          <w:lang w:val="en-US" w:eastAsia="zh-CN"/>
        </w:rPr>
        <w:t>4714.06</w:t>
      </w:r>
      <w:r>
        <w:rPr>
          <w:rFonts w:hint="eastAsia" w:ascii="仿宋_GB2312" w:hAnsi="仿宋" w:eastAsia="仿宋_GB2312"/>
          <w:sz w:val="30"/>
          <w:szCs w:val="30"/>
        </w:rPr>
        <w:t>万元，实际到位指标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14235.72</w:t>
      </w:r>
      <w:r>
        <w:rPr>
          <w:rFonts w:hint="eastAsia" w:ascii="仿宋_GB2312" w:hAnsi="仿宋" w:eastAsia="仿宋_GB2312"/>
          <w:sz w:val="30"/>
          <w:szCs w:val="30"/>
        </w:rPr>
        <w:t>万元，实际支出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15361.82</w:t>
      </w:r>
      <w:r>
        <w:rPr>
          <w:rFonts w:hint="eastAsia" w:ascii="仿宋_GB2312" w:hAnsi="仿宋" w:eastAsia="仿宋_GB2312"/>
          <w:sz w:val="30"/>
          <w:szCs w:val="30"/>
        </w:rPr>
        <w:t>万元，其中基本支出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3253.34</w:t>
      </w:r>
      <w:r>
        <w:rPr>
          <w:rFonts w:hint="eastAsia" w:ascii="仿宋_GB2312" w:hAnsi="仿宋" w:eastAsia="仿宋_GB2312"/>
          <w:sz w:val="30"/>
          <w:szCs w:val="30"/>
        </w:rPr>
        <w:t>万元，项目支出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12108.48</w:t>
      </w:r>
      <w:r>
        <w:rPr>
          <w:rFonts w:hint="eastAsia" w:ascii="仿宋_GB2312" w:hAnsi="仿宋" w:eastAsia="仿宋_GB2312"/>
          <w:sz w:val="30"/>
          <w:szCs w:val="30"/>
        </w:rPr>
        <w:t>万元。主要用于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村社区经费、党建、抗洪救灾、环境卫生、乡村振兴</w:t>
      </w:r>
      <w:r>
        <w:rPr>
          <w:rFonts w:hint="eastAsia" w:ascii="仿宋_GB2312" w:hAnsi="仿宋" w:eastAsia="仿宋_GB2312"/>
          <w:sz w:val="30"/>
          <w:szCs w:val="30"/>
        </w:rPr>
        <w:t>等项目。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部门整体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预算支出情况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（一）基本支出情况</w:t>
      </w:r>
    </w:p>
    <w:p>
      <w:pPr>
        <w:ind w:firstLine="750" w:firstLineChars="25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2020</w:t>
      </w:r>
      <w:r>
        <w:rPr>
          <w:rFonts w:hint="eastAsia" w:ascii="仿宋_GB2312" w:eastAsia="仿宋_GB2312"/>
          <w:bCs/>
          <w:sz w:val="30"/>
          <w:szCs w:val="30"/>
        </w:rPr>
        <w:t>年度基本支出决算数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3253.34</w:t>
      </w:r>
      <w:r>
        <w:rPr>
          <w:rFonts w:hint="eastAsia" w:ascii="仿宋_GB2312" w:eastAsia="仿宋_GB2312"/>
          <w:bCs/>
          <w:sz w:val="30"/>
          <w:szCs w:val="30"/>
        </w:rPr>
        <w:t>万元，占支出总额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21.18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="仿宋_GB2312" w:eastAsia="仿宋_GB2312"/>
          <w:bCs/>
          <w:sz w:val="30"/>
          <w:szCs w:val="30"/>
        </w:rPr>
        <w:t>；主要包括工资福利支出，商品服务支出，对个人和家庭的补助支出等。</w:t>
      </w:r>
    </w:p>
    <w:p>
      <w:pPr>
        <w:ind w:firstLine="750" w:firstLineChars="25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其中“三公”经费支出情况：公务用车运行与维护费支出预算数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5.94</w:t>
      </w:r>
      <w:r>
        <w:rPr>
          <w:rFonts w:hint="eastAsia" w:ascii="仿宋_GB2312" w:eastAsia="仿宋_GB2312"/>
          <w:bCs/>
          <w:sz w:val="30"/>
          <w:szCs w:val="30"/>
        </w:rPr>
        <w:t>万元，决算数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1.17</w:t>
      </w:r>
      <w:r>
        <w:rPr>
          <w:rFonts w:hint="eastAsia" w:ascii="仿宋_GB2312" w:eastAsia="仿宋_GB2312"/>
          <w:bCs/>
          <w:sz w:val="30"/>
          <w:szCs w:val="30"/>
        </w:rPr>
        <w:t>万元，公务接待支出预算数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bCs/>
          <w:sz w:val="30"/>
          <w:szCs w:val="30"/>
        </w:rPr>
        <w:t>万元，决算数为0万元，因公出国（境）预算数0万元，决算数0万元。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（二）项目支出情况</w:t>
      </w:r>
    </w:p>
    <w:p>
      <w:pPr>
        <w:ind w:firstLine="750" w:firstLineChars="250"/>
        <w:rPr>
          <w:rFonts w:hint="default" w:ascii="仿宋_GB2312" w:eastAsia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t>2020年，为用于专项业务的工作经费支出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12108.48</w:t>
      </w:r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t>万元。具体项目开支情况如下：巡防队员专项109.55万元，乡村振兴专项193.73万元，抗洪救灾专项2533.58万元，污水处理351.05万元，食品安全12.65万元，消防专项1.04万元，护铁护路专项55.55万元，武装专项10.14万元，综治宣传专项6.2万元，政协专项0.14万元，信访维稳专项31.86万元，扫黑除恶专项12.63万元，禁毒0.8万元，村社区经费1445.60万元，党建专项209.73万元，其他党建专项27.54万元，老年协会4.69万元，城管中队28.46万元，绿心工业企业退出68.46万元，城管协管97.92万元，垃圾分类489.54万元，垃圾站养护3.61万元，垃圾运输16.40万元，环境卫生专项1706.80万元，村级环境治理22.27万元，城乡规划0.31万元，城市管理考核8.1万元，农村改厕4.9万元，城管3.11万元，矿山生态修复301.95万元，小微水体治理1万元，水库除险17.47万元，百倍冲排渍22.14万元，刘畅13.65万元，防汛24.32万元，文明创建75.06万元，宣传0.4万元，群众工作7.22万元，其他专项7.58万元，交警队50.89万元，社会救助专干7.03万元，文广站32.73万元，退役军人服务中心21.99万元，其他项目8.51万元，殡改14.40万元，精准扶贫151.66万元，基础设施建设2196.05万元，美丽乡村72.68万元，红星农副产品大市场电力工程项目7.97万</w:t>
      </w:r>
      <w:bookmarkStart w:id="0" w:name="_GoBack"/>
      <w:bookmarkEnd w:id="0"/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t>元，其他专项9.24万元，派出所15.71万元，企业673.90万元，统计2.5万元，红十字会2.52万元，计生科技13.09万元，蓝天保卫战1万元，司法所18.06万元，妇联1.05万元，机关食堂30.77万元，工会3.5万元，在职在编24.74万元，政府雇员17.97万元，特编人员3.67万元，其他人员2.97万元，公用433.78万元，其他人员2.97万元，纪检1.93万元，疫情防控353.49万元，人大2万元，离退休人员2.56万元。</w:t>
      </w:r>
    </w:p>
    <w:p>
      <w:pPr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三、部门专项组织实施情况 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4F81BD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个项目在确定项目、上报请示后，镇党委政府按规定及时进行审批，并按财务管理制度第一时间落实资金拨付，保证项目顺利开展；各个项目均按照上级相关部门要求进行，项目决策正确、项目管理合理、项目完成符合要求、项目的完成效果良好。充分利用有限的资金，科学组织，严格控制标准，注重维护和完善使用功能，对资金使用严格财经纪律，专款专用，确保资金使用效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eastAsia="zh-CN"/>
        </w:rPr>
        <w:t>四、</w:t>
      </w:r>
      <w:r>
        <w:rPr>
          <w:rFonts w:hint="eastAsia" w:ascii="仿宋_GB2312" w:eastAsia="仿宋_GB2312"/>
          <w:b/>
          <w:sz w:val="30"/>
          <w:szCs w:val="30"/>
        </w:rPr>
        <w:t>资产管理情况</w:t>
      </w:r>
    </w:p>
    <w:p>
      <w:pPr>
        <w:ind w:firstLine="750" w:firstLineChars="2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严格落实相</w:t>
      </w:r>
      <w:r>
        <w:rPr>
          <w:rFonts w:hint="eastAsia" w:ascii="楷体_GB2312" w:hAnsi="楷体" w:eastAsia="楷体_GB2312"/>
          <w:kern w:val="0"/>
          <w:sz w:val="30"/>
          <w:szCs w:val="30"/>
        </w:rPr>
        <w:t>关管</w:t>
      </w:r>
      <w:r>
        <w:rPr>
          <w:rFonts w:hint="eastAsia" w:ascii="仿宋_GB2312" w:eastAsia="仿宋_GB2312"/>
          <w:sz w:val="30"/>
          <w:szCs w:val="30"/>
        </w:rPr>
        <w:t>理制度，对单位资产定期核查清理，及时建卡记账，做到单据齐全、账目清晰、数据准确。保证张证相符、账账相符、账实相符。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eastAsia="zh-CN"/>
        </w:rPr>
        <w:t>五、</w:t>
      </w:r>
      <w:r>
        <w:rPr>
          <w:rFonts w:hint="eastAsia" w:ascii="仿宋_GB2312" w:eastAsia="仿宋_GB2312"/>
          <w:b/>
          <w:sz w:val="30"/>
          <w:szCs w:val="30"/>
        </w:rPr>
        <w:t xml:space="preserve">部门整体支出绩效情况 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通过绿心地区工业企业的全部退出，农村环境整治，蓝天保卫战等工作的开展，我镇的环境得到有效治理，确保了绿水青山就是金山银山；浏阳河曙光垸大堤及附属配套水利设施的加固，有效的改善了汛期该流域外洪内涝的局面，确保了农民生产生活的安全。城市管理水平得到提高，美丽乡村的建设提升了农民生活环境，乡村振兴战略的实施为我镇农业产业发展的提供有利条件；社会治安稳定，乡风文明、宜居宜业。</w:t>
      </w:r>
    </w:p>
    <w:p>
      <w:pPr>
        <w:numPr>
          <w:ilvl w:val="0"/>
          <w:numId w:val="2"/>
        </w:numPr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存在的主要问题 </w:t>
      </w:r>
    </w:p>
    <w:p>
      <w:pPr>
        <w:numPr>
          <w:ilvl w:val="0"/>
          <w:numId w:val="0"/>
        </w:numPr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预算的准确性不够，资金压力大</w:t>
      </w:r>
      <w:r>
        <w:rPr>
          <w:rFonts w:hint="eastAsia" w:ascii="仿宋_GB2312" w:eastAsia="仿宋_GB2312"/>
          <w:sz w:val="30"/>
          <w:szCs w:val="30"/>
          <w:lang w:eastAsia="zh-CN"/>
        </w:rPr>
        <w:t>，未及时进行资产核销，未建立完整的资产卡片。</w:t>
      </w:r>
    </w:p>
    <w:p>
      <w:pPr>
        <w:numPr>
          <w:ilvl w:val="0"/>
          <w:numId w:val="2"/>
        </w:numPr>
        <w:ind w:left="0" w:leftChars="0"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改进措施和有关建议 </w:t>
      </w:r>
    </w:p>
    <w:p>
      <w:pPr>
        <w:pStyle w:val="2"/>
        <w:widowControl/>
        <w:spacing w:before="0" w:beforeAutospacing="0" w:after="0" w:afterAutospacing="0" w:line="555" w:lineRule="atLeast"/>
        <w:ind w:firstLine="600"/>
        <w:rPr>
          <w:rFonts w:hint="eastAsia" w:ascii="华文仿宋" w:hAnsi="华文仿宋" w:eastAsia="华文仿宋" w:cs="Arial Unicode MS"/>
          <w:color w:val="000000"/>
          <w:sz w:val="30"/>
          <w:szCs w:val="30"/>
          <w:lang w:eastAsia="zh-CN"/>
        </w:rPr>
      </w:pPr>
      <w:r>
        <w:rPr>
          <w:rFonts w:ascii="华文仿宋" w:hAnsi="华文仿宋" w:eastAsia="华文仿宋" w:cs="Arial Unicode MS"/>
          <w:color w:val="000000"/>
          <w:sz w:val="30"/>
          <w:szCs w:val="30"/>
        </w:rPr>
        <w:t>加强政策学习，提高思想认识。组织相关人员认真学习相关法规、制度，提高单位领导对全面预算管理的重视程度，增强财务人员的预算意识，坚持先有预算、后有支出，没有预算不得支出。</w:t>
      </w:r>
      <w:r>
        <w:rPr>
          <w:rFonts w:hint="eastAsia" w:ascii="华文仿宋" w:hAnsi="华文仿宋" w:eastAsia="华文仿宋" w:cs="Arial Unicode MS"/>
          <w:color w:val="000000"/>
          <w:sz w:val="30"/>
          <w:szCs w:val="30"/>
          <w:lang w:eastAsia="zh-CN"/>
        </w:rPr>
        <w:t>进行资产清查，及时核销报损固定资产。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长沙市雨花区跳马镇人民政府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2021年09月28日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248E54"/>
    <w:multiLevelType w:val="singleLevel"/>
    <w:tmpl w:val="A3248E5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2067FD"/>
    <w:multiLevelType w:val="singleLevel"/>
    <w:tmpl w:val="2D2067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C0B4C"/>
    <w:rsid w:val="03517B4A"/>
    <w:rsid w:val="040B390F"/>
    <w:rsid w:val="055266E6"/>
    <w:rsid w:val="06DA4A38"/>
    <w:rsid w:val="17874BB0"/>
    <w:rsid w:val="273A6620"/>
    <w:rsid w:val="2F0C544D"/>
    <w:rsid w:val="3C1C1B76"/>
    <w:rsid w:val="402C5F1D"/>
    <w:rsid w:val="4B0E0AF4"/>
    <w:rsid w:val="4BC0347D"/>
    <w:rsid w:val="4F100F56"/>
    <w:rsid w:val="528203A5"/>
    <w:rsid w:val="53B81151"/>
    <w:rsid w:val="55597F19"/>
    <w:rsid w:val="57250B99"/>
    <w:rsid w:val="6F8E1716"/>
    <w:rsid w:val="76EC5DF6"/>
    <w:rsid w:val="772C0B4C"/>
    <w:rsid w:val="797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2021-03-24T02:35:00Z</dcterms:created>
  <dc:creator>流年似水</dc:creator>
  <cp:lastModifiedBy>张捷</cp:lastModifiedBy>
  <cp:lastPrinted>2021-03-31T01:36:00Z</cp:lastPrinted>
  <dcterms:modified xsi:type="dcterms:W3CDTF">2021-10-14T03:40:01Z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