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C4" w:rsidRPr="005A6393" w:rsidRDefault="00E843C4" w:rsidP="00E843C4">
      <w:pPr>
        <w:pStyle w:val="a7"/>
        <w:widowControl w:val="0"/>
        <w:adjustRightInd w:val="0"/>
        <w:snapToGrid w:val="0"/>
        <w:spacing w:before="0" w:beforeAutospacing="0" w:after="0" w:afterAutospacing="0" w:line="300" w:lineRule="exact"/>
        <w:jc w:val="both"/>
        <w:rPr>
          <w:rFonts w:eastAsia="黑体"/>
        </w:rPr>
      </w:pPr>
      <w:r w:rsidRPr="005A6393">
        <w:rPr>
          <w:rFonts w:eastAsia="黑体" w:cs="黑体" w:hint="eastAsia"/>
        </w:rPr>
        <w:t>附件</w:t>
      </w:r>
      <w:r w:rsidRPr="005A6393">
        <w:rPr>
          <w:rFonts w:eastAsia="黑体"/>
        </w:rPr>
        <w:t>3</w:t>
      </w:r>
    </w:p>
    <w:p w:rsidR="00E843C4" w:rsidRPr="00580EAB" w:rsidRDefault="00E843C4" w:rsidP="00E843C4">
      <w:pPr>
        <w:spacing w:afterLines="50" w:after="156" w:line="592" w:lineRule="exact"/>
        <w:jc w:val="center"/>
        <w:rPr>
          <w:rFonts w:ascii="仿宋_GB2312" w:eastAsia="仿宋_GB2312" w:hAnsi="仿宋_GB2312"/>
          <w:w w:val="80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×××</w:t>
      </w:r>
      <w:r w:rsidRPr="00580EAB">
        <w:rPr>
          <w:rFonts w:ascii="方正小标宋简体" w:eastAsia="方正小标宋简体" w:hAnsi="方正小标宋简体" w:cs="方正小标宋简体" w:hint="eastAsia"/>
          <w:color w:val="000000"/>
          <w:w w:val="80"/>
          <w:sz w:val="36"/>
          <w:szCs w:val="36"/>
        </w:rPr>
        <w:t>未制定本单位的安全生产事故应急救援预案案公示</w:t>
      </w:r>
      <w:r w:rsidRPr="00FB436D">
        <w:rPr>
          <w:rFonts w:ascii="楷体_GB2312" w:eastAsia="楷体_GB2312" w:hAnsi="方正小标宋简体" w:cs="楷体_GB2312" w:hint="eastAsia"/>
          <w:color w:val="000000"/>
          <w:sz w:val="24"/>
          <w:szCs w:val="24"/>
        </w:rPr>
        <w:t>（示例）</w:t>
      </w:r>
    </w:p>
    <w:tbl>
      <w:tblPr>
        <w:tblW w:w="9735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24"/>
        <w:gridCol w:w="3321"/>
        <w:gridCol w:w="1695"/>
        <w:gridCol w:w="3195"/>
      </w:tblGrid>
      <w:tr w:rsidR="00E843C4" w:rsidTr="00675997">
        <w:trPr>
          <w:trHeight w:val="737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bookmarkEnd w:id="0"/>
          <w:p w:rsidR="00E843C4" w:rsidRPr="0071372A" w:rsidRDefault="00E843C4" w:rsidP="00675997">
            <w:pPr>
              <w:autoSpaceDN w:val="0"/>
              <w:jc w:val="center"/>
              <w:textAlignment w:val="center"/>
              <w:rPr>
                <w:rFonts w:ascii="黑体" w:eastAsia="黑体" w:hAnsi="仿宋_GB2312"/>
                <w:color w:val="000000"/>
                <w:sz w:val="24"/>
                <w:szCs w:val="24"/>
              </w:rPr>
            </w:pPr>
            <w:r w:rsidRPr="0071372A">
              <w:rPr>
                <w:rFonts w:ascii="黑体" w:eastAsia="黑体" w:hAnsi="仿宋_GB2312" w:cs="黑体" w:hint="eastAsia"/>
                <w:color w:val="000000"/>
                <w:sz w:val="24"/>
                <w:szCs w:val="24"/>
              </w:rPr>
              <w:t>案件名称</w:t>
            </w:r>
          </w:p>
        </w:tc>
        <w:tc>
          <w:tcPr>
            <w:tcW w:w="82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43C4" w:rsidRDefault="00E843C4" w:rsidP="0067599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×××未制定本单位的生产安全事故应急救援预案案</w:t>
            </w:r>
          </w:p>
        </w:tc>
      </w:tr>
      <w:tr w:rsidR="00E843C4" w:rsidTr="00675997">
        <w:trPr>
          <w:trHeight w:val="737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43C4" w:rsidRPr="0071372A" w:rsidRDefault="00E843C4" w:rsidP="00675997">
            <w:pPr>
              <w:autoSpaceDN w:val="0"/>
              <w:jc w:val="center"/>
              <w:textAlignment w:val="center"/>
              <w:rPr>
                <w:rFonts w:ascii="黑体" w:eastAsia="黑体" w:hAnsi="仿宋_GB2312"/>
                <w:color w:val="000000"/>
                <w:sz w:val="24"/>
                <w:szCs w:val="24"/>
              </w:rPr>
            </w:pPr>
            <w:r w:rsidRPr="0071372A">
              <w:rPr>
                <w:rFonts w:ascii="黑体" w:eastAsia="黑体" w:hAnsi="仿宋_GB2312" w:cs="黑体" w:hint="eastAsia"/>
                <w:color w:val="000000"/>
                <w:sz w:val="24"/>
                <w:szCs w:val="24"/>
              </w:rPr>
              <w:t>案件来源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3C4" w:rsidRDefault="00E843C4" w:rsidP="00675997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执法检查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3C4" w:rsidRPr="0071372A" w:rsidRDefault="00E843C4" w:rsidP="00675997">
            <w:pPr>
              <w:autoSpaceDN w:val="0"/>
              <w:jc w:val="center"/>
              <w:textAlignment w:val="center"/>
              <w:rPr>
                <w:rFonts w:ascii="黑体" w:eastAsia="黑体" w:hAnsi="仿宋_GB2312"/>
                <w:color w:val="000000"/>
                <w:sz w:val="24"/>
                <w:szCs w:val="24"/>
              </w:rPr>
            </w:pPr>
            <w:r w:rsidRPr="0071372A">
              <w:rPr>
                <w:rFonts w:ascii="黑体" w:eastAsia="黑体" w:hAnsi="仿宋_GB2312" w:cs="黑体" w:hint="eastAsia"/>
                <w:color w:val="000000"/>
                <w:sz w:val="24"/>
                <w:szCs w:val="24"/>
              </w:rPr>
              <w:t>案件来源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43C4" w:rsidRDefault="00E843C4" w:rsidP="00675997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执法检查</w:t>
            </w:r>
          </w:p>
        </w:tc>
      </w:tr>
      <w:tr w:rsidR="00E843C4" w:rsidTr="00675997">
        <w:trPr>
          <w:trHeight w:val="737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43C4" w:rsidRPr="0071372A" w:rsidRDefault="00E843C4" w:rsidP="00675997">
            <w:pPr>
              <w:autoSpaceDN w:val="0"/>
              <w:jc w:val="center"/>
              <w:textAlignment w:val="center"/>
              <w:rPr>
                <w:rFonts w:ascii="黑体" w:eastAsia="黑体" w:hAnsi="仿宋_GB2312"/>
                <w:color w:val="000000"/>
                <w:sz w:val="24"/>
                <w:szCs w:val="24"/>
              </w:rPr>
            </w:pPr>
            <w:r w:rsidRPr="0071372A">
              <w:rPr>
                <w:rFonts w:ascii="黑体" w:eastAsia="黑体" w:hAnsi="仿宋_GB2312" w:cs="黑体" w:hint="eastAsia"/>
                <w:color w:val="000000"/>
                <w:sz w:val="24"/>
                <w:szCs w:val="24"/>
              </w:rPr>
              <w:t>被检查单位</w:t>
            </w:r>
          </w:p>
        </w:tc>
        <w:tc>
          <w:tcPr>
            <w:tcW w:w="82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43C4" w:rsidRDefault="00E843C4" w:rsidP="0067599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×××</w:t>
            </w:r>
          </w:p>
        </w:tc>
      </w:tr>
      <w:tr w:rsidR="00E843C4" w:rsidTr="00675997">
        <w:trPr>
          <w:trHeight w:val="737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43C4" w:rsidRPr="0071372A" w:rsidRDefault="00E843C4" w:rsidP="00675997">
            <w:pPr>
              <w:autoSpaceDN w:val="0"/>
              <w:jc w:val="center"/>
              <w:textAlignment w:val="center"/>
              <w:rPr>
                <w:rFonts w:ascii="黑体" w:eastAsia="黑体" w:hAnsi="仿宋_GB2312"/>
                <w:color w:val="000000"/>
                <w:sz w:val="24"/>
                <w:szCs w:val="24"/>
              </w:rPr>
            </w:pPr>
            <w:r w:rsidRPr="0071372A">
              <w:rPr>
                <w:rFonts w:ascii="黑体" w:eastAsia="黑体" w:hAnsi="仿宋_GB2312" w:cs="黑体" w:hint="eastAsia"/>
                <w:color w:val="000000"/>
                <w:sz w:val="24"/>
                <w:szCs w:val="24"/>
              </w:rPr>
              <w:t>地</w:t>
            </w:r>
            <w:r w:rsidRPr="0071372A">
              <w:rPr>
                <w:rFonts w:ascii="黑体" w:eastAsia="黑体" w:hAnsi="仿宋_GB2312" w:cs="黑体"/>
                <w:color w:val="000000"/>
                <w:sz w:val="24"/>
                <w:szCs w:val="24"/>
              </w:rPr>
              <w:t xml:space="preserve">    </w:t>
            </w:r>
            <w:r w:rsidRPr="0071372A">
              <w:rPr>
                <w:rFonts w:ascii="黑体" w:eastAsia="黑体" w:hAnsi="仿宋_GB2312" w:cs="黑体" w:hint="eastAsia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82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43C4" w:rsidRDefault="00E843C4" w:rsidP="0067599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×××</w:t>
            </w:r>
          </w:p>
        </w:tc>
      </w:tr>
      <w:tr w:rsidR="00E843C4" w:rsidTr="00675997">
        <w:trPr>
          <w:trHeight w:val="737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43C4" w:rsidRPr="0071372A" w:rsidRDefault="00E843C4" w:rsidP="00675997">
            <w:pPr>
              <w:autoSpaceDN w:val="0"/>
              <w:jc w:val="center"/>
              <w:textAlignment w:val="center"/>
              <w:rPr>
                <w:rFonts w:ascii="黑体" w:eastAsia="黑体" w:hAnsi="仿宋_GB2312"/>
                <w:color w:val="000000"/>
                <w:sz w:val="24"/>
                <w:szCs w:val="24"/>
              </w:rPr>
            </w:pPr>
            <w:r w:rsidRPr="0071372A">
              <w:rPr>
                <w:rFonts w:ascii="黑体" w:eastAsia="黑体" w:hAnsi="仿宋_GB2312" w:cs="黑体" w:hint="eastAsia"/>
                <w:color w:val="000000"/>
                <w:sz w:val="24"/>
                <w:szCs w:val="24"/>
              </w:rPr>
              <w:t>执法依据</w:t>
            </w:r>
          </w:p>
        </w:tc>
        <w:tc>
          <w:tcPr>
            <w:tcW w:w="82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43C4" w:rsidRDefault="00E843C4" w:rsidP="00675997">
            <w:pPr>
              <w:ind w:leftChars="86" w:left="181" w:rightChars="96" w:right="202" w:firstLineChars="224" w:firstLine="538"/>
              <w:rPr>
                <w:rFonts w:ascii="仿宋_GB2312" w:eastAsia="仿宋_GB2312"/>
                <w:sz w:val="24"/>
                <w:szCs w:val="24"/>
              </w:rPr>
            </w:pPr>
            <w:r w:rsidRPr="0071372A">
              <w:rPr>
                <w:rFonts w:ascii="仿宋_GB2312" w:eastAsia="仿宋_GB2312" w:cs="仿宋_GB2312" w:hint="eastAsia"/>
                <w:sz w:val="24"/>
                <w:szCs w:val="24"/>
              </w:rPr>
              <w:t>《中华人民共和国安全生产法》《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湖南省生产经营单位安全生产主体责任规定</w:t>
            </w:r>
            <w:r w:rsidRPr="0071372A">
              <w:rPr>
                <w:rFonts w:ascii="仿宋_GB2312" w:eastAsia="仿宋_GB2312" w:cs="仿宋_GB2312" w:hint="eastAsia"/>
                <w:sz w:val="24"/>
                <w:szCs w:val="24"/>
              </w:rPr>
              <w:t>》《</w:t>
            </w:r>
            <w:r w:rsidRPr="00DA0089">
              <w:rPr>
                <w:rFonts w:ascii="仿宋_GB2312" w:eastAsia="仿宋_GB2312" w:cs="仿宋_GB2312" w:hint="eastAsia"/>
                <w:sz w:val="24"/>
                <w:szCs w:val="24"/>
              </w:rPr>
              <w:t>危险化学品安全管理条例</w:t>
            </w:r>
            <w:r w:rsidRPr="0071372A">
              <w:rPr>
                <w:rFonts w:ascii="仿宋_GB2312" w:eastAsia="仿宋_GB2312" w:cs="仿宋_GB2312" w:hint="eastAsia"/>
                <w:sz w:val="24"/>
                <w:szCs w:val="24"/>
              </w:rPr>
              <w:t>》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《</w:t>
            </w:r>
            <w:r w:rsidRPr="003B5B45">
              <w:rPr>
                <w:rFonts w:ascii="仿宋_GB2312" w:eastAsia="仿宋_GB2312" w:cs="仿宋_GB2312" w:hint="eastAsia"/>
                <w:sz w:val="24"/>
                <w:szCs w:val="24"/>
              </w:rPr>
              <w:t>生产安全事故应急预案管理办法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》</w:t>
            </w:r>
          </w:p>
        </w:tc>
      </w:tr>
      <w:tr w:rsidR="00E843C4" w:rsidTr="00675997">
        <w:trPr>
          <w:trHeight w:val="737"/>
          <w:jc w:val="center"/>
        </w:trPr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3C4" w:rsidRPr="0071372A" w:rsidRDefault="00E843C4" w:rsidP="00675997">
            <w:pPr>
              <w:autoSpaceDN w:val="0"/>
              <w:jc w:val="center"/>
              <w:textAlignment w:val="center"/>
              <w:rPr>
                <w:rFonts w:ascii="黑体" w:eastAsia="黑体" w:hAnsi="仿宋_GB2312"/>
                <w:color w:val="000000"/>
                <w:sz w:val="24"/>
                <w:szCs w:val="24"/>
              </w:rPr>
            </w:pPr>
            <w:r w:rsidRPr="0071372A">
              <w:rPr>
                <w:rFonts w:ascii="黑体" w:eastAsia="黑体" w:hAnsi="仿宋_GB2312" w:cs="黑体" w:hint="eastAsia"/>
                <w:color w:val="000000"/>
                <w:sz w:val="24"/>
                <w:szCs w:val="24"/>
              </w:rPr>
              <w:t>执法</w:t>
            </w:r>
            <w:r>
              <w:rPr>
                <w:rFonts w:ascii="黑体" w:eastAsia="黑体" w:hAnsi="仿宋_GB2312" w:cs="黑体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82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3C4" w:rsidRDefault="00E843C4" w:rsidP="00675997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东山街道安全监督管理中心</w:t>
            </w:r>
          </w:p>
        </w:tc>
      </w:tr>
      <w:tr w:rsidR="00E843C4" w:rsidTr="00675997">
        <w:trPr>
          <w:trHeight w:val="737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43C4" w:rsidRPr="0071372A" w:rsidRDefault="00E843C4" w:rsidP="00675997">
            <w:pPr>
              <w:autoSpaceDN w:val="0"/>
              <w:jc w:val="center"/>
              <w:textAlignment w:val="center"/>
              <w:rPr>
                <w:rFonts w:ascii="黑体" w:eastAsia="黑体" w:hAnsi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仿宋_GB2312" w:cs="黑体" w:hint="eastAsia"/>
                <w:color w:val="000000"/>
                <w:sz w:val="24"/>
                <w:szCs w:val="24"/>
              </w:rPr>
              <w:t>执法</w:t>
            </w:r>
            <w:r w:rsidRPr="0071372A">
              <w:rPr>
                <w:rFonts w:ascii="黑体" w:eastAsia="黑体" w:hAnsi="仿宋_GB2312" w:cs="黑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3C4" w:rsidRDefault="00E843C4" w:rsidP="0067599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2019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年×月×日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3C4" w:rsidRPr="0071372A" w:rsidRDefault="00E843C4" w:rsidP="00675997">
            <w:pPr>
              <w:autoSpaceDN w:val="0"/>
              <w:jc w:val="center"/>
              <w:textAlignment w:val="center"/>
              <w:rPr>
                <w:rFonts w:ascii="黑体" w:eastAsia="黑体" w:hAnsi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仿宋_GB2312" w:cs="黑体" w:hint="eastAsia"/>
                <w:color w:val="000000"/>
                <w:sz w:val="24"/>
                <w:szCs w:val="24"/>
              </w:rPr>
              <w:t>执法</w:t>
            </w:r>
            <w:r w:rsidRPr="0071372A">
              <w:rPr>
                <w:rFonts w:ascii="黑体" w:eastAsia="黑体" w:hAnsi="仿宋_GB2312" w:cs="黑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43C4" w:rsidRDefault="00E843C4" w:rsidP="0067599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2019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年×月×日</w:t>
            </w:r>
          </w:p>
        </w:tc>
      </w:tr>
      <w:tr w:rsidR="00E843C4" w:rsidTr="00675997">
        <w:trPr>
          <w:trHeight w:val="1953"/>
          <w:jc w:val="center"/>
        </w:trPr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3C4" w:rsidRPr="0071372A" w:rsidRDefault="00E843C4" w:rsidP="00675997">
            <w:pPr>
              <w:autoSpaceDN w:val="0"/>
              <w:jc w:val="center"/>
              <w:textAlignment w:val="center"/>
              <w:rPr>
                <w:rFonts w:ascii="黑体" w:eastAsia="黑体" w:hAnsi="仿宋_GB2312"/>
                <w:color w:val="000000"/>
                <w:sz w:val="24"/>
                <w:szCs w:val="24"/>
              </w:rPr>
            </w:pPr>
            <w:r w:rsidRPr="0071372A">
              <w:rPr>
                <w:rFonts w:ascii="黑体" w:eastAsia="黑体" w:hAnsi="仿宋_GB2312" w:cs="黑体" w:hint="eastAsia"/>
                <w:color w:val="000000"/>
                <w:sz w:val="24"/>
                <w:szCs w:val="24"/>
              </w:rPr>
              <w:t>检查情况</w:t>
            </w:r>
          </w:p>
        </w:tc>
        <w:tc>
          <w:tcPr>
            <w:tcW w:w="82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3C4" w:rsidRDefault="00E843C4" w:rsidP="00675997">
            <w:pPr>
              <w:ind w:leftChars="86" w:left="181" w:rightChars="96" w:right="202" w:firstLineChars="200" w:firstLine="480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2019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年×月×日</w:t>
            </w:r>
            <w:r w:rsidRPr="00A436DE">
              <w:rPr>
                <w:rFonts w:ascii="仿宋_GB2312" w:eastAsia="仿宋_GB2312" w:cs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东山街道安全监督管理中心执法人员</w:t>
            </w:r>
            <w:r w:rsidRPr="00A436DE">
              <w:rPr>
                <w:rFonts w:ascii="仿宋_GB2312" w:eastAsia="仿宋_GB2312" w:cs="仿宋_GB2312" w:hint="eastAsia"/>
                <w:sz w:val="24"/>
                <w:szCs w:val="24"/>
              </w:rPr>
              <w:t>在对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×××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进行</w:t>
            </w:r>
            <w:r w:rsidRPr="00A436DE">
              <w:rPr>
                <w:rFonts w:ascii="仿宋_GB2312" w:eastAsia="仿宋_GB2312" w:cs="仿宋_GB2312" w:hint="eastAsia"/>
                <w:sz w:val="24"/>
                <w:szCs w:val="24"/>
              </w:rPr>
              <w:t>执法检查时</w:t>
            </w:r>
            <w:r w:rsidRPr="00A436DE">
              <w:rPr>
                <w:rFonts w:ascii="仿宋_GB2312" w:eastAsia="仿宋_GB2312" w:cs="仿宋_GB2312"/>
                <w:sz w:val="24"/>
                <w:szCs w:val="24"/>
              </w:rPr>
              <w:t>,</w:t>
            </w:r>
            <w:r w:rsidRPr="00A436DE">
              <w:rPr>
                <w:rFonts w:ascii="仿宋_GB2312" w:eastAsia="仿宋_GB2312" w:cs="仿宋_GB2312" w:hint="eastAsia"/>
                <w:sz w:val="24"/>
                <w:szCs w:val="24"/>
              </w:rPr>
              <w:t>发现该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单位未按规定制定适合本单位的生产安全事故应急救援预案。</w:t>
            </w:r>
            <w:r w:rsidRPr="003F732F">
              <w:rPr>
                <w:rFonts w:ascii="仿宋_GB2312" w:eastAsia="仿宋_GB2312" w:cs="仿宋_GB2312" w:hint="eastAsia"/>
                <w:sz w:val="24"/>
                <w:szCs w:val="24"/>
              </w:rPr>
              <w:t>经核查，情况属实。</w:t>
            </w:r>
          </w:p>
        </w:tc>
      </w:tr>
      <w:tr w:rsidR="00E843C4" w:rsidTr="00675997">
        <w:trPr>
          <w:trHeight w:val="2379"/>
          <w:jc w:val="center"/>
        </w:trPr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3C4" w:rsidRDefault="00E843C4" w:rsidP="00675997">
            <w:pPr>
              <w:autoSpaceDN w:val="0"/>
              <w:jc w:val="center"/>
              <w:textAlignment w:val="center"/>
              <w:rPr>
                <w:rFonts w:ascii="黑体" w:eastAsia="黑体" w:hAnsi="仿宋_GB2312"/>
                <w:color w:val="000000"/>
                <w:sz w:val="24"/>
                <w:szCs w:val="24"/>
              </w:rPr>
            </w:pPr>
            <w:r w:rsidRPr="0071372A">
              <w:rPr>
                <w:rFonts w:ascii="黑体" w:eastAsia="黑体" w:hAnsi="仿宋_GB2312" w:cs="黑体" w:hint="eastAsia"/>
                <w:color w:val="000000"/>
                <w:sz w:val="24"/>
                <w:szCs w:val="24"/>
              </w:rPr>
              <w:t>处理结果</w:t>
            </w:r>
          </w:p>
          <w:p w:rsidR="00E843C4" w:rsidRPr="0071372A" w:rsidRDefault="00E843C4" w:rsidP="00675997">
            <w:pPr>
              <w:autoSpaceDN w:val="0"/>
              <w:jc w:val="center"/>
              <w:textAlignment w:val="center"/>
              <w:rPr>
                <w:rFonts w:ascii="黑体" w:eastAsia="黑体" w:hAnsi="仿宋_GB2312"/>
                <w:color w:val="000000"/>
                <w:sz w:val="24"/>
                <w:szCs w:val="24"/>
              </w:rPr>
            </w:pPr>
            <w:r w:rsidRPr="0071372A">
              <w:rPr>
                <w:rFonts w:ascii="黑体" w:eastAsia="黑体" w:hAnsi="仿宋_GB2312" w:cs="黑体" w:hint="eastAsia"/>
                <w:color w:val="000000"/>
                <w:sz w:val="24"/>
                <w:szCs w:val="24"/>
              </w:rPr>
              <w:t>及裁量依据</w:t>
            </w:r>
          </w:p>
        </w:tc>
        <w:tc>
          <w:tcPr>
            <w:tcW w:w="82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3C4" w:rsidRDefault="00E843C4" w:rsidP="00675997">
            <w:pPr>
              <w:autoSpaceDN w:val="0"/>
              <w:ind w:leftChars="86" w:left="181" w:rightChars="96" w:right="202" w:firstLineChars="200" w:firstLine="480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×××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违反了《中华人民共和国安全生产法》第七十八条的规定，依据《中华人民共和国安全生产法》第九十四条第六款的规定，决定给予人民币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999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元的行政处罚</w:t>
            </w:r>
            <w:r w:rsidRPr="00A436DE">
              <w:rPr>
                <w:rFonts w:ascii="仿宋_GB2312" w:eastAsia="仿宋_GB2312" w:cs="仿宋_GB2312" w:hint="eastAsia"/>
                <w:sz w:val="24"/>
                <w:szCs w:val="24"/>
              </w:rPr>
              <w:t>。</w:t>
            </w:r>
          </w:p>
          <w:p w:rsidR="00E843C4" w:rsidRDefault="00E843C4" w:rsidP="00675997">
            <w:pPr>
              <w:autoSpaceDN w:val="0"/>
              <w:ind w:leftChars="86" w:left="181" w:rightChars="96" w:right="202" w:firstLineChars="200" w:firstLine="480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×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×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×××缴纳人民币×××元整罚款。</w:t>
            </w:r>
          </w:p>
          <w:p w:rsidR="00E843C4" w:rsidRDefault="00E843C4" w:rsidP="00675997">
            <w:pPr>
              <w:autoSpaceDN w:val="0"/>
              <w:ind w:leftChars="86" w:left="181" w:rightChars="96" w:right="202" w:firstLineChars="200" w:firstLine="480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该项问题已按要求整改完毕。</w:t>
            </w:r>
          </w:p>
        </w:tc>
      </w:tr>
      <w:tr w:rsidR="00E843C4" w:rsidTr="00675997">
        <w:trPr>
          <w:trHeight w:val="2533"/>
          <w:jc w:val="center"/>
        </w:trPr>
        <w:tc>
          <w:tcPr>
            <w:tcW w:w="97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3C4" w:rsidRPr="00201DBF" w:rsidRDefault="00E843C4" w:rsidP="00675997">
            <w:pPr>
              <w:ind w:rightChars="96" w:right="202" w:firstLineChars="100" w:firstLine="240"/>
              <w:rPr>
                <w:rFonts w:ascii="黑体" w:eastAsia="黑体"/>
                <w:sz w:val="24"/>
                <w:szCs w:val="24"/>
              </w:rPr>
            </w:pPr>
            <w:r w:rsidRPr="00201DBF">
              <w:rPr>
                <w:rFonts w:ascii="黑体" w:eastAsia="黑体" w:cs="黑体" w:hint="eastAsia"/>
                <w:sz w:val="24"/>
                <w:szCs w:val="24"/>
              </w:rPr>
              <w:t>行政相对人救济权告知情况：</w:t>
            </w:r>
          </w:p>
          <w:p w:rsidR="00E843C4" w:rsidRDefault="00E843C4" w:rsidP="00675997">
            <w:pPr>
              <w:ind w:leftChars="69" w:left="145" w:rightChars="96" w:right="202" w:firstLineChars="200" w:firstLine="480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A436DE">
              <w:rPr>
                <w:rFonts w:ascii="仿宋_GB2312" w:eastAsia="仿宋_GB2312" w:cs="仿宋_GB2312" w:hint="eastAsia"/>
                <w:sz w:val="24"/>
                <w:szCs w:val="24"/>
              </w:rPr>
              <w:t>在依法下达指令、决定或采取措施等行政行为时，已明确告知行政相对人：</w:t>
            </w:r>
            <w:r w:rsidRPr="00A436DE">
              <w:rPr>
                <w:rFonts w:ascii="仿宋_GB2312" w:eastAsia="仿宋_GB2312"/>
                <w:sz w:val="24"/>
                <w:szCs w:val="24"/>
              </w:rPr>
              <w:t>“</w:t>
            </w:r>
            <w:r w:rsidRPr="00A436DE">
              <w:rPr>
                <w:rFonts w:ascii="仿宋_GB2312" w:eastAsia="仿宋_GB2312" w:cs="仿宋_GB2312" w:hint="eastAsia"/>
                <w:sz w:val="24"/>
                <w:szCs w:val="24"/>
              </w:rPr>
              <w:t>如果不服本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处罚决定</w:t>
            </w:r>
            <w:r w:rsidRPr="00A436DE">
              <w:rPr>
                <w:rFonts w:ascii="仿宋_GB2312" w:eastAsia="仿宋_GB2312" w:cs="仿宋_GB2312" w:hint="eastAsia"/>
                <w:sz w:val="24"/>
                <w:szCs w:val="24"/>
              </w:rPr>
              <w:t>，可以依法在</w:t>
            </w:r>
            <w:r w:rsidRPr="00A436DE">
              <w:rPr>
                <w:rFonts w:ascii="仿宋_GB2312" w:eastAsia="仿宋_GB2312" w:cs="仿宋_GB2312"/>
                <w:sz w:val="24"/>
                <w:szCs w:val="24"/>
              </w:rPr>
              <w:t>60</w:t>
            </w:r>
            <w:r w:rsidRPr="00A436DE">
              <w:rPr>
                <w:rFonts w:ascii="仿宋_GB2312" w:eastAsia="仿宋_GB2312" w:cs="仿宋_GB2312" w:hint="eastAsia"/>
                <w:sz w:val="24"/>
                <w:szCs w:val="24"/>
              </w:rPr>
              <w:t>日内向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雨花区人民政府或者长沙市安全生产监督管理局</w:t>
            </w:r>
            <w:r w:rsidRPr="00A436DE">
              <w:rPr>
                <w:rFonts w:ascii="仿宋_GB2312" w:eastAsia="仿宋_GB2312" w:cs="仿宋_GB2312" w:hint="eastAsia"/>
                <w:sz w:val="24"/>
                <w:szCs w:val="24"/>
              </w:rPr>
              <w:t>申请行政复议，或者在</w:t>
            </w:r>
            <w:r w:rsidRPr="00A436DE">
              <w:rPr>
                <w:rFonts w:ascii="仿宋_GB2312" w:eastAsia="仿宋_GB2312" w:cs="仿宋_GB2312"/>
                <w:sz w:val="24"/>
                <w:szCs w:val="24"/>
              </w:rPr>
              <w:t>6</w:t>
            </w:r>
            <w:r w:rsidRPr="00A436DE">
              <w:rPr>
                <w:rFonts w:ascii="仿宋_GB2312" w:eastAsia="仿宋_GB2312" w:cs="仿宋_GB2312" w:hint="eastAsia"/>
                <w:sz w:val="24"/>
                <w:szCs w:val="24"/>
              </w:rPr>
              <w:t>个月内依法向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雨花区</w:t>
            </w:r>
            <w:r w:rsidRPr="00A436DE">
              <w:rPr>
                <w:rFonts w:ascii="仿宋_GB2312" w:eastAsia="仿宋_GB2312" w:cs="仿宋_GB2312" w:hint="eastAsia"/>
                <w:sz w:val="24"/>
                <w:szCs w:val="24"/>
              </w:rPr>
              <w:t>人民法院提起行政诉讼，但本决定不停止执行，法律另有规定的除外。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逾期不申请行政复议、不提起行政诉讼又不履行的，本机关将依法申请人民法院强制执行或者依照有关规定强制执行。</w:t>
            </w:r>
            <w:r w:rsidRPr="00A436DE">
              <w:rPr>
                <w:rFonts w:ascii="仿宋_GB2312" w:eastAsia="仿宋_GB2312"/>
                <w:sz w:val="24"/>
                <w:szCs w:val="24"/>
              </w:rPr>
              <w:t>”</w:t>
            </w:r>
          </w:p>
        </w:tc>
      </w:tr>
    </w:tbl>
    <w:p w:rsidR="00E843C4" w:rsidRDefault="00E843C4" w:rsidP="00E843C4">
      <w:pPr>
        <w:spacing w:line="20" w:lineRule="atLeast"/>
        <w:rPr>
          <w:rFonts w:ascii="仿宋_GB2312" w:eastAsia="仿宋_GB2312"/>
          <w:sz w:val="24"/>
          <w:szCs w:val="24"/>
        </w:rPr>
      </w:pPr>
    </w:p>
    <w:p w:rsidR="00D24AE6" w:rsidRDefault="00D24AE6"/>
    <w:sectPr w:rsidR="00D24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47A" w:rsidRDefault="000D047A" w:rsidP="00E843C4">
      <w:r>
        <w:separator/>
      </w:r>
    </w:p>
  </w:endnote>
  <w:endnote w:type="continuationSeparator" w:id="0">
    <w:p w:rsidR="000D047A" w:rsidRDefault="000D047A" w:rsidP="00E8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47A" w:rsidRDefault="000D047A" w:rsidP="00E843C4">
      <w:r>
        <w:separator/>
      </w:r>
    </w:p>
  </w:footnote>
  <w:footnote w:type="continuationSeparator" w:id="0">
    <w:p w:rsidR="000D047A" w:rsidRDefault="000D047A" w:rsidP="00E84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4A"/>
    <w:rsid w:val="000D047A"/>
    <w:rsid w:val="0010524A"/>
    <w:rsid w:val="00D24AE6"/>
    <w:rsid w:val="00E8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C5DABD-46E5-4640-AA84-4A783557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3C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43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43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43C4"/>
    <w:rPr>
      <w:sz w:val="18"/>
      <w:szCs w:val="18"/>
    </w:rPr>
  </w:style>
  <w:style w:type="paragraph" w:styleId="a7">
    <w:name w:val="Normal (Web)"/>
    <w:basedOn w:val="a"/>
    <w:uiPriority w:val="99"/>
    <w:rsid w:val="00E843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2019-05-17T01:38:00Z</dcterms:created>
  <dcterms:modified xsi:type="dcterms:W3CDTF">2019-05-17T01:39:00Z</dcterms:modified>
</cp:coreProperties>
</file>