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eastAsia" w:ascii="Times New Roman" w:hAnsi="Times New Roman" w:eastAsia="楷体_GB2312" w:cs="Times New Roman"/>
          <w:b/>
          <w:bCs/>
          <w:kern w:val="0"/>
          <w:sz w:val="24"/>
          <w:lang w:eastAsia="zh-CN"/>
        </w:rPr>
      </w:pPr>
      <w:r>
        <w:rPr>
          <w:rFonts w:hint="default" w:ascii="Times New Roman" w:hAnsi="Times New Roman" w:eastAsia="楷体_GB2312" w:cs="Times New Roman"/>
          <w:b/>
          <w:bCs/>
          <w:kern w:val="0"/>
          <w:sz w:val="24"/>
        </w:rPr>
        <w:t>填报单位：</w:t>
      </w:r>
      <w:r>
        <w:rPr>
          <w:rFonts w:hint="eastAsia" w:eastAsia="楷体_GB2312" w:cs="Times New Roman"/>
          <w:b/>
          <w:bCs/>
          <w:kern w:val="0"/>
          <w:sz w:val="24"/>
          <w:lang w:eastAsia="zh-CN"/>
        </w:rPr>
        <w:t>长沙市雨花区高桥街道办事处</w:t>
      </w:r>
    </w:p>
    <w:tbl>
      <w:tblPr>
        <w:tblStyle w:val="5"/>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52</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43</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82.7%</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r>
              <w:rPr>
                <w:rFonts w:hint="default" w:ascii="Times New Roman" w:hAnsi="Times New Roman" w:eastAsia="宋体" w:cs="Times New Roman"/>
                <w:b w:val="0"/>
                <w:bCs w:val="0"/>
                <w:kern w:val="0"/>
                <w:sz w:val="20"/>
                <w:szCs w:val="20"/>
              </w:rPr>
              <w:t>（万元）</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r>
              <w:rPr>
                <w:rFonts w:hint="default" w:ascii="Times New Roman" w:hAnsi="Times New Roman" w:eastAsia="宋体" w:cs="Times New Roman"/>
                <w:b w:val="0"/>
                <w:bCs w:val="0"/>
                <w:kern w:val="0"/>
                <w:sz w:val="20"/>
                <w:szCs w:val="20"/>
              </w:rPr>
              <w:t>（万元）</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r>
              <w:rPr>
                <w:rFonts w:hint="default" w:ascii="Times New Roman" w:hAnsi="Times New Roman" w:eastAsia="宋体" w:cs="Times New Roman"/>
                <w:b w:val="0"/>
                <w:bCs w:val="0"/>
                <w:kern w:val="0"/>
                <w:sz w:val="20"/>
                <w:szCs w:val="20"/>
              </w:rPr>
              <w:t>（万元）</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5.7</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6.94</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4.6</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5.7</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5.94</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4.6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 xml:space="preserve"> 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5.7</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5.94</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4.6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 xml:space="preserve"> 1</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 xml:space="preserve"> 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141.2</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133.98</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131.8</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20.6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28</w:t>
            </w:r>
            <w:r>
              <w:rPr>
                <w:rFonts w:hint="default" w:cs="Times New Roman"/>
                <w:b w:val="0"/>
                <w:bCs w:val="0"/>
                <w:kern w:val="0"/>
                <w:sz w:val="20"/>
                <w:szCs w:val="20"/>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16.9</w:t>
            </w:r>
            <w:r>
              <w:rPr>
                <w:rFonts w:hint="default" w:cs="Times New Roman"/>
                <w:b w:val="0"/>
                <w:bCs w:val="0"/>
                <w:kern w:val="0"/>
                <w:sz w:val="20"/>
                <w:szCs w:val="20"/>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34.7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17</w:t>
            </w:r>
            <w:r>
              <w:rPr>
                <w:rFonts w:hint="default" w:cs="Times New Roman"/>
                <w:b w:val="0"/>
                <w:bCs w:val="0"/>
                <w:kern w:val="0"/>
                <w:sz w:val="20"/>
                <w:szCs w:val="20"/>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28.8</w:t>
            </w:r>
            <w:r>
              <w:rPr>
                <w:rFonts w:hint="default" w:cs="Times New Roman"/>
                <w:b w:val="0"/>
                <w:bCs w:val="0"/>
                <w:kern w:val="0"/>
                <w:sz w:val="20"/>
                <w:szCs w:val="20"/>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0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w:t>
            </w:r>
            <w:r>
              <w:rPr>
                <w:rFonts w:hint="default" w:cs="Times New Roman"/>
                <w:b w:val="0"/>
                <w:bCs w:val="0"/>
                <w:kern w:val="0"/>
                <w:sz w:val="20"/>
                <w:szCs w:val="20"/>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w:t>
            </w:r>
            <w:r>
              <w:rPr>
                <w:rFonts w:hint="default" w:cs="Times New Roman"/>
                <w:b w:val="0"/>
                <w:bCs w:val="0"/>
                <w:kern w:val="0"/>
                <w:sz w:val="20"/>
                <w:szCs w:val="20"/>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3352.56</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7270.51</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楼堂馆所控制情况</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批复规模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预算投资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80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08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4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7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ascii="宋体" w:hAnsi="宋体" w:cs="宋体"/>
                <w:kern w:val="0"/>
                <w:sz w:val="24"/>
              </w:rPr>
              <w:t>严控“三公”经费，降低一般运行经费开支。</w:t>
            </w:r>
            <w:r>
              <w:rPr>
                <w:rFonts w:hint="default" w:ascii="Times New Roman" w:hAnsi="Times New Roman" w:eastAsia="宋体" w:cs="Times New Roman"/>
                <w:b w:val="0"/>
                <w:bCs w:val="0"/>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小标宋_GBK" w:cs="Times New Roman"/>
          <w:kern w:val="0"/>
          <w:sz w:val="36"/>
          <w:szCs w:val="36"/>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5"/>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一级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二级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投入</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（10分）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目标</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设定</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w:t>
            </w:r>
            <w:r>
              <w:rPr>
                <w:rStyle w:val="12"/>
                <w:rFonts w:hint="default" w:ascii="Times New Roman" w:hAnsi="Times New Roman" w:eastAsia="宋体" w:cs="Times New Roman"/>
                <w:sz w:val="20"/>
                <w:szCs w:val="20"/>
                <w:lang w:val="en-US" w:eastAsia="zh-CN" w:bidi="ar"/>
              </w:rPr>
              <w:t>6</w:t>
            </w:r>
            <w:r>
              <w:rPr>
                <w:rStyle w:val="11"/>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绩效目标</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合理性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①是否符合国家法律法规、国民经济和社会发展总体规划；</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②是否符合部门</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三定</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方案确定的职责；</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③是否符合部门制定的发展实施规划。</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①符合国家相关法律法规，本</w:t>
            </w:r>
            <w:r>
              <w:rPr>
                <w:rStyle w:val="11"/>
                <w:rFonts w:hint="eastAsia" w:cs="Times New Roman"/>
                <w:sz w:val="20"/>
                <w:szCs w:val="20"/>
                <w:lang w:val="en-US" w:eastAsia="zh-CN" w:bidi="ar"/>
              </w:rPr>
              <w:t>区</w:t>
            </w:r>
            <w:r>
              <w:rPr>
                <w:rStyle w:val="11"/>
                <w:rFonts w:hint="default" w:ascii="Times New Roman" w:hAnsi="Times New Roman" w:cs="Times New Roman"/>
                <w:sz w:val="20"/>
                <w:szCs w:val="20"/>
                <w:lang w:val="en-US" w:eastAsia="zh-CN" w:bidi="ar"/>
              </w:rPr>
              <w:t>国民经济和社会发展规划，计</w:t>
            </w:r>
            <w:r>
              <w:rPr>
                <w:rStyle w:val="12"/>
                <w:rFonts w:hint="default" w:ascii="Times New Roman" w:hAnsi="Times New Roman" w:eastAsia="宋体" w:cs="Times New Roman"/>
                <w:sz w:val="20"/>
                <w:szCs w:val="20"/>
                <w:lang w:val="en-US" w:eastAsia="zh-CN" w:bidi="ar"/>
              </w:rPr>
              <w:t>0.5</w:t>
            </w:r>
            <w:r>
              <w:rPr>
                <w:rStyle w:val="11"/>
                <w:rFonts w:hint="default" w:ascii="Times New Roman" w:hAnsi="Times New Roman" w:cs="Times New Roman"/>
                <w:sz w:val="20"/>
                <w:szCs w:val="20"/>
                <w:lang w:val="en-US" w:eastAsia="zh-CN" w:bidi="ar"/>
              </w:rPr>
              <w:t>分，否则不得分；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②与部门（单位）职责密切相关，计</w:t>
            </w:r>
            <w:r>
              <w:rPr>
                <w:rStyle w:val="12"/>
                <w:rFonts w:hint="default" w:ascii="Times New Roman" w:hAnsi="Times New Roman" w:eastAsia="宋体" w:cs="Times New Roman"/>
                <w:sz w:val="20"/>
                <w:szCs w:val="20"/>
                <w:lang w:val="en-US" w:eastAsia="zh-CN" w:bidi="ar"/>
              </w:rPr>
              <w:t>0.5</w:t>
            </w:r>
            <w:r>
              <w:rPr>
                <w:rStyle w:val="11"/>
                <w:rFonts w:hint="default" w:ascii="Times New Roman" w:hAnsi="Times New Roman" w:cs="Times New Roman"/>
                <w:sz w:val="20"/>
                <w:szCs w:val="20"/>
                <w:lang w:val="en-US" w:eastAsia="zh-CN" w:bidi="ar"/>
              </w:rPr>
              <w:t>分，否则不得分；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③符合部门制定的发展实施规划，计</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11"/>
                <w:rFonts w:hint="default" w:ascii="Times New Roman" w:hAnsi="Times New Roman" w:cs="Times New Roman"/>
                <w:sz w:val="20"/>
                <w:szCs w:val="20"/>
                <w:lang w:val="en-US" w:eastAsia="zh-CN" w:bidi="ar"/>
              </w:rPr>
            </w:pPr>
            <w:r>
              <w:rPr>
                <w:rStyle w:val="11"/>
                <w:rFonts w:hint="eastAsia" w:cs="Times New Roman"/>
                <w:sz w:val="20"/>
                <w:szCs w:val="20"/>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绩效指标</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明确性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①是否将部门整体的绩效目标细化分解为具体的工作任务；</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②是否通过清晰、可衡量的指标值予以体现。</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③是否与部门年度的任务数或计划数相对应；</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④是否与本年度部门预算资金相匹配。</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①有目标，计1分，否则不得分；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②目标明确，细化量化良好，个性指标中量化指标超过</w:t>
            </w:r>
            <w:r>
              <w:rPr>
                <w:rStyle w:val="12"/>
                <w:rFonts w:hint="default" w:ascii="Times New Roman" w:hAnsi="Times New Roman" w:eastAsia="宋体" w:cs="Times New Roman"/>
                <w:sz w:val="20"/>
                <w:szCs w:val="20"/>
                <w:lang w:val="en-US" w:eastAsia="zh-CN" w:bidi="ar"/>
              </w:rPr>
              <w:t>3</w:t>
            </w:r>
            <w:r>
              <w:rPr>
                <w:rStyle w:val="11"/>
                <w:rFonts w:hint="default" w:ascii="Times New Roman" w:hAnsi="Times New Roman" w:cs="Times New Roman"/>
                <w:sz w:val="20"/>
                <w:szCs w:val="20"/>
                <w:lang w:val="en-US" w:eastAsia="zh-CN" w:bidi="ar"/>
              </w:rPr>
              <w:t>个，计1分，量化指标为</w:t>
            </w:r>
            <w:r>
              <w:rPr>
                <w:rStyle w:val="12"/>
                <w:rFonts w:hint="default" w:ascii="Times New Roman" w:hAnsi="Times New Roman" w:eastAsia="宋体" w:cs="Times New Roman"/>
                <w:sz w:val="20"/>
                <w:szCs w:val="20"/>
                <w:lang w:val="en-US" w:eastAsia="zh-CN" w:bidi="ar"/>
              </w:rPr>
              <w:t>2</w:t>
            </w:r>
            <w:r>
              <w:rPr>
                <w:rStyle w:val="11"/>
                <w:rFonts w:hint="default" w:ascii="Times New Roman" w:hAnsi="Times New Roman" w:cs="Times New Roman"/>
                <w:sz w:val="20"/>
                <w:szCs w:val="20"/>
                <w:lang w:val="en-US" w:eastAsia="zh-CN" w:bidi="ar"/>
              </w:rPr>
              <w:t>个，计</w:t>
            </w:r>
            <w:r>
              <w:rPr>
                <w:rStyle w:val="12"/>
                <w:rFonts w:hint="default" w:ascii="Times New Roman" w:hAnsi="Times New Roman" w:eastAsia="宋体" w:cs="Times New Roman"/>
                <w:sz w:val="20"/>
                <w:szCs w:val="20"/>
                <w:lang w:val="en-US" w:eastAsia="zh-CN" w:bidi="ar"/>
              </w:rPr>
              <w:t>0.5</w:t>
            </w:r>
            <w:r>
              <w:rPr>
                <w:rStyle w:val="11"/>
                <w:rFonts w:hint="default" w:ascii="Times New Roman" w:hAnsi="Times New Roman" w:cs="Times New Roman"/>
                <w:sz w:val="20"/>
                <w:szCs w:val="20"/>
                <w:lang w:val="en-US" w:eastAsia="zh-CN" w:bidi="ar"/>
              </w:rPr>
              <w:t>分，</w:t>
            </w:r>
            <w:r>
              <w:rPr>
                <w:rStyle w:val="12"/>
                <w:rFonts w:hint="default" w:ascii="Times New Roman" w:hAnsi="Times New Roman" w:eastAsia="宋体" w:cs="Times New Roman"/>
                <w:sz w:val="20"/>
                <w:szCs w:val="20"/>
                <w:lang w:val="en-US" w:eastAsia="zh-CN" w:bidi="ar"/>
              </w:rPr>
              <w:t>2</w:t>
            </w:r>
            <w:r>
              <w:rPr>
                <w:rStyle w:val="11"/>
                <w:rFonts w:hint="default" w:ascii="Times New Roman" w:hAnsi="Times New Roman" w:cs="Times New Roman"/>
                <w:sz w:val="20"/>
                <w:szCs w:val="20"/>
                <w:lang w:val="en-US" w:eastAsia="zh-CN" w:bidi="ar"/>
              </w:rPr>
              <w:t>个以下不得分；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③与年度任务数或计划数相对应，计1分，低于</w:t>
            </w:r>
            <w:r>
              <w:rPr>
                <w:rStyle w:val="12"/>
                <w:rFonts w:hint="default" w:ascii="Times New Roman" w:hAnsi="Times New Roman" w:eastAsia="宋体" w:cs="Times New Roman"/>
                <w:sz w:val="20"/>
                <w:szCs w:val="20"/>
                <w:lang w:val="en-US" w:eastAsia="zh-CN" w:bidi="ar"/>
              </w:rPr>
              <w:t>2</w:t>
            </w:r>
            <w:r>
              <w:rPr>
                <w:rStyle w:val="11"/>
                <w:rFonts w:hint="default" w:ascii="Times New Roman" w:hAnsi="Times New Roman" w:cs="Times New Roman"/>
                <w:sz w:val="20"/>
                <w:szCs w:val="20"/>
                <w:lang w:val="en-US" w:eastAsia="zh-CN" w:bidi="ar"/>
              </w:rPr>
              <w:t>个，计0.5分，低于</w:t>
            </w:r>
            <w:r>
              <w:rPr>
                <w:rStyle w:val="12"/>
                <w:rFonts w:hint="default" w:ascii="Times New Roman" w:hAnsi="Times New Roman" w:eastAsia="宋体" w:cs="Times New Roman"/>
                <w:sz w:val="20"/>
                <w:szCs w:val="20"/>
                <w:lang w:val="en-US" w:eastAsia="zh-CN" w:bidi="ar"/>
              </w:rPr>
              <w:t>4</w:t>
            </w:r>
            <w:r>
              <w:rPr>
                <w:rStyle w:val="11"/>
                <w:rFonts w:hint="default" w:ascii="Times New Roman" w:hAnsi="Times New Roman" w:cs="Times New Roman"/>
                <w:sz w:val="20"/>
                <w:szCs w:val="20"/>
                <w:lang w:val="en-US" w:eastAsia="zh-CN" w:bidi="ar"/>
              </w:rPr>
              <w:t>个不得分；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④目标与资金匹配良好，逻辑关系明确，计1分，否则不得分。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400" w:firstLineChars="200"/>
              <w:jc w:val="both"/>
              <w:textAlignment w:val="center"/>
              <w:rPr>
                <w:rStyle w:val="11"/>
                <w:rFonts w:hint="default" w:ascii="Times New Roman" w:hAnsi="Times New Roman" w:cs="Times New Roman"/>
                <w:sz w:val="20"/>
                <w:szCs w:val="20"/>
                <w:lang w:val="en-US" w:eastAsia="zh-CN" w:bidi="ar"/>
              </w:rPr>
            </w:pPr>
            <w:r>
              <w:rPr>
                <w:rStyle w:val="11"/>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预算</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配置</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w:t>
            </w:r>
            <w:r>
              <w:rPr>
                <w:rStyle w:val="12"/>
                <w:rFonts w:hint="default" w:ascii="Times New Roman" w:hAnsi="Times New Roman" w:eastAsia="宋体" w:cs="Times New Roman"/>
                <w:sz w:val="20"/>
                <w:szCs w:val="20"/>
                <w:lang w:val="en-US" w:eastAsia="zh-CN" w:bidi="ar"/>
              </w:rPr>
              <w:t>4</w:t>
            </w:r>
            <w:r>
              <w:rPr>
                <w:rStyle w:val="11"/>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在职人员控制率</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（在职人员数</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编制数）</w:t>
            </w:r>
            <w:r>
              <w:rPr>
                <w:rStyle w:val="12"/>
                <w:rFonts w:hint="default" w:ascii="Times New Roman" w:hAnsi="Times New Roman" w:eastAsia="宋体" w:cs="Times New Roman"/>
                <w:sz w:val="20"/>
                <w:szCs w:val="20"/>
                <w:lang w:val="en-US" w:eastAsia="zh-CN" w:bidi="ar"/>
              </w:rPr>
              <w:t>×100%</w:t>
            </w:r>
            <w:r>
              <w:rPr>
                <w:rStyle w:val="11"/>
                <w:rFonts w:hint="default" w:ascii="Times New Roman" w:hAnsi="Times New Roman" w:cs="Times New Roman"/>
                <w:sz w:val="20"/>
                <w:szCs w:val="20"/>
                <w:lang w:val="en-US" w:eastAsia="zh-CN" w:bidi="ar"/>
              </w:rPr>
              <w:t>。</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聘用人员控制率≦人社和编办共同批复的人数；</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在职人员数：部门（单位）实际在职人数</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以财政部门确定的部门决算编制口径为准。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编制数：机构编制部门核定批复的部门（单位）的人员编制数。</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在职人员控制率≦</w:t>
            </w:r>
            <w:r>
              <w:rPr>
                <w:rStyle w:val="12"/>
                <w:rFonts w:hint="default" w:ascii="Times New Roman" w:hAnsi="Times New Roman" w:eastAsia="宋体" w:cs="Times New Roman"/>
                <w:sz w:val="20"/>
                <w:szCs w:val="20"/>
                <w:lang w:val="en-US" w:eastAsia="zh-CN" w:bidi="ar"/>
              </w:rPr>
              <w:t>100%</w:t>
            </w:r>
            <w:r>
              <w:rPr>
                <w:rStyle w:val="11"/>
                <w:rFonts w:hint="default" w:ascii="Times New Roman" w:hAnsi="Times New Roman" w:cs="Times New Roman"/>
                <w:sz w:val="20"/>
                <w:szCs w:val="20"/>
                <w:lang w:val="en-US" w:eastAsia="zh-CN" w:bidi="ar"/>
              </w:rPr>
              <w:t>计</w:t>
            </w:r>
            <w:r>
              <w:rPr>
                <w:rStyle w:val="12"/>
                <w:rFonts w:hint="default" w:ascii="Times New Roman" w:hAnsi="Times New Roman" w:eastAsia="宋体" w:cs="Times New Roman"/>
                <w:sz w:val="20"/>
                <w:szCs w:val="20"/>
                <w:lang w:val="en-US" w:eastAsia="zh-CN" w:bidi="ar"/>
              </w:rPr>
              <w:t>2</w:t>
            </w:r>
            <w:r>
              <w:rPr>
                <w:rStyle w:val="11"/>
                <w:rFonts w:hint="default" w:ascii="Times New Roman" w:hAnsi="Times New Roman" w:cs="Times New Roman"/>
                <w:sz w:val="20"/>
                <w:szCs w:val="20"/>
                <w:lang w:val="en-US" w:eastAsia="zh-CN" w:bidi="ar"/>
              </w:rPr>
              <w:t>分，每超出</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扣</w:t>
            </w:r>
            <w:r>
              <w:rPr>
                <w:rStyle w:val="12"/>
                <w:rFonts w:hint="default" w:ascii="Times New Roman" w:hAnsi="Times New Roman" w:eastAsia="宋体" w:cs="Times New Roman"/>
                <w:sz w:val="20"/>
                <w:szCs w:val="20"/>
                <w:lang w:val="en-US" w:eastAsia="zh-CN" w:bidi="ar"/>
              </w:rPr>
              <w:t>0.2</w:t>
            </w:r>
            <w:r>
              <w:rPr>
                <w:rStyle w:val="11"/>
                <w:rFonts w:hint="default" w:ascii="Times New Roman" w:hAnsi="Times New Roman" w:cs="Times New Roman"/>
                <w:sz w:val="20"/>
                <w:szCs w:val="20"/>
                <w:lang w:val="en-US" w:eastAsia="zh-CN" w:bidi="ar"/>
              </w:rPr>
              <w:t>分，扣完为止。</w:t>
            </w:r>
            <w:r>
              <w:rPr>
                <w:rStyle w:val="12"/>
                <w:rFonts w:hint="default" w:ascii="Times New Roman" w:hAnsi="Times New Roman" w:eastAsia="宋体" w:cs="Times New Roman"/>
                <w:sz w:val="20"/>
                <w:szCs w:val="20"/>
                <w:lang w:val="en-US" w:eastAsia="zh-CN" w:bidi="ar"/>
              </w:rPr>
              <w:br w:type="textWrapping"/>
            </w:r>
            <w:r>
              <w:rPr>
                <w:rStyle w:val="13"/>
                <w:rFonts w:hint="default" w:ascii="Times New Roman" w:hAnsi="Times New Roman" w:cs="Times New Roman"/>
                <w:color w:val="auto"/>
                <w:sz w:val="20"/>
                <w:szCs w:val="20"/>
                <w:lang w:val="en-US" w:eastAsia="zh-CN" w:bidi="ar"/>
              </w:rPr>
              <w:t>聘用人员实际使用数小于等于编办人社部门批复数，计</w:t>
            </w:r>
            <w:r>
              <w:rPr>
                <w:rStyle w:val="14"/>
                <w:rFonts w:hint="default" w:ascii="Times New Roman" w:hAnsi="Times New Roman" w:eastAsia="宋体" w:cs="Times New Roman"/>
                <w:color w:val="auto"/>
                <w:sz w:val="20"/>
                <w:szCs w:val="20"/>
                <w:lang w:val="en-US" w:eastAsia="zh-CN" w:bidi="ar"/>
              </w:rPr>
              <w:t>2</w:t>
            </w:r>
            <w:r>
              <w:rPr>
                <w:rStyle w:val="13"/>
                <w:rFonts w:hint="default" w:ascii="Times New Roman" w:hAnsi="Times New Roman" w:cs="Times New Roman"/>
                <w:color w:val="auto"/>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400" w:firstLineChars="200"/>
              <w:jc w:val="both"/>
              <w:textAlignment w:val="center"/>
              <w:rPr>
                <w:rStyle w:val="11"/>
                <w:rFonts w:hint="default" w:ascii="Times New Roman" w:hAnsi="Times New Roman" w:cs="Times New Roman"/>
                <w:sz w:val="20"/>
                <w:szCs w:val="20"/>
                <w:lang w:val="en-US" w:eastAsia="zh-CN" w:bidi="ar"/>
              </w:rPr>
            </w:pPr>
            <w:r>
              <w:rPr>
                <w:rStyle w:val="11"/>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过程</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w:t>
            </w:r>
            <w:r>
              <w:rPr>
                <w:rStyle w:val="12"/>
                <w:rFonts w:hint="default" w:ascii="Times New Roman" w:hAnsi="Times New Roman" w:eastAsia="宋体" w:cs="Times New Roman"/>
                <w:sz w:val="20"/>
                <w:szCs w:val="20"/>
                <w:lang w:val="en-US" w:eastAsia="zh-CN" w:bidi="ar"/>
              </w:rPr>
              <w:t>40</w:t>
            </w:r>
            <w:r>
              <w:rPr>
                <w:rStyle w:val="11"/>
                <w:rFonts w:hint="default" w:ascii="Times New Roman" w:hAnsi="Times New Roman" w:cs="Times New Roman"/>
                <w:sz w:val="20"/>
                <w:szCs w:val="20"/>
                <w:lang w:val="en-US" w:eastAsia="zh-CN" w:bidi="ar"/>
              </w:rPr>
              <w:t>分）</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执行率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①预算完成率</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（预算完成数</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预算数）</w:t>
            </w:r>
            <w:r>
              <w:rPr>
                <w:rStyle w:val="12"/>
                <w:rFonts w:hint="default" w:ascii="Times New Roman" w:hAnsi="Times New Roman" w:eastAsia="宋体" w:cs="Times New Roman"/>
                <w:sz w:val="20"/>
                <w:szCs w:val="20"/>
                <w:lang w:val="en-US" w:eastAsia="zh-CN" w:bidi="ar"/>
              </w:rPr>
              <w:t>×100%</w:t>
            </w:r>
            <w:r>
              <w:rPr>
                <w:rStyle w:val="11"/>
                <w:rFonts w:hint="default" w:ascii="Times New Roman" w:hAnsi="Times New Roman" w:cs="Times New Roman"/>
                <w:sz w:val="20"/>
                <w:szCs w:val="20"/>
                <w:lang w:val="en-US" w:eastAsia="zh-CN" w:bidi="ar"/>
              </w:rPr>
              <w:t>。</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预算完成数：部门（单位）本年度实际完成的预算数。</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预算数：财政部门批复的本年度部门（单位）预算数及追加的项目预算数。</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②支付序时进度</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（序时执行数</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序时指标下达数）</w:t>
            </w:r>
            <w:r>
              <w:rPr>
                <w:rStyle w:val="12"/>
                <w:rFonts w:hint="default" w:ascii="Times New Roman" w:hAnsi="Times New Roman" w:eastAsia="宋体" w:cs="Times New Roman"/>
                <w:sz w:val="20"/>
                <w:szCs w:val="20"/>
                <w:lang w:val="en-US" w:eastAsia="zh-CN" w:bidi="ar"/>
              </w:rPr>
              <w:t>×100%</w:t>
            </w:r>
            <w:r>
              <w:rPr>
                <w:rStyle w:val="11"/>
                <w:rFonts w:hint="default" w:ascii="Times New Roman" w:hAnsi="Times New Roman" w:cs="Times New Roman"/>
                <w:sz w:val="20"/>
                <w:szCs w:val="20"/>
                <w:lang w:val="en-US" w:eastAsia="zh-CN" w:bidi="ar"/>
              </w:rPr>
              <w:t>。</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序时执行数：指按时间节点部门预算项目实际支出数。序时指标下达数：按时间节点给部门预算下达的项目支出和追加的项目支出指标数之和。</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③部门预算项目支出调剂到</w:t>
            </w:r>
            <w:r>
              <w:rPr>
                <w:rStyle w:val="11"/>
                <w:rFonts w:hint="eastAsia" w:cs="Times New Roman"/>
                <w:sz w:val="20"/>
                <w:szCs w:val="20"/>
                <w:highlight w:val="red"/>
                <w:lang w:val="en-US" w:eastAsia="zh-CN" w:bidi="ar"/>
              </w:rPr>
              <w:t>单位</w:t>
            </w:r>
            <w:r>
              <w:rPr>
                <w:rStyle w:val="11"/>
                <w:rFonts w:hint="default" w:ascii="Times New Roman" w:hAnsi="Times New Roman" w:cs="Times New Roman"/>
                <w:sz w:val="20"/>
                <w:szCs w:val="20"/>
                <w:lang w:val="en-US" w:eastAsia="zh-CN" w:bidi="ar"/>
              </w:rPr>
              <w:t>。</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①全年预算完成率</w:t>
            </w:r>
            <w:r>
              <w:rPr>
                <w:rStyle w:val="12"/>
                <w:rFonts w:hint="default" w:ascii="Times New Roman" w:hAnsi="Times New Roman" w:eastAsia="宋体" w:cs="Times New Roman"/>
                <w:sz w:val="20"/>
                <w:szCs w:val="20"/>
                <w:lang w:val="en-US" w:eastAsia="zh-CN" w:bidi="ar"/>
              </w:rPr>
              <w:t>95%</w:t>
            </w:r>
            <w:r>
              <w:rPr>
                <w:rStyle w:val="11"/>
                <w:rFonts w:hint="default" w:ascii="Times New Roman" w:hAnsi="Times New Roman" w:cs="Times New Roman"/>
                <w:sz w:val="20"/>
                <w:szCs w:val="20"/>
                <w:lang w:val="en-US" w:eastAsia="zh-CN" w:bidi="ar"/>
              </w:rPr>
              <w:t>以上计</w:t>
            </w:r>
            <w:r>
              <w:rPr>
                <w:rStyle w:val="12"/>
                <w:rFonts w:hint="default" w:ascii="Times New Roman" w:hAnsi="Times New Roman" w:eastAsia="宋体" w:cs="Times New Roman"/>
                <w:sz w:val="20"/>
                <w:szCs w:val="20"/>
                <w:lang w:val="en-US" w:eastAsia="zh-CN" w:bidi="ar"/>
              </w:rPr>
              <w:t>2</w:t>
            </w:r>
            <w:r>
              <w:rPr>
                <w:rStyle w:val="11"/>
                <w:rFonts w:hint="default" w:ascii="Times New Roman" w:hAnsi="Times New Roman" w:cs="Times New Roman"/>
                <w:sz w:val="20"/>
                <w:szCs w:val="20"/>
                <w:lang w:val="en-US" w:eastAsia="zh-CN" w:bidi="ar"/>
              </w:rPr>
              <w:t>分，</w:t>
            </w:r>
            <w:r>
              <w:rPr>
                <w:rStyle w:val="12"/>
                <w:rFonts w:hint="default" w:ascii="Times New Roman" w:hAnsi="Times New Roman" w:eastAsia="宋体" w:cs="Times New Roman"/>
                <w:sz w:val="20"/>
                <w:szCs w:val="20"/>
                <w:lang w:val="en-US" w:eastAsia="zh-CN" w:bidi="ar"/>
              </w:rPr>
              <w:t>95-90%</w:t>
            </w:r>
            <w:r>
              <w:rPr>
                <w:rStyle w:val="11"/>
                <w:rFonts w:hint="default" w:ascii="Times New Roman" w:hAnsi="Times New Roman" w:cs="Times New Roman"/>
                <w:sz w:val="20"/>
                <w:szCs w:val="20"/>
                <w:lang w:val="en-US" w:eastAsia="zh-CN" w:bidi="ar"/>
              </w:rPr>
              <w:t>（含），计</w:t>
            </w:r>
            <w:r>
              <w:rPr>
                <w:rStyle w:val="12"/>
                <w:rFonts w:hint="default" w:ascii="Times New Roman" w:hAnsi="Times New Roman" w:eastAsia="宋体" w:cs="Times New Roman"/>
                <w:sz w:val="20"/>
                <w:szCs w:val="20"/>
                <w:lang w:val="en-US" w:eastAsia="zh-CN" w:bidi="ar"/>
              </w:rPr>
              <w:t>1.5</w:t>
            </w:r>
            <w:r>
              <w:rPr>
                <w:rStyle w:val="11"/>
                <w:rFonts w:hint="default" w:ascii="Times New Roman" w:hAnsi="Times New Roman" w:cs="Times New Roman"/>
                <w:sz w:val="20"/>
                <w:szCs w:val="20"/>
                <w:lang w:val="en-US" w:eastAsia="zh-CN" w:bidi="ar"/>
              </w:rPr>
              <w:t>分，</w:t>
            </w:r>
            <w:r>
              <w:rPr>
                <w:rStyle w:val="12"/>
                <w:rFonts w:hint="default" w:ascii="Times New Roman" w:hAnsi="Times New Roman" w:eastAsia="宋体" w:cs="Times New Roman"/>
                <w:sz w:val="20"/>
                <w:szCs w:val="20"/>
                <w:lang w:val="en-US" w:eastAsia="zh-CN" w:bidi="ar"/>
              </w:rPr>
              <w:t>90-80%</w:t>
            </w:r>
            <w:r>
              <w:rPr>
                <w:rStyle w:val="11"/>
                <w:rFonts w:hint="default" w:ascii="Times New Roman" w:hAnsi="Times New Roman" w:cs="Times New Roman"/>
                <w:sz w:val="20"/>
                <w:szCs w:val="20"/>
                <w:lang w:val="en-US" w:eastAsia="zh-CN" w:bidi="ar"/>
              </w:rPr>
              <w:t>（含），计</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分，小于</w:t>
            </w:r>
            <w:r>
              <w:rPr>
                <w:rStyle w:val="12"/>
                <w:rFonts w:hint="default" w:ascii="Times New Roman" w:hAnsi="Times New Roman" w:eastAsia="宋体" w:cs="Times New Roman"/>
                <w:sz w:val="20"/>
                <w:szCs w:val="20"/>
                <w:lang w:val="en-US" w:eastAsia="zh-CN" w:bidi="ar"/>
              </w:rPr>
              <w:t>80%</w:t>
            </w:r>
            <w:r>
              <w:rPr>
                <w:rStyle w:val="11"/>
                <w:rFonts w:hint="default" w:ascii="Times New Roman" w:hAnsi="Times New Roman" w:cs="Times New Roman"/>
                <w:sz w:val="20"/>
                <w:szCs w:val="20"/>
                <w:lang w:val="en-US" w:eastAsia="zh-CN" w:bidi="ar"/>
              </w:rPr>
              <w:t>不得分；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②一、二、三季度末支付序时进度分别达到</w:t>
            </w:r>
            <w:r>
              <w:rPr>
                <w:rStyle w:val="12"/>
                <w:rFonts w:hint="default" w:ascii="Times New Roman" w:hAnsi="Times New Roman" w:eastAsia="宋体" w:cs="Times New Roman"/>
                <w:sz w:val="20"/>
                <w:szCs w:val="20"/>
                <w:lang w:val="en-US" w:eastAsia="zh-CN" w:bidi="ar"/>
              </w:rPr>
              <w:t>20%</w:t>
            </w:r>
            <w:r>
              <w:rPr>
                <w:rStyle w:val="11"/>
                <w:rFonts w:hint="default" w:ascii="Times New Roman" w:hAnsi="Times New Roman" w:cs="Times New Roman"/>
                <w:sz w:val="20"/>
                <w:szCs w:val="20"/>
                <w:lang w:val="en-US" w:eastAsia="zh-CN" w:bidi="ar"/>
              </w:rPr>
              <w:t>、</w:t>
            </w:r>
            <w:r>
              <w:rPr>
                <w:rStyle w:val="12"/>
                <w:rFonts w:hint="default" w:ascii="Times New Roman" w:hAnsi="Times New Roman" w:eastAsia="宋体" w:cs="Times New Roman"/>
                <w:sz w:val="20"/>
                <w:szCs w:val="20"/>
                <w:lang w:val="en-US" w:eastAsia="zh-CN" w:bidi="ar"/>
              </w:rPr>
              <w:t>50%</w:t>
            </w:r>
            <w:r>
              <w:rPr>
                <w:rStyle w:val="11"/>
                <w:rFonts w:hint="default" w:ascii="Times New Roman" w:hAnsi="Times New Roman" w:cs="Times New Roman"/>
                <w:sz w:val="20"/>
                <w:szCs w:val="20"/>
                <w:lang w:val="en-US" w:eastAsia="zh-CN" w:bidi="ar"/>
              </w:rPr>
              <w:t>、</w:t>
            </w:r>
            <w:r>
              <w:rPr>
                <w:rStyle w:val="12"/>
                <w:rFonts w:hint="default" w:ascii="Times New Roman" w:hAnsi="Times New Roman" w:eastAsia="宋体" w:cs="Times New Roman"/>
                <w:sz w:val="20"/>
                <w:szCs w:val="20"/>
                <w:lang w:val="en-US" w:eastAsia="zh-CN" w:bidi="ar"/>
              </w:rPr>
              <w:t>80%</w:t>
            </w:r>
            <w:r>
              <w:rPr>
                <w:rStyle w:val="11"/>
                <w:rFonts w:hint="default" w:ascii="Times New Roman" w:hAnsi="Times New Roman" w:cs="Times New Roman"/>
                <w:sz w:val="20"/>
                <w:szCs w:val="20"/>
                <w:lang w:val="en-US" w:eastAsia="zh-CN" w:bidi="ar"/>
              </w:rPr>
              <w:t>（含）以上计</w:t>
            </w:r>
            <w:r>
              <w:rPr>
                <w:rStyle w:val="12"/>
                <w:rFonts w:hint="default" w:ascii="Times New Roman" w:hAnsi="Times New Roman" w:eastAsia="宋体" w:cs="Times New Roman"/>
                <w:sz w:val="20"/>
                <w:szCs w:val="20"/>
                <w:lang w:val="en-US" w:eastAsia="zh-CN" w:bidi="ar"/>
              </w:rPr>
              <w:t>2</w:t>
            </w:r>
            <w:r>
              <w:rPr>
                <w:rStyle w:val="11"/>
                <w:rFonts w:hint="default" w:ascii="Times New Roman" w:hAnsi="Times New Roman" w:cs="Times New Roman"/>
                <w:sz w:val="20"/>
                <w:szCs w:val="20"/>
                <w:lang w:val="en-US" w:eastAsia="zh-CN" w:bidi="ar"/>
              </w:rPr>
              <w:t>分，每低</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个百分点扣</w:t>
            </w:r>
            <w:r>
              <w:rPr>
                <w:rStyle w:val="12"/>
                <w:rFonts w:hint="default" w:ascii="Times New Roman" w:hAnsi="Times New Roman" w:eastAsia="宋体" w:cs="Times New Roman"/>
                <w:sz w:val="20"/>
                <w:szCs w:val="20"/>
                <w:lang w:val="en-US" w:eastAsia="zh-CN" w:bidi="ar"/>
              </w:rPr>
              <w:t>0.2</w:t>
            </w:r>
            <w:r>
              <w:rPr>
                <w:rStyle w:val="11"/>
                <w:rFonts w:hint="default" w:ascii="Times New Roman" w:hAnsi="Times New Roman" w:cs="Times New Roman"/>
                <w:sz w:val="20"/>
                <w:szCs w:val="20"/>
                <w:lang w:val="en-US" w:eastAsia="zh-CN" w:bidi="ar"/>
              </w:rPr>
              <w:t>分，扣完为止。</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③部门预算项目支出调剂到</w:t>
            </w:r>
            <w:r>
              <w:rPr>
                <w:rStyle w:val="11"/>
                <w:rFonts w:hint="eastAsia" w:cs="Times New Roman"/>
                <w:sz w:val="20"/>
                <w:szCs w:val="20"/>
                <w:highlight w:val="none"/>
                <w:lang w:val="en-US" w:eastAsia="zh-CN" w:bidi="ar"/>
              </w:rPr>
              <w:t>单位</w:t>
            </w:r>
            <w:r>
              <w:rPr>
                <w:rStyle w:val="11"/>
                <w:rFonts w:hint="default" w:ascii="Times New Roman" w:hAnsi="Times New Roman" w:cs="Times New Roman"/>
                <w:sz w:val="20"/>
                <w:szCs w:val="20"/>
                <w:lang w:val="en-US" w:eastAsia="zh-CN" w:bidi="ar"/>
              </w:rPr>
              <w:t>小于等于项目支出</w:t>
            </w:r>
            <w:r>
              <w:rPr>
                <w:rStyle w:val="12"/>
                <w:rFonts w:hint="default" w:ascii="Times New Roman" w:hAnsi="Times New Roman" w:eastAsia="宋体" w:cs="Times New Roman"/>
                <w:sz w:val="20"/>
                <w:szCs w:val="20"/>
                <w:lang w:val="en-US" w:eastAsia="zh-CN" w:bidi="ar"/>
              </w:rPr>
              <w:t>2%</w:t>
            </w:r>
            <w:r>
              <w:rPr>
                <w:rStyle w:val="11"/>
                <w:rFonts w:hint="default" w:ascii="Times New Roman" w:hAnsi="Times New Roman" w:cs="Times New Roman"/>
                <w:sz w:val="20"/>
                <w:szCs w:val="20"/>
                <w:lang w:val="en-US" w:eastAsia="zh-CN" w:bidi="ar"/>
              </w:rPr>
              <w:t>，计</w:t>
            </w:r>
            <w:r>
              <w:rPr>
                <w:rStyle w:val="12"/>
                <w:rFonts w:hint="default" w:ascii="Times New Roman" w:hAnsi="Times New Roman" w:eastAsia="宋体" w:cs="Times New Roman"/>
                <w:sz w:val="20"/>
                <w:szCs w:val="20"/>
                <w:lang w:val="en-US" w:eastAsia="zh-CN" w:bidi="ar"/>
              </w:rPr>
              <w:t>2</w:t>
            </w:r>
            <w:r>
              <w:rPr>
                <w:rStyle w:val="11"/>
                <w:rFonts w:hint="default" w:ascii="Times New Roman" w:hAnsi="Times New Roman" w:cs="Times New Roman"/>
                <w:sz w:val="20"/>
                <w:szCs w:val="20"/>
                <w:lang w:val="en-US" w:eastAsia="zh-CN" w:bidi="ar"/>
              </w:rPr>
              <w:t>分；大于</w:t>
            </w:r>
            <w:r>
              <w:rPr>
                <w:rStyle w:val="12"/>
                <w:rFonts w:hint="default" w:ascii="Times New Roman" w:hAnsi="Times New Roman" w:eastAsia="宋体" w:cs="Times New Roman"/>
                <w:sz w:val="20"/>
                <w:szCs w:val="20"/>
                <w:lang w:val="en-US" w:eastAsia="zh-CN" w:bidi="ar"/>
              </w:rPr>
              <w:t>2%</w:t>
            </w:r>
            <w:r>
              <w:rPr>
                <w:rStyle w:val="11"/>
                <w:rFonts w:hint="default" w:ascii="Times New Roman" w:hAnsi="Times New Roman" w:cs="Times New Roman"/>
                <w:sz w:val="20"/>
                <w:szCs w:val="20"/>
                <w:lang w:val="en-US" w:eastAsia="zh-CN" w:bidi="ar"/>
              </w:rPr>
              <w:t>，不计分；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11"/>
                <w:rFonts w:hint="default" w:ascii="Times New Roman" w:hAnsi="Times New Roman" w:cs="Times New Roman"/>
                <w:sz w:val="20"/>
                <w:szCs w:val="20"/>
                <w:lang w:val="en-US" w:eastAsia="zh-CN" w:bidi="ar"/>
              </w:rPr>
            </w:pPr>
            <w:r>
              <w:rPr>
                <w:rStyle w:val="11"/>
                <w:rFonts w:hint="eastAsia" w:cs="Times New Roman"/>
                <w:sz w:val="20"/>
                <w:szCs w:val="20"/>
                <w:lang w:val="en-US" w:eastAsia="zh-CN" w:bidi="ar"/>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过程</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w:t>
            </w:r>
            <w:r>
              <w:rPr>
                <w:rStyle w:val="12"/>
                <w:rFonts w:hint="default" w:ascii="Times New Roman" w:hAnsi="Times New Roman" w:eastAsia="宋体" w:cs="Times New Roman"/>
                <w:sz w:val="20"/>
                <w:szCs w:val="20"/>
                <w:lang w:val="en-US" w:eastAsia="zh-CN" w:bidi="ar"/>
              </w:rPr>
              <w:t>40</w:t>
            </w:r>
            <w:r>
              <w:rPr>
                <w:rStyle w:val="11"/>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调整率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预算调整率</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（预算调整数</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预算数）</w:t>
            </w:r>
            <w:r>
              <w:rPr>
                <w:rStyle w:val="12"/>
                <w:rFonts w:hint="default" w:ascii="Times New Roman" w:hAnsi="Times New Roman" w:eastAsia="宋体" w:cs="Times New Roman"/>
                <w:sz w:val="20"/>
                <w:szCs w:val="20"/>
                <w:lang w:val="en-US" w:eastAsia="zh-CN" w:bidi="ar"/>
              </w:rPr>
              <w:t>×100%</w:t>
            </w:r>
            <w:r>
              <w:rPr>
                <w:rStyle w:val="11"/>
                <w:rFonts w:hint="default" w:ascii="Times New Roman" w:hAnsi="Times New Roman" w:cs="Times New Roman"/>
                <w:sz w:val="20"/>
                <w:szCs w:val="20"/>
                <w:lang w:val="en-US" w:eastAsia="zh-CN" w:bidi="ar"/>
              </w:rPr>
              <w:t>。</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预算调整率</w:t>
            </w:r>
            <w:r>
              <w:rPr>
                <w:rStyle w:val="12"/>
                <w:rFonts w:hint="default" w:ascii="Times New Roman" w:hAnsi="Times New Roman" w:eastAsia="宋体" w:cs="Times New Roman"/>
                <w:sz w:val="20"/>
                <w:szCs w:val="20"/>
                <w:lang w:val="en-US" w:eastAsia="zh-CN" w:bidi="ar"/>
              </w:rPr>
              <w:t>&lt;5%</w:t>
            </w:r>
            <w:r>
              <w:rPr>
                <w:rStyle w:val="11"/>
                <w:rFonts w:hint="default" w:ascii="Times New Roman" w:hAnsi="Times New Roman" w:cs="Times New Roman"/>
                <w:sz w:val="20"/>
                <w:szCs w:val="20"/>
                <w:lang w:val="en-US" w:eastAsia="zh-CN" w:bidi="ar"/>
              </w:rPr>
              <w:t>，计</w:t>
            </w:r>
            <w:r>
              <w:rPr>
                <w:rStyle w:val="12"/>
                <w:rFonts w:hint="default" w:ascii="Times New Roman" w:hAnsi="Times New Roman" w:eastAsia="宋体" w:cs="Times New Roman"/>
                <w:sz w:val="20"/>
                <w:szCs w:val="20"/>
                <w:lang w:val="en-US" w:eastAsia="zh-CN" w:bidi="ar"/>
              </w:rPr>
              <w:t>3</w:t>
            </w:r>
            <w:r>
              <w:rPr>
                <w:rStyle w:val="11"/>
                <w:rFonts w:hint="default" w:ascii="Times New Roman" w:hAnsi="Times New Roman" w:cs="Times New Roman"/>
                <w:sz w:val="20"/>
                <w:szCs w:val="20"/>
                <w:lang w:val="en-US" w:eastAsia="zh-CN" w:bidi="ar"/>
              </w:rPr>
              <w:t>分；</w:t>
            </w:r>
            <w:r>
              <w:rPr>
                <w:rStyle w:val="12"/>
                <w:rFonts w:hint="default" w:ascii="Times New Roman" w:hAnsi="Times New Roman" w:eastAsia="宋体" w:cs="Times New Roman"/>
                <w:sz w:val="20"/>
                <w:szCs w:val="20"/>
                <w:lang w:val="en-US" w:eastAsia="zh-CN" w:bidi="ar"/>
              </w:rPr>
              <w:t>5-10%</w:t>
            </w:r>
            <w:r>
              <w:rPr>
                <w:rStyle w:val="11"/>
                <w:rFonts w:hint="default" w:ascii="Times New Roman" w:hAnsi="Times New Roman" w:cs="Times New Roman"/>
                <w:sz w:val="20"/>
                <w:szCs w:val="20"/>
                <w:lang w:val="en-US" w:eastAsia="zh-CN" w:bidi="ar"/>
              </w:rPr>
              <w:t>（含），计</w:t>
            </w:r>
            <w:r>
              <w:rPr>
                <w:rStyle w:val="12"/>
                <w:rFonts w:hint="default" w:ascii="Times New Roman" w:hAnsi="Times New Roman" w:eastAsia="宋体" w:cs="Times New Roman"/>
                <w:sz w:val="20"/>
                <w:szCs w:val="20"/>
                <w:lang w:val="en-US" w:eastAsia="zh-CN" w:bidi="ar"/>
              </w:rPr>
              <w:t>1.5</w:t>
            </w:r>
            <w:r>
              <w:rPr>
                <w:rStyle w:val="11"/>
                <w:rFonts w:hint="default" w:ascii="Times New Roman" w:hAnsi="Times New Roman" w:cs="Times New Roman"/>
                <w:sz w:val="20"/>
                <w:szCs w:val="20"/>
                <w:lang w:val="en-US" w:eastAsia="zh-CN" w:bidi="ar"/>
              </w:rPr>
              <w:t>分；大于</w:t>
            </w:r>
            <w:r>
              <w:rPr>
                <w:rStyle w:val="12"/>
                <w:rFonts w:hint="default" w:ascii="Times New Roman" w:hAnsi="Times New Roman" w:eastAsia="宋体" w:cs="Times New Roman"/>
                <w:sz w:val="20"/>
                <w:szCs w:val="20"/>
                <w:lang w:val="en-US" w:eastAsia="zh-CN" w:bidi="ar"/>
              </w:rPr>
              <w:t>10%</w:t>
            </w:r>
            <w:r>
              <w:rPr>
                <w:rStyle w:val="11"/>
                <w:rFonts w:hint="default" w:ascii="Times New Roman" w:hAnsi="Times New Roman" w:cs="Times New Roman"/>
                <w:sz w:val="20"/>
                <w:szCs w:val="20"/>
                <w:lang w:val="en-US" w:eastAsia="zh-CN" w:bidi="ar"/>
              </w:rPr>
              <w:t>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1"/>
                <w:rFonts w:hint="default" w:ascii="Times New Roman" w:hAnsi="Times New Roman" w:cs="Times New Roman"/>
                <w:sz w:val="20"/>
                <w:szCs w:val="20"/>
                <w:lang w:val="en-US" w:eastAsia="zh-CN" w:bidi="ar"/>
              </w:rPr>
            </w:pPr>
            <w:r>
              <w:rPr>
                <w:rStyle w:val="11"/>
                <w:rFonts w:hint="eastAsia" w:cs="Times New Roman"/>
                <w:sz w:val="20"/>
                <w:szCs w:val="20"/>
                <w:lang w:val="en-US" w:eastAsia="zh-CN" w:bidi="ar"/>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w:t>
            </w:r>
            <w:r>
              <w:rPr>
                <w:rFonts w:hint="eastAsia" w:cs="Times New Roman"/>
                <w:i w:val="0"/>
                <w:color w:val="000000"/>
                <w:kern w:val="0"/>
                <w:sz w:val="20"/>
                <w:szCs w:val="20"/>
                <w:highlight w:val="red"/>
                <w:u w:val="none"/>
                <w:lang w:val="en-US" w:eastAsia="zh-CN" w:bidi="ar"/>
              </w:rPr>
              <w:t>区</w:t>
            </w:r>
            <w:r>
              <w:rPr>
                <w:rFonts w:hint="default" w:ascii="Times New Roman" w:hAnsi="Times New Roman" w:eastAsia="宋体" w:cs="Times New Roman"/>
                <w:i w:val="0"/>
                <w:color w:val="000000"/>
                <w:kern w:val="0"/>
                <w:sz w:val="20"/>
                <w:szCs w:val="20"/>
                <w:highlight w:val="red"/>
                <w:u w:val="none"/>
                <w:lang w:val="en-US" w:eastAsia="zh-CN" w:bidi="ar"/>
              </w:rPr>
              <w:t>政府</w:t>
            </w:r>
            <w:r>
              <w:rPr>
                <w:rFonts w:hint="default" w:ascii="Times New Roman" w:hAnsi="Times New Roman" w:eastAsia="宋体" w:cs="Times New Roman"/>
                <w:i w:val="0"/>
                <w:color w:val="000000"/>
                <w:kern w:val="0"/>
                <w:sz w:val="20"/>
                <w:szCs w:val="20"/>
                <w:u w:val="none"/>
                <w:lang w:val="en-US" w:eastAsia="zh-CN" w:bidi="ar"/>
              </w:rPr>
              <w:t>文件规定，预算单位年度安排的</w:t>
            </w:r>
            <w:r>
              <w:rPr>
                <w:rFonts w:hint="eastAsia" w:cs="Times New Roman"/>
                <w:i w:val="0"/>
                <w:color w:val="000000"/>
                <w:kern w:val="0"/>
                <w:sz w:val="20"/>
                <w:szCs w:val="20"/>
                <w:highlight w:val="red"/>
                <w:u w:val="none"/>
                <w:lang w:val="en-US" w:eastAsia="zh-CN" w:bidi="ar"/>
              </w:rPr>
              <w:t>区</w:t>
            </w:r>
            <w:r>
              <w:rPr>
                <w:rFonts w:hint="default" w:ascii="Times New Roman" w:hAnsi="Times New Roman" w:eastAsia="宋体" w:cs="Times New Roman"/>
                <w:i w:val="0"/>
                <w:color w:val="000000"/>
                <w:kern w:val="0"/>
                <w:sz w:val="20"/>
                <w:szCs w:val="20"/>
                <w:highlight w:val="red"/>
                <w:u w:val="none"/>
                <w:lang w:val="en-US" w:eastAsia="zh-CN" w:bidi="ar"/>
              </w:rPr>
              <w:t>级预算资金</w:t>
            </w:r>
            <w:r>
              <w:rPr>
                <w:rFonts w:hint="default" w:ascii="Times New Roman" w:hAnsi="Times New Roman" w:eastAsia="宋体" w:cs="Times New Roman"/>
                <w:i w:val="0"/>
                <w:color w:val="000000"/>
                <w:kern w:val="0"/>
                <w:sz w:val="20"/>
                <w:szCs w:val="20"/>
                <w:u w:val="none"/>
                <w:lang w:val="en-US" w:eastAsia="zh-CN" w:bidi="ar"/>
              </w:rPr>
              <w:t>不能结转。</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Fonts w:hint="eastAsia" w:cs="Times New Roman"/>
                <w:i w:val="0"/>
                <w:color w:val="000000"/>
                <w:kern w:val="0"/>
                <w:sz w:val="20"/>
                <w:szCs w:val="20"/>
                <w:highlight w:val="red"/>
                <w:u w:val="none"/>
                <w:lang w:val="en-US" w:eastAsia="zh-CN" w:bidi="ar"/>
              </w:rPr>
              <w:t>区</w:t>
            </w:r>
            <w:r>
              <w:rPr>
                <w:rFonts w:hint="default" w:ascii="Times New Roman" w:hAnsi="Times New Roman" w:eastAsia="宋体" w:cs="Times New Roman"/>
                <w:i w:val="0"/>
                <w:color w:val="000000"/>
                <w:kern w:val="0"/>
                <w:sz w:val="20"/>
                <w:szCs w:val="20"/>
                <w:highlight w:val="red"/>
                <w:u w:val="none"/>
                <w:lang w:val="en-US" w:eastAsia="zh-CN" w:bidi="ar"/>
              </w:rPr>
              <w:t>本级资金</w:t>
            </w:r>
            <w:r>
              <w:rPr>
                <w:rFonts w:hint="default" w:ascii="Times New Roman" w:hAnsi="Times New Roman" w:eastAsia="宋体" w:cs="Times New Roman"/>
                <w:i w:val="0"/>
                <w:color w:val="000000"/>
                <w:kern w:val="0"/>
                <w:sz w:val="20"/>
                <w:szCs w:val="20"/>
                <w:u w:val="none"/>
                <w:lang w:val="en-US" w:eastAsia="zh-CN" w:bidi="ar"/>
              </w:rPr>
              <w:t>无结转，计2分；有结转，不计分；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1"/>
                <w:rFonts w:hint="default" w:ascii="Times New Roman" w:hAnsi="Times New Roman" w:cs="Times New Roman"/>
                <w:sz w:val="20"/>
                <w:szCs w:val="20"/>
                <w:lang w:val="en-US" w:eastAsia="zh-CN" w:bidi="ar"/>
              </w:rPr>
            </w:pP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2"/>
                <w:rFonts w:hint="default" w:ascii="Times New Roman" w:hAnsi="Times New Roman" w:eastAsia="宋体" w:cs="Times New Roman"/>
                <w:sz w:val="20"/>
                <w:szCs w:val="20"/>
                <w:lang w:val="en-US" w:eastAsia="zh-CN" w:bidi="ar"/>
              </w:rPr>
            </w:pPr>
            <w:r>
              <w:rPr>
                <w:rStyle w:val="11"/>
                <w:rFonts w:hint="default" w:ascii="Times New Roman" w:hAnsi="Times New Roman" w:cs="Times New Roman"/>
                <w:sz w:val="20"/>
                <w:szCs w:val="20"/>
                <w:lang w:val="en-US" w:eastAsia="zh-CN" w:bidi="ar"/>
              </w:rPr>
              <w:t>经费</w:t>
            </w:r>
            <w:r>
              <w:rPr>
                <w:rStyle w:val="12"/>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三公经费</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控制率</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三公经费</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实际支出数</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三公经费</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预算安排数）</w:t>
            </w:r>
            <w:r>
              <w:rPr>
                <w:rStyle w:val="12"/>
                <w:rFonts w:hint="default" w:ascii="Times New Roman" w:hAnsi="Times New Roman" w:eastAsia="宋体" w:cs="Times New Roman"/>
                <w:sz w:val="20"/>
                <w:szCs w:val="20"/>
                <w:lang w:val="en-US" w:eastAsia="zh-CN" w:bidi="ar"/>
              </w:rPr>
              <w:t>×100%</w:t>
            </w:r>
            <w:r>
              <w:rPr>
                <w:rStyle w:val="11"/>
                <w:rFonts w:hint="default" w:ascii="Times New Roman" w:hAnsi="Times New Roman" w:cs="Times New Roman"/>
                <w:sz w:val="20"/>
                <w:szCs w:val="20"/>
                <w:lang w:val="en-US" w:eastAsia="zh-CN" w:bidi="ar"/>
              </w:rPr>
              <w:t>。不超当年预算，不超上年决算。</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三公经费</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控制率</w:t>
            </w:r>
            <w:r>
              <w:rPr>
                <w:rStyle w:val="12"/>
                <w:rFonts w:hint="default" w:ascii="Times New Roman" w:hAnsi="Times New Roman" w:eastAsia="宋体" w:cs="Times New Roman"/>
                <w:sz w:val="20"/>
                <w:szCs w:val="20"/>
                <w:lang w:val="en-US" w:eastAsia="zh-CN" w:bidi="ar"/>
              </w:rPr>
              <w:t>100%</w:t>
            </w:r>
            <w:r>
              <w:rPr>
                <w:rStyle w:val="11"/>
                <w:rFonts w:hint="default" w:ascii="Times New Roman" w:hAnsi="Times New Roman" w:cs="Times New Roman"/>
                <w:sz w:val="20"/>
                <w:szCs w:val="20"/>
                <w:lang w:val="en-US" w:eastAsia="zh-CN" w:bidi="ar"/>
              </w:rPr>
              <w:t>以下（含）计</w:t>
            </w:r>
            <w:r>
              <w:rPr>
                <w:rStyle w:val="12"/>
                <w:rFonts w:hint="default" w:ascii="Times New Roman" w:hAnsi="Times New Roman" w:eastAsia="宋体" w:cs="Times New Roman"/>
                <w:sz w:val="20"/>
                <w:szCs w:val="20"/>
                <w:lang w:val="en-US" w:eastAsia="zh-CN" w:bidi="ar"/>
              </w:rPr>
              <w:t>2</w:t>
            </w:r>
            <w:r>
              <w:rPr>
                <w:rStyle w:val="11"/>
                <w:rFonts w:hint="default" w:ascii="Times New Roman" w:hAnsi="Times New Roman" w:cs="Times New Roman"/>
                <w:sz w:val="20"/>
                <w:szCs w:val="20"/>
                <w:lang w:val="en-US" w:eastAsia="zh-CN" w:bidi="ar"/>
              </w:rPr>
              <w:t>分，每超出</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扣</w:t>
            </w:r>
            <w:r>
              <w:rPr>
                <w:rStyle w:val="12"/>
                <w:rFonts w:hint="default" w:ascii="Times New Roman" w:hAnsi="Times New Roman" w:eastAsia="宋体" w:cs="Times New Roman"/>
                <w:sz w:val="20"/>
                <w:szCs w:val="20"/>
                <w:lang w:val="en-US" w:eastAsia="zh-CN" w:bidi="ar"/>
              </w:rPr>
              <w:t>0.15</w:t>
            </w:r>
            <w:r>
              <w:rPr>
                <w:rStyle w:val="11"/>
                <w:rFonts w:hint="default" w:ascii="Times New Roman" w:hAnsi="Times New Roman" w:cs="Times New Roman"/>
                <w:sz w:val="20"/>
                <w:szCs w:val="20"/>
                <w:lang w:val="en-US" w:eastAsia="zh-CN" w:bidi="ar"/>
              </w:rPr>
              <w:t>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default" w:ascii="Times New Roman" w:hAnsi="Times New Roman" w:eastAsia="宋体" w:cs="Times New Roman"/>
                <w:sz w:val="20"/>
                <w:szCs w:val="20"/>
                <w:lang w:val="en-US" w:eastAsia="zh-CN" w:bidi="ar"/>
              </w:rPr>
            </w:pPr>
            <w:r>
              <w:rPr>
                <w:rStyle w:val="12"/>
                <w:rFonts w:hint="eastAsia" w:cs="Times New Roman"/>
                <w:sz w:val="20"/>
                <w:szCs w:val="20"/>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政府采购</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执行率和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规范性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政府采购执行率</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（实际政府采购金额</w:t>
            </w:r>
            <w:r>
              <w:rPr>
                <w:rStyle w:val="12"/>
                <w:rFonts w:hint="default" w:ascii="Times New Roman" w:hAnsi="Times New Roman" w:eastAsia="宋体" w:cs="Times New Roman"/>
                <w:sz w:val="20"/>
                <w:szCs w:val="20"/>
                <w:lang w:val="en-US" w:eastAsia="zh-CN" w:bidi="ar"/>
              </w:rPr>
              <w:t>/</w:t>
            </w:r>
            <w:r>
              <w:rPr>
                <w:rStyle w:val="11"/>
                <w:rFonts w:hint="default" w:ascii="Times New Roman" w:hAnsi="Times New Roman" w:cs="Times New Roman"/>
                <w:sz w:val="20"/>
                <w:szCs w:val="20"/>
                <w:lang w:val="en-US" w:eastAsia="zh-CN" w:bidi="ar"/>
              </w:rPr>
              <w:t>政府采购预算数）</w:t>
            </w:r>
            <w:r>
              <w:rPr>
                <w:rStyle w:val="12"/>
                <w:rFonts w:hint="default" w:ascii="Times New Roman" w:hAnsi="Times New Roman" w:eastAsia="宋体" w:cs="Times New Roman"/>
                <w:sz w:val="20"/>
                <w:szCs w:val="20"/>
                <w:lang w:val="en-US" w:eastAsia="zh-CN" w:bidi="ar"/>
              </w:rPr>
              <w:t>×100%</w:t>
            </w:r>
            <w:r>
              <w:rPr>
                <w:rStyle w:val="11"/>
                <w:rFonts w:hint="default" w:ascii="Times New Roman" w:hAnsi="Times New Roman" w:cs="Times New Roman"/>
                <w:sz w:val="20"/>
                <w:szCs w:val="20"/>
                <w:lang w:val="en-US" w:eastAsia="zh-CN" w:bidi="ar"/>
              </w:rPr>
              <w:t>；</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r>
              <w:rPr>
                <w:rStyle w:val="11"/>
                <w:rFonts w:hint="default" w:ascii="Times New Roman" w:hAnsi="Times New Roman"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预算单位严格执行《</w:t>
            </w:r>
            <w:r>
              <w:rPr>
                <w:rStyle w:val="11"/>
                <w:rFonts w:hint="eastAsia" w:cs="Times New Roman"/>
                <w:sz w:val="20"/>
                <w:szCs w:val="20"/>
                <w:lang w:val="en-US" w:eastAsia="zh-CN" w:bidi="ar"/>
              </w:rPr>
              <w:t>中华人民共和国</w:t>
            </w:r>
            <w:r>
              <w:rPr>
                <w:rStyle w:val="11"/>
                <w:rFonts w:hint="default" w:ascii="Times New Roman" w:hAnsi="Times New Roman" w:cs="Times New Roman"/>
                <w:sz w:val="20"/>
                <w:szCs w:val="20"/>
                <w:lang w:val="en-US" w:eastAsia="zh-CN" w:bidi="ar"/>
              </w:rPr>
              <w:t>政府采购法》，无规避政府采购或化整为零进行政府采购的行为。所有项目必须依法采购，履行验收手续。</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政府采购执行率</w:t>
            </w:r>
            <w:r>
              <w:rPr>
                <w:rStyle w:val="12"/>
                <w:rFonts w:hint="default" w:ascii="Times New Roman" w:hAnsi="Times New Roman" w:eastAsia="宋体" w:cs="Times New Roman"/>
                <w:sz w:val="20"/>
                <w:szCs w:val="20"/>
                <w:lang w:val="en-US" w:eastAsia="zh-CN" w:bidi="ar"/>
              </w:rPr>
              <w:t>100%</w:t>
            </w:r>
            <w:r>
              <w:rPr>
                <w:rStyle w:val="11"/>
                <w:rFonts w:hint="default" w:ascii="Times New Roman" w:hAnsi="Times New Roman" w:cs="Times New Roman"/>
                <w:sz w:val="20"/>
                <w:szCs w:val="20"/>
                <w:lang w:val="en-US" w:eastAsia="zh-CN" w:bidi="ar"/>
              </w:rPr>
              <w:t>计</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分，每超过（降低）</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扣</w:t>
            </w:r>
            <w:r>
              <w:rPr>
                <w:rStyle w:val="12"/>
                <w:rFonts w:hint="default" w:ascii="Times New Roman" w:hAnsi="Times New Roman" w:eastAsia="宋体" w:cs="Times New Roman"/>
                <w:sz w:val="20"/>
                <w:szCs w:val="20"/>
                <w:lang w:val="en-US" w:eastAsia="zh-CN" w:bidi="ar"/>
              </w:rPr>
              <w:t>0.1</w:t>
            </w:r>
            <w:r>
              <w:rPr>
                <w:rStyle w:val="11"/>
                <w:rFonts w:hint="default" w:ascii="Times New Roman" w:hAnsi="Times New Roman" w:cs="Times New Roman"/>
                <w:sz w:val="20"/>
                <w:szCs w:val="20"/>
                <w:lang w:val="en-US" w:eastAsia="zh-CN" w:bidi="ar"/>
              </w:rPr>
              <w:t>分，扣完为止。</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所有项目依法采购，无规避政府采购或化整为零进</w:t>
            </w:r>
            <w:bookmarkStart w:id="0" w:name="_GoBack"/>
            <w:bookmarkEnd w:id="0"/>
            <w:r>
              <w:rPr>
                <w:rStyle w:val="11"/>
                <w:rFonts w:hint="default" w:ascii="Times New Roman" w:hAnsi="Times New Roman" w:cs="Times New Roman"/>
                <w:sz w:val="20"/>
                <w:szCs w:val="20"/>
                <w:lang w:val="en-US" w:eastAsia="zh-CN" w:bidi="ar"/>
              </w:rPr>
              <w:t>行政府采购的行为，并履行验收手续计1分，否则不得分。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1"/>
                <w:rFonts w:hint="default" w:ascii="Times New Roman" w:hAnsi="Times New Roman" w:cs="Times New Roman"/>
                <w:sz w:val="20"/>
                <w:szCs w:val="20"/>
                <w:lang w:val="en-US" w:eastAsia="zh-CN" w:bidi="ar"/>
              </w:rPr>
            </w:pPr>
            <w:r>
              <w:rPr>
                <w:rStyle w:val="11"/>
                <w:rFonts w:hint="eastAsia" w:cs="Times New Roman"/>
                <w:sz w:val="20"/>
                <w:szCs w:val="20"/>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预算</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管理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w:t>
            </w:r>
            <w:r>
              <w:rPr>
                <w:rStyle w:val="12"/>
                <w:rFonts w:hint="default" w:ascii="Times New Roman" w:hAnsi="Times New Roman" w:eastAsia="宋体" w:cs="Times New Roman"/>
                <w:sz w:val="20"/>
                <w:szCs w:val="20"/>
                <w:lang w:val="en-US" w:eastAsia="zh-CN" w:bidi="ar"/>
              </w:rPr>
              <w:t>20</w:t>
            </w:r>
            <w:r>
              <w:rPr>
                <w:rStyle w:val="11"/>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管理制度</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①部门（单位）内控制度、内部财务管理制度和会计核算制度是否健全；</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②相关管理制度是否合法、合规、完整；</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③相关管理制度是否得到有效执行。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①部门（单位）内控制度、内部财务管理制度和会计核算制度健全，计</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分，否则酌情扣分；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②管理制度合法、合规、完整，计</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分，否则酌情扣分；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③管理制度得到有效执行，计</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分，</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例不符合扣</w:t>
            </w:r>
            <w:r>
              <w:rPr>
                <w:rStyle w:val="12"/>
                <w:rFonts w:hint="default" w:ascii="Times New Roman" w:hAnsi="Times New Roman" w:eastAsia="宋体" w:cs="Times New Roman"/>
                <w:sz w:val="20"/>
                <w:szCs w:val="20"/>
                <w:lang w:val="en-US" w:eastAsia="zh-CN" w:bidi="ar"/>
              </w:rPr>
              <w:t>0.2</w:t>
            </w:r>
            <w:r>
              <w:rPr>
                <w:rStyle w:val="11"/>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1"/>
                <w:rFonts w:hint="default" w:ascii="Times New Roman" w:hAnsi="Times New Roman" w:cs="Times New Roman"/>
                <w:sz w:val="20"/>
                <w:szCs w:val="20"/>
                <w:lang w:val="en-US" w:eastAsia="zh-CN" w:bidi="ar"/>
              </w:rPr>
            </w:pPr>
            <w:r>
              <w:rPr>
                <w:rStyle w:val="11"/>
                <w:rFonts w:hint="eastAsia" w:cs="Times New Roman"/>
                <w:sz w:val="20"/>
                <w:szCs w:val="20"/>
                <w:lang w:val="en-US" w:eastAsia="zh-CN" w:bidi="ar"/>
              </w:rPr>
              <w:t xml:space="preserve">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资金使用</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合规性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①是否符合国家财经法规和财务管理制度以及有关专项资金管理办法的规定；</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②资金的支付是否有完整的审批程序和手续；</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③重大项目开支和大额资金使用是否经单位党组集体研究决策；</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④是否符合项目预算批复或合同规定的用途；</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⑤是否存在截留、挤占、挪用、虚列支出等情况；</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⑥是否存在重复申报项目、虚报冒领资金。</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①符合国家财经法规和财务管理制度以及有关专项资金管理办法的规定，计</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分，</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例不符合扣</w:t>
            </w:r>
            <w:r>
              <w:rPr>
                <w:rStyle w:val="12"/>
                <w:rFonts w:hint="default" w:ascii="Times New Roman" w:hAnsi="Times New Roman" w:eastAsia="宋体" w:cs="Times New Roman"/>
                <w:sz w:val="20"/>
                <w:szCs w:val="20"/>
                <w:lang w:val="en-US" w:eastAsia="zh-CN" w:bidi="ar"/>
              </w:rPr>
              <w:t>0.2</w:t>
            </w:r>
            <w:r>
              <w:rPr>
                <w:rStyle w:val="11"/>
                <w:rFonts w:hint="default" w:ascii="Times New Roman" w:hAnsi="Times New Roman" w:cs="Times New Roman"/>
                <w:sz w:val="20"/>
                <w:szCs w:val="20"/>
                <w:lang w:val="en-US" w:eastAsia="zh-CN" w:bidi="ar"/>
              </w:rPr>
              <w:t>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②资金的支付有完整的审批程序和手续，计</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分，</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例不符合扣</w:t>
            </w:r>
            <w:r>
              <w:rPr>
                <w:rStyle w:val="12"/>
                <w:rFonts w:hint="default" w:ascii="Times New Roman" w:hAnsi="Times New Roman" w:eastAsia="宋体" w:cs="Times New Roman"/>
                <w:sz w:val="20"/>
                <w:szCs w:val="20"/>
                <w:lang w:val="en-US" w:eastAsia="zh-CN" w:bidi="ar"/>
              </w:rPr>
              <w:t>0.2</w:t>
            </w:r>
            <w:r>
              <w:rPr>
                <w:rStyle w:val="11"/>
                <w:rFonts w:hint="default" w:ascii="Times New Roman" w:hAnsi="Times New Roman" w:cs="Times New Roman"/>
                <w:sz w:val="20"/>
                <w:szCs w:val="20"/>
                <w:lang w:val="en-US" w:eastAsia="zh-CN" w:bidi="ar"/>
              </w:rPr>
              <w:t>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③重大项目开支和大额资金使用经过单位党组集体研究决策，计</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分，</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例不符合扣</w:t>
            </w:r>
            <w:r>
              <w:rPr>
                <w:rStyle w:val="12"/>
                <w:rFonts w:hint="default" w:ascii="Times New Roman" w:hAnsi="Times New Roman" w:eastAsia="宋体" w:cs="Times New Roman"/>
                <w:sz w:val="20"/>
                <w:szCs w:val="20"/>
                <w:lang w:val="en-US" w:eastAsia="zh-CN" w:bidi="ar"/>
              </w:rPr>
              <w:t>0.2</w:t>
            </w:r>
            <w:r>
              <w:rPr>
                <w:rStyle w:val="11"/>
                <w:rFonts w:hint="default" w:ascii="Times New Roman" w:hAnsi="Times New Roman" w:cs="Times New Roman"/>
                <w:sz w:val="20"/>
                <w:szCs w:val="20"/>
                <w:lang w:val="en-US" w:eastAsia="zh-CN" w:bidi="ar"/>
              </w:rPr>
              <w:t>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④符合项目预算批复或合同规定的用途，计</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分，</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例不符合扣</w:t>
            </w:r>
            <w:r>
              <w:rPr>
                <w:rStyle w:val="12"/>
                <w:rFonts w:hint="default" w:ascii="Times New Roman" w:hAnsi="Times New Roman" w:eastAsia="宋体" w:cs="Times New Roman"/>
                <w:sz w:val="20"/>
                <w:szCs w:val="20"/>
                <w:lang w:val="en-US" w:eastAsia="zh-CN" w:bidi="ar"/>
              </w:rPr>
              <w:t>0.2</w:t>
            </w:r>
            <w:r>
              <w:rPr>
                <w:rStyle w:val="11"/>
                <w:rFonts w:hint="default" w:ascii="Times New Roman" w:hAnsi="Times New Roman" w:cs="Times New Roman"/>
                <w:sz w:val="20"/>
                <w:szCs w:val="20"/>
                <w:lang w:val="en-US" w:eastAsia="zh-CN" w:bidi="ar"/>
              </w:rPr>
              <w:t>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⑤不存在截留、挤占、挪用、虚列支出等情况，计</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分，</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例不符合本指标</w:t>
            </w:r>
            <w:r>
              <w:rPr>
                <w:rStyle w:val="12"/>
                <w:rFonts w:hint="default" w:ascii="Times New Roman" w:hAnsi="Times New Roman" w:eastAsia="宋体" w:cs="Times New Roman"/>
                <w:sz w:val="20"/>
                <w:szCs w:val="20"/>
                <w:lang w:val="en-US" w:eastAsia="zh-CN" w:bidi="ar"/>
              </w:rPr>
              <w:t>6</w:t>
            </w:r>
            <w:r>
              <w:rPr>
                <w:rStyle w:val="11"/>
                <w:rFonts w:hint="default" w:ascii="Times New Roman" w:hAnsi="Times New Roman" w:cs="Times New Roman"/>
                <w:sz w:val="20"/>
                <w:szCs w:val="20"/>
                <w:lang w:val="en-US" w:eastAsia="zh-CN" w:bidi="ar"/>
              </w:rPr>
              <w:t>分全扣；</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⑥</w:t>
            </w:r>
            <w:r>
              <w:rPr>
                <w:rStyle w:val="11"/>
                <w:rFonts w:hint="default" w:ascii="Times New Roman" w:hAnsi="Times New Roman" w:cs="Times New Roman"/>
                <w:spacing w:val="-6"/>
                <w:sz w:val="20"/>
                <w:szCs w:val="20"/>
                <w:lang w:val="en-US" w:eastAsia="zh-CN" w:bidi="ar"/>
              </w:rPr>
              <w:t>不存在重复申报项目、虚报冒领资金，计</w:t>
            </w:r>
            <w:r>
              <w:rPr>
                <w:rStyle w:val="12"/>
                <w:rFonts w:hint="default" w:ascii="Times New Roman" w:hAnsi="Times New Roman" w:eastAsia="宋体" w:cs="Times New Roman"/>
                <w:spacing w:val="-6"/>
                <w:sz w:val="20"/>
                <w:szCs w:val="20"/>
                <w:lang w:val="en-US" w:eastAsia="zh-CN" w:bidi="ar"/>
              </w:rPr>
              <w:t>1</w:t>
            </w:r>
            <w:r>
              <w:rPr>
                <w:rStyle w:val="11"/>
                <w:rFonts w:hint="default" w:ascii="Times New Roman" w:hAnsi="Times New Roman" w:cs="Times New Roman"/>
                <w:spacing w:val="-6"/>
                <w:sz w:val="20"/>
                <w:szCs w:val="20"/>
                <w:lang w:val="en-US" w:eastAsia="zh-CN" w:bidi="ar"/>
              </w:rPr>
              <w:t>分，</w:t>
            </w:r>
            <w:r>
              <w:rPr>
                <w:rStyle w:val="12"/>
                <w:rFonts w:hint="default" w:ascii="Times New Roman" w:hAnsi="Times New Roman" w:eastAsia="宋体" w:cs="Times New Roman"/>
                <w:spacing w:val="-6"/>
                <w:sz w:val="20"/>
                <w:szCs w:val="20"/>
                <w:lang w:val="en-US" w:eastAsia="zh-CN" w:bidi="ar"/>
              </w:rPr>
              <w:t>1</w:t>
            </w:r>
            <w:r>
              <w:rPr>
                <w:rStyle w:val="11"/>
                <w:rFonts w:hint="default" w:ascii="Times New Roman" w:hAnsi="Times New Roman" w:cs="Times New Roman"/>
                <w:spacing w:val="-6"/>
                <w:sz w:val="20"/>
                <w:szCs w:val="20"/>
                <w:lang w:val="en-US" w:eastAsia="zh-CN" w:bidi="ar"/>
              </w:rPr>
              <w:t>例不符合本指标6分全扣；</w:t>
            </w:r>
            <w:r>
              <w:rPr>
                <w:rStyle w:val="11"/>
                <w:rFonts w:hint="default" w:ascii="Times New Roman" w:hAnsi="Times New Roman"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⑦违规情况特别严重的，重点绩效评价等级定为“差”。</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1"/>
                <w:rFonts w:hint="default" w:ascii="Times New Roman" w:hAnsi="Times New Roman" w:cs="Times New Roman"/>
                <w:sz w:val="20"/>
                <w:szCs w:val="20"/>
                <w:lang w:val="en-US" w:eastAsia="zh-CN" w:bidi="ar"/>
              </w:rPr>
            </w:pPr>
            <w:r>
              <w:rPr>
                <w:rStyle w:val="11"/>
                <w:rFonts w:hint="eastAsia" w:cs="Times New Roman"/>
                <w:sz w:val="20"/>
                <w:szCs w:val="20"/>
                <w:lang w:val="en-US" w:eastAsia="zh-CN" w:bidi="ar"/>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过程</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w:t>
            </w:r>
            <w:r>
              <w:rPr>
                <w:rStyle w:val="12"/>
                <w:rFonts w:hint="default" w:ascii="Times New Roman" w:hAnsi="Times New Roman" w:eastAsia="宋体" w:cs="Times New Roman"/>
                <w:sz w:val="20"/>
                <w:szCs w:val="20"/>
                <w:lang w:val="en-US" w:eastAsia="zh-CN" w:bidi="ar"/>
              </w:rPr>
              <w:t>40</w:t>
            </w:r>
            <w:r>
              <w:rPr>
                <w:rStyle w:val="11"/>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11"/>
                <w:rFonts w:hint="default" w:ascii="Times New Roman" w:hAnsi="Times New Roman" w:cs="Times New Roman"/>
                <w:sz w:val="20"/>
                <w:szCs w:val="20"/>
                <w:lang w:val="en-US" w:eastAsia="zh-CN" w:bidi="ar"/>
              </w:rPr>
              <w:t>预算</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管理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w:t>
            </w:r>
            <w:r>
              <w:rPr>
                <w:rStyle w:val="12"/>
                <w:rFonts w:hint="default" w:ascii="Times New Roman" w:hAnsi="Times New Roman" w:eastAsia="宋体" w:cs="Times New Roman"/>
                <w:sz w:val="20"/>
                <w:szCs w:val="20"/>
                <w:lang w:val="en-US" w:eastAsia="zh-CN" w:bidi="ar"/>
              </w:rPr>
              <w:t>20</w:t>
            </w:r>
            <w:r>
              <w:rPr>
                <w:rStyle w:val="11"/>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①预算单位按规定及时、准确、完整的公开预决算和绩效管理信息；</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②基础数据信息和会计信息资料真实、准确、完整；</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①、②各计</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分，否则，酌情扣分；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1"/>
                <w:rFonts w:hint="default" w:ascii="Times New Roman" w:hAnsi="Times New Roman" w:cs="Times New Roman"/>
                <w:sz w:val="20"/>
                <w:szCs w:val="20"/>
                <w:lang w:val="en-US" w:eastAsia="zh-CN" w:bidi="ar"/>
              </w:rPr>
            </w:pPr>
            <w:r>
              <w:rPr>
                <w:rStyle w:val="11"/>
                <w:rFonts w:hint="eastAsia" w:cs="Times New Roman"/>
                <w:sz w:val="20"/>
                <w:szCs w:val="20"/>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绩效自评</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管理情况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根据</w:t>
            </w:r>
            <w:r>
              <w:rPr>
                <w:rStyle w:val="11"/>
                <w:rFonts w:hint="eastAsia" w:cs="Times New Roman"/>
                <w:sz w:val="20"/>
                <w:szCs w:val="20"/>
                <w:highlight w:val="red"/>
                <w:lang w:val="en-US" w:eastAsia="zh-CN" w:bidi="ar"/>
              </w:rPr>
              <w:t>区</w:t>
            </w:r>
            <w:r>
              <w:rPr>
                <w:rStyle w:val="11"/>
                <w:rFonts w:hint="default" w:ascii="Times New Roman" w:hAnsi="Times New Roman" w:cs="Times New Roman"/>
                <w:sz w:val="20"/>
                <w:szCs w:val="20"/>
                <w:highlight w:val="red"/>
                <w:lang w:val="en-US" w:eastAsia="zh-CN" w:bidi="ar"/>
              </w:rPr>
              <w:t>财政局</w:t>
            </w:r>
            <w:r>
              <w:rPr>
                <w:rStyle w:val="11"/>
                <w:rFonts w:hint="default" w:ascii="Times New Roman" w:hAnsi="Times New Roman" w:cs="Times New Roman"/>
                <w:sz w:val="20"/>
                <w:szCs w:val="20"/>
                <w:lang w:val="en-US" w:eastAsia="zh-CN" w:bidi="ar"/>
              </w:rPr>
              <w:t>2020年考核结果，评审为优，计</w:t>
            </w:r>
            <w:r>
              <w:rPr>
                <w:rStyle w:val="12"/>
                <w:rFonts w:hint="default" w:ascii="Times New Roman" w:hAnsi="Times New Roman" w:eastAsia="宋体" w:cs="Times New Roman"/>
                <w:sz w:val="20"/>
                <w:szCs w:val="20"/>
                <w:lang w:val="en-US" w:eastAsia="zh-CN" w:bidi="ar"/>
              </w:rPr>
              <w:t>4</w:t>
            </w:r>
            <w:r>
              <w:rPr>
                <w:rStyle w:val="11"/>
                <w:rFonts w:hint="default" w:ascii="Times New Roman" w:hAnsi="Times New Roman" w:cs="Times New Roman"/>
                <w:sz w:val="20"/>
                <w:szCs w:val="20"/>
                <w:lang w:val="en-US" w:eastAsia="zh-CN" w:bidi="ar"/>
              </w:rPr>
              <w:t>分；评审为良，计</w:t>
            </w:r>
            <w:r>
              <w:rPr>
                <w:rStyle w:val="12"/>
                <w:rFonts w:hint="default" w:ascii="Times New Roman" w:hAnsi="Times New Roman" w:eastAsia="宋体" w:cs="Times New Roman"/>
                <w:sz w:val="20"/>
                <w:szCs w:val="20"/>
                <w:lang w:val="en-US" w:eastAsia="zh-CN" w:bidi="ar"/>
              </w:rPr>
              <w:t>3</w:t>
            </w:r>
            <w:r>
              <w:rPr>
                <w:rStyle w:val="11"/>
                <w:rFonts w:hint="default" w:ascii="Times New Roman" w:hAnsi="Times New Roman" w:cs="Times New Roman"/>
                <w:sz w:val="20"/>
                <w:szCs w:val="20"/>
                <w:lang w:val="en-US" w:eastAsia="zh-CN" w:bidi="ar"/>
              </w:rPr>
              <w:t>分；评审为中，计</w:t>
            </w:r>
            <w:r>
              <w:rPr>
                <w:rStyle w:val="12"/>
                <w:rFonts w:hint="default" w:ascii="Times New Roman" w:hAnsi="Times New Roman" w:eastAsia="宋体" w:cs="Times New Roman"/>
                <w:sz w:val="20"/>
                <w:szCs w:val="20"/>
                <w:lang w:val="en-US" w:eastAsia="zh-CN" w:bidi="ar"/>
              </w:rPr>
              <w:t>2</w:t>
            </w:r>
            <w:r>
              <w:rPr>
                <w:rStyle w:val="11"/>
                <w:rFonts w:hint="default" w:ascii="Times New Roman" w:hAnsi="Times New Roman" w:cs="Times New Roman"/>
                <w:sz w:val="20"/>
                <w:szCs w:val="20"/>
                <w:lang w:val="en-US" w:eastAsia="zh-CN" w:bidi="ar"/>
              </w:rPr>
              <w:t>分；评审为低，计</w:t>
            </w:r>
            <w:r>
              <w:rPr>
                <w:rStyle w:val="12"/>
                <w:rFonts w:hint="default" w:ascii="Times New Roman" w:hAnsi="Times New Roman" w:eastAsia="宋体" w:cs="Times New Roman"/>
                <w:sz w:val="20"/>
                <w:szCs w:val="20"/>
                <w:lang w:val="en-US" w:eastAsia="zh-CN" w:bidi="ar"/>
              </w:rPr>
              <w:t>1</w:t>
            </w:r>
            <w:r>
              <w:rPr>
                <w:rStyle w:val="11"/>
                <w:rFonts w:hint="default" w:ascii="Times New Roman" w:hAnsi="Times New Roman" w:cs="Times New Roman"/>
                <w:sz w:val="20"/>
                <w:szCs w:val="20"/>
                <w:lang w:val="en-US" w:eastAsia="zh-CN" w:bidi="ar"/>
              </w:rPr>
              <w:t>分；评审为差，计</w:t>
            </w:r>
            <w:r>
              <w:rPr>
                <w:rStyle w:val="12"/>
                <w:rFonts w:hint="default" w:ascii="Times New Roman" w:hAnsi="Times New Roman" w:eastAsia="宋体" w:cs="Times New Roman"/>
                <w:sz w:val="20"/>
                <w:szCs w:val="20"/>
                <w:lang w:val="en-US" w:eastAsia="zh-CN" w:bidi="ar"/>
              </w:rPr>
              <w:t>0</w:t>
            </w:r>
            <w:r>
              <w:rPr>
                <w:rStyle w:val="11"/>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1"/>
                <w:rFonts w:hint="default" w:ascii="Times New Roman" w:hAnsi="Times New Roman" w:cs="Times New Roman"/>
                <w:sz w:val="20"/>
                <w:szCs w:val="20"/>
                <w:lang w:val="en-US" w:eastAsia="zh-CN" w:bidi="ar"/>
              </w:rPr>
            </w:pPr>
            <w:r>
              <w:rPr>
                <w:rStyle w:val="11"/>
                <w:rFonts w:hint="eastAsia" w:cs="Times New Roman"/>
                <w:sz w:val="20"/>
                <w:szCs w:val="20"/>
                <w:lang w:val="en-US" w:eastAsia="zh-CN" w:bidi="ar"/>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重点绩效评价整改情况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对上年度财政重点评价中存在的问题是否进行整改。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2019年重点评价问题全部整改，计</w:t>
            </w:r>
            <w:r>
              <w:rPr>
                <w:rStyle w:val="12"/>
                <w:rFonts w:hint="default" w:ascii="Times New Roman" w:hAnsi="Times New Roman" w:eastAsia="宋体" w:cs="Times New Roman"/>
                <w:sz w:val="20"/>
                <w:szCs w:val="20"/>
                <w:lang w:val="en-US" w:eastAsia="zh-CN" w:bidi="ar"/>
              </w:rPr>
              <w:t>5</w:t>
            </w:r>
            <w:r>
              <w:rPr>
                <w:rStyle w:val="11"/>
                <w:rFonts w:hint="default" w:ascii="Times New Roman" w:hAnsi="Times New Roman" w:cs="Times New Roman"/>
                <w:sz w:val="20"/>
                <w:szCs w:val="20"/>
                <w:lang w:val="en-US" w:eastAsia="zh-CN" w:bidi="ar"/>
              </w:rPr>
              <w:t>分；2019年重点评价问题部分整改，计</w:t>
            </w:r>
            <w:r>
              <w:rPr>
                <w:rStyle w:val="12"/>
                <w:rFonts w:hint="default" w:ascii="Times New Roman" w:hAnsi="Times New Roman" w:eastAsia="宋体" w:cs="Times New Roman"/>
                <w:sz w:val="20"/>
                <w:szCs w:val="20"/>
                <w:lang w:val="en-US" w:eastAsia="zh-CN" w:bidi="ar"/>
              </w:rPr>
              <w:t>3</w:t>
            </w:r>
            <w:r>
              <w:rPr>
                <w:rStyle w:val="11"/>
                <w:rFonts w:hint="default" w:ascii="Times New Roman" w:hAnsi="Times New Roman" w:cs="Times New Roman"/>
                <w:sz w:val="20"/>
                <w:szCs w:val="20"/>
                <w:lang w:val="en-US" w:eastAsia="zh-CN" w:bidi="ar"/>
              </w:rPr>
              <w:t>分；2019年重点评价问题未整改且无整改情况说明的不计分。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1"/>
                <w:rFonts w:hint="default" w:ascii="Times New Roman" w:hAnsi="Times New Roman" w:cs="Times New Roman"/>
                <w:sz w:val="20"/>
                <w:szCs w:val="20"/>
                <w:lang w:val="en-US" w:eastAsia="zh-CN" w:bidi="ar"/>
              </w:rPr>
            </w:pPr>
            <w:r>
              <w:rPr>
                <w:rStyle w:val="11"/>
                <w:rFonts w:hint="eastAsia" w:cs="Times New Roman"/>
                <w:sz w:val="20"/>
                <w:szCs w:val="20"/>
                <w:lang w:val="en-US" w:eastAsia="zh-CN" w:bidi="ar"/>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资产</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管理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w:t>
            </w:r>
            <w:r>
              <w:rPr>
                <w:rStyle w:val="12"/>
                <w:rFonts w:hint="default" w:ascii="Times New Roman" w:hAnsi="Times New Roman" w:eastAsia="宋体" w:cs="Times New Roman"/>
                <w:sz w:val="20"/>
                <w:szCs w:val="20"/>
                <w:lang w:val="en-US" w:eastAsia="zh-CN" w:bidi="ar"/>
              </w:rPr>
              <w:t>5</w:t>
            </w:r>
            <w:r>
              <w:rPr>
                <w:rStyle w:val="11"/>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管理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①是否已制定合法、合规、完整的资产管理制度；</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②相关资产管理制度是否得到有效执行；</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③资产配置是否编制年度预算；</w:t>
            </w:r>
            <w:r>
              <w:rPr>
                <w:rStyle w:val="11"/>
                <w:rFonts w:hint="default" w:ascii="Times New Roman" w:hAnsi="Times New Roman"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④资产配置预算实际执行情况。</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①已制定合法、合规、完整的资产管理制度，计</w:t>
            </w:r>
            <w:r>
              <w:rPr>
                <w:rStyle w:val="12"/>
                <w:rFonts w:hint="default" w:ascii="Times New Roman" w:hAnsi="Times New Roman" w:eastAsia="宋体" w:cs="Times New Roman"/>
                <w:sz w:val="20"/>
                <w:szCs w:val="20"/>
                <w:lang w:val="en-US" w:eastAsia="zh-CN" w:bidi="ar"/>
              </w:rPr>
              <w:t>0.5</w:t>
            </w:r>
            <w:r>
              <w:rPr>
                <w:rStyle w:val="11"/>
                <w:rFonts w:hint="default" w:ascii="Times New Roman" w:hAnsi="Times New Roman" w:cs="Times New Roman"/>
                <w:sz w:val="20"/>
                <w:szCs w:val="20"/>
                <w:lang w:val="en-US" w:eastAsia="zh-CN" w:bidi="ar"/>
              </w:rPr>
              <w:t>分，否则不得分；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②相关资产管理制度得到有效执行，计</w:t>
            </w:r>
            <w:r>
              <w:rPr>
                <w:rStyle w:val="12"/>
                <w:rFonts w:hint="default" w:ascii="Times New Roman" w:hAnsi="Times New Roman" w:eastAsia="宋体" w:cs="Times New Roman"/>
                <w:sz w:val="20"/>
                <w:szCs w:val="20"/>
                <w:lang w:val="en-US" w:eastAsia="zh-CN" w:bidi="ar"/>
              </w:rPr>
              <w:t>0.5</w:t>
            </w:r>
            <w:r>
              <w:rPr>
                <w:rStyle w:val="11"/>
                <w:rFonts w:hint="default" w:ascii="Times New Roman" w:hAnsi="Times New Roman" w:cs="Times New Roman"/>
                <w:sz w:val="20"/>
                <w:szCs w:val="20"/>
                <w:lang w:val="en-US" w:eastAsia="zh-CN" w:bidi="ar"/>
              </w:rPr>
              <w:t>分，否则，不得分；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③资产管理编制年度预算，计</w:t>
            </w:r>
            <w:r>
              <w:rPr>
                <w:rStyle w:val="12"/>
                <w:rFonts w:hint="default" w:ascii="Times New Roman" w:hAnsi="Times New Roman" w:eastAsia="宋体" w:cs="Times New Roman"/>
                <w:sz w:val="20"/>
                <w:szCs w:val="20"/>
                <w:lang w:val="en-US" w:eastAsia="zh-CN" w:bidi="ar"/>
              </w:rPr>
              <w:t>0.5</w:t>
            </w:r>
            <w:r>
              <w:rPr>
                <w:rStyle w:val="11"/>
                <w:rFonts w:hint="default" w:ascii="Times New Roman" w:hAnsi="Times New Roman" w:cs="Times New Roman"/>
                <w:sz w:val="20"/>
                <w:szCs w:val="20"/>
                <w:lang w:val="en-US" w:eastAsia="zh-CN" w:bidi="ar"/>
              </w:rPr>
              <w:t>分，未编制不得分。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④资产配置预算实际执行情况未超年度预算（按程序审批除外），计</w:t>
            </w:r>
            <w:r>
              <w:rPr>
                <w:rStyle w:val="12"/>
                <w:rFonts w:hint="default" w:ascii="Times New Roman" w:hAnsi="Times New Roman" w:eastAsia="宋体" w:cs="Times New Roman"/>
                <w:sz w:val="20"/>
                <w:szCs w:val="20"/>
                <w:lang w:val="en-US" w:eastAsia="zh-CN" w:bidi="ar"/>
              </w:rPr>
              <w:t>0.5</w:t>
            </w:r>
            <w:r>
              <w:rPr>
                <w:rStyle w:val="11"/>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1"/>
                <w:rFonts w:hint="default" w:ascii="Times New Roman" w:hAnsi="Times New Roman" w:cs="Times New Roman"/>
                <w:sz w:val="20"/>
                <w:szCs w:val="20"/>
                <w:lang w:val="en-US" w:eastAsia="zh-CN" w:bidi="ar"/>
              </w:rPr>
            </w:pPr>
            <w:r>
              <w:rPr>
                <w:rStyle w:val="11"/>
                <w:rFonts w:hint="eastAsia" w:cs="Times New Roman"/>
                <w:sz w:val="20"/>
                <w:szCs w:val="20"/>
                <w:lang w:val="en-US" w:eastAsia="zh-CN" w:bidi="ar"/>
              </w:rPr>
              <w:t xml:space="preserv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资产管理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安全性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①资产保存是否完整并有台账；</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②资产配置是否合理；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③资产处置是否规范；</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④资产账务管理是否合规，是否</w:t>
            </w:r>
            <w:r>
              <w:rPr>
                <w:rStyle w:val="11"/>
                <w:rFonts w:hint="eastAsia" w:cs="Times New Roman"/>
                <w:sz w:val="20"/>
                <w:szCs w:val="20"/>
                <w:lang w:val="en-US" w:eastAsia="zh-CN" w:bidi="ar"/>
              </w:rPr>
              <w:t>账</w:t>
            </w:r>
            <w:r>
              <w:rPr>
                <w:rStyle w:val="11"/>
                <w:rFonts w:hint="default" w:ascii="Times New Roman" w:hAnsi="Times New Roman" w:cs="Times New Roman"/>
                <w:sz w:val="20"/>
                <w:szCs w:val="20"/>
                <w:lang w:val="en-US" w:eastAsia="zh-CN" w:bidi="ar"/>
              </w:rPr>
              <w:t>实相符；</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⑤资产是否有偿使用或处置收入及时足额上缴；</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⑥相关资产购置是否履行政府采购手续；</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⑦资产是否定期进行盘点并有记录。</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12"/>
                <w:rFonts w:hint="default" w:ascii="Times New Roman" w:hAnsi="Times New Roman" w:eastAsia="宋体" w:cs="Times New Roman"/>
                <w:sz w:val="20"/>
                <w:szCs w:val="20"/>
                <w:lang w:val="en-US" w:eastAsia="zh-CN" w:bidi="ar"/>
              </w:rPr>
              <w:t>0.5</w:t>
            </w:r>
            <w:r>
              <w:rPr>
                <w:rStyle w:val="11"/>
                <w:rFonts w:hint="default" w:ascii="Times New Roman" w:hAnsi="Times New Roman" w:cs="Times New Roman"/>
                <w:sz w:val="20"/>
                <w:szCs w:val="20"/>
                <w:lang w:val="en-US" w:eastAsia="zh-CN" w:bidi="ar"/>
              </w:rPr>
              <w:t>分，发现一例不符，扣</w:t>
            </w:r>
            <w:r>
              <w:rPr>
                <w:rStyle w:val="12"/>
                <w:rFonts w:hint="default" w:ascii="Times New Roman" w:hAnsi="Times New Roman" w:eastAsia="宋体" w:cs="Times New Roman"/>
                <w:sz w:val="20"/>
                <w:szCs w:val="20"/>
                <w:lang w:val="en-US" w:eastAsia="zh-CN" w:bidi="ar"/>
              </w:rPr>
              <w:t>0.1</w:t>
            </w:r>
            <w:r>
              <w:rPr>
                <w:rStyle w:val="11"/>
                <w:rFonts w:hint="default" w:ascii="Times New Roman" w:hAnsi="Times New Roman" w:cs="Times New Roman"/>
                <w:sz w:val="20"/>
                <w:szCs w:val="20"/>
                <w:lang w:val="en-US" w:eastAsia="zh-CN" w:bidi="ar"/>
              </w:rPr>
              <w:t>分，扣完为止；</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②资产处置规范，计0.5分，发现一例不符，扣0.1分，扣完为止；</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③资产有偿使用或处置收入及时足额上缴，计0.5分，发现未上缴，本项不得分；</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④资产购置履行政府采购手续，计0.5分，发现一例不符，扣0.1分，扣完为止；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1"/>
                <w:rFonts w:hint="default" w:ascii="Times New Roman" w:hAnsi="Times New Roman" w:cs="Times New Roman"/>
                <w:sz w:val="20"/>
                <w:szCs w:val="20"/>
                <w:lang w:val="en-US" w:eastAsia="zh-CN" w:bidi="ar"/>
              </w:rPr>
            </w:pPr>
            <w:r>
              <w:rPr>
                <w:rStyle w:val="11"/>
                <w:rFonts w:hint="eastAsia" w:cs="Times New Roman"/>
                <w:sz w:val="20"/>
                <w:szCs w:val="20"/>
                <w:lang w:val="en-US" w:eastAsia="zh-CN" w:bidi="ar"/>
              </w:rPr>
              <w:t xml:space="preserve">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cs="Times New Roman"/>
                <w:sz w:val="20"/>
                <w:szCs w:val="20"/>
                <w:lang w:val="en-US" w:eastAsia="zh-CN" w:bidi="ar"/>
              </w:rPr>
              <w:t>固定资产</w:t>
            </w:r>
            <w:r>
              <w:rPr>
                <w:rStyle w:val="12"/>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保管和使用情况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完成率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及时性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达标率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重点工作办结率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经济效益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16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社会效益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生态效益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社会公众或服务对象满意度</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37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1"/>
                <w:rFonts w:hint="default" w:ascii="Times New Roman" w:hAnsi="Times New Roman" w:cs="Times New Roman"/>
                <w:sz w:val="20"/>
                <w:szCs w:val="20"/>
                <w:lang w:val="en-US" w:eastAsia="zh-CN" w:bidi="ar"/>
              </w:rPr>
            </w:pP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86.2</w:t>
            </w:r>
          </w:p>
        </w:tc>
      </w:tr>
    </w:tbl>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3</w:t>
      </w:r>
    </w:p>
    <w:p>
      <w:pPr>
        <w:jc w:val="left"/>
        <w:rPr>
          <w:rFonts w:hint="eastAsia" w:ascii="仿宋_GB2312" w:hAnsi="仿宋_GB2312" w:eastAsia="仿宋_GB2312" w:cs="仿宋_GB2312"/>
          <w:kern w:val="0"/>
          <w:sz w:val="32"/>
          <w:szCs w:val="32"/>
          <w:lang w:val="en-US" w:eastAsia="zh-CN"/>
        </w:rPr>
      </w:pP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2020</w:t>
      </w:r>
      <w:r>
        <w:rPr>
          <w:rFonts w:hint="eastAsia" w:ascii="仿宋_GB2312" w:hAnsi="仿宋_GB2312" w:eastAsia="仿宋_GB2312" w:cs="仿宋_GB2312"/>
          <w:b/>
          <w:bCs/>
          <w:sz w:val="44"/>
          <w:szCs w:val="44"/>
        </w:rPr>
        <w:t>年度</w:t>
      </w:r>
      <w:r>
        <w:rPr>
          <w:rFonts w:hint="eastAsia" w:ascii="仿宋_GB2312" w:hAnsi="仿宋_GB2312" w:eastAsia="仿宋_GB2312" w:cs="仿宋_GB2312"/>
          <w:b/>
          <w:bCs/>
          <w:sz w:val="44"/>
          <w:szCs w:val="44"/>
          <w:lang w:eastAsia="zh-CN"/>
        </w:rPr>
        <w:t>高桥街道办事处</w:t>
      </w:r>
      <w:r>
        <w:rPr>
          <w:rFonts w:hint="eastAsia" w:ascii="仿宋_GB2312" w:hAnsi="仿宋_GB2312" w:eastAsia="仿宋_GB2312" w:cs="仿宋_GB2312"/>
          <w:b/>
          <w:bCs/>
          <w:sz w:val="44"/>
          <w:szCs w:val="44"/>
        </w:rPr>
        <w:t>整体支出预算绩效</w:t>
      </w: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单位名称（盖章）：</w:t>
      </w: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pStyle w:val="15"/>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单位</w:t>
      </w:r>
      <w:r>
        <w:rPr>
          <w:rFonts w:hint="eastAsia" w:ascii="仿宋_GB2312" w:hAnsi="仿宋_GB2312" w:eastAsia="仿宋_GB2312" w:cs="仿宋_GB2312"/>
          <w:b/>
          <w:bCs/>
          <w:sz w:val="32"/>
          <w:szCs w:val="32"/>
        </w:rPr>
        <w:t>基本情况</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eastAsia="zh-CN"/>
        </w:rPr>
        <w:t>单位</w:t>
      </w:r>
      <w:r>
        <w:rPr>
          <w:rFonts w:hint="eastAsia" w:ascii="仿宋_GB2312" w:eastAsia="仿宋_GB2312"/>
          <w:sz w:val="30"/>
          <w:szCs w:val="30"/>
        </w:rPr>
        <w:t>基本情况</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1、在职人员情况</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高桥街道现有行政编制16人，事业编制36人。其中：在职在编（含引进人才、随军家属）：</w:t>
      </w:r>
      <w:r>
        <w:rPr>
          <w:rFonts w:hint="eastAsia" w:ascii="仿宋" w:hAnsi="仿宋" w:eastAsia="仿宋"/>
          <w:sz w:val="32"/>
          <w:szCs w:val="32"/>
          <w:lang w:val="en-US" w:eastAsia="zh-CN"/>
        </w:rPr>
        <w:t>44</w:t>
      </w:r>
      <w:r>
        <w:rPr>
          <w:rFonts w:hint="eastAsia" w:ascii="仿宋" w:hAnsi="仿宋" w:eastAsia="仿宋"/>
          <w:sz w:val="32"/>
          <w:szCs w:val="32"/>
        </w:rPr>
        <w:t>人、纳入社保退休人员：</w:t>
      </w:r>
      <w:r>
        <w:rPr>
          <w:rFonts w:hint="eastAsia" w:ascii="仿宋" w:hAnsi="仿宋" w:eastAsia="仿宋"/>
          <w:sz w:val="32"/>
          <w:szCs w:val="32"/>
          <w:lang w:val="en-US" w:eastAsia="zh-CN"/>
        </w:rPr>
        <w:t>10</w:t>
      </w:r>
      <w:r>
        <w:rPr>
          <w:rFonts w:hint="eastAsia" w:ascii="仿宋" w:hAnsi="仿宋" w:eastAsia="仿宋"/>
          <w:sz w:val="32"/>
          <w:szCs w:val="32"/>
        </w:rPr>
        <w:t>人、自收自支退休人员:2人、挂编学生：1人、机关雇员：</w:t>
      </w:r>
      <w:r>
        <w:rPr>
          <w:rFonts w:hint="eastAsia" w:ascii="仿宋" w:hAnsi="仿宋" w:eastAsia="仿宋"/>
          <w:sz w:val="32"/>
          <w:szCs w:val="32"/>
          <w:lang w:val="en-US" w:eastAsia="zh-CN"/>
        </w:rPr>
        <w:t>3</w:t>
      </w:r>
      <w:r>
        <w:rPr>
          <w:rFonts w:hint="eastAsia" w:ascii="仿宋" w:hAnsi="仿宋" w:eastAsia="仿宋"/>
          <w:sz w:val="32"/>
          <w:szCs w:val="32"/>
        </w:rPr>
        <w:t>2人。</w:t>
      </w:r>
    </w:p>
    <w:p>
      <w:pPr>
        <w:keepNext w:val="0"/>
        <w:keepLines w:val="0"/>
        <w:pageBreakBefore w:val="0"/>
        <w:numPr>
          <w:ilvl w:val="0"/>
          <w:numId w:val="2"/>
        </w:numPr>
        <w:kinsoku/>
        <w:wordWrap/>
        <w:overflowPunct/>
        <w:topLinePunct w:val="0"/>
        <w:autoSpaceDE/>
        <w:autoSpaceDN/>
        <w:bidi w:val="0"/>
        <w:adjustRightInd/>
        <w:spacing w:line="560" w:lineRule="exact"/>
        <w:ind w:firstLine="960" w:firstLineChars="300"/>
        <w:textAlignment w:val="auto"/>
        <w:rPr>
          <w:rFonts w:hint="eastAsia" w:ascii="仿宋" w:hAnsi="仿宋" w:eastAsia="仿宋"/>
          <w:sz w:val="32"/>
          <w:szCs w:val="32"/>
        </w:rPr>
      </w:pPr>
      <w:r>
        <w:rPr>
          <w:rFonts w:hint="eastAsia" w:ascii="仿宋" w:hAnsi="仿宋" w:eastAsia="仿宋"/>
          <w:sz w:val="32"/>
          <w:szCs w:val="32"/>
        </w:rPr>
        <w:t>机构设置</w:t>
      </w:r>
    </w:p>
    <w:p>
      <w:pPr>
        <w:keepNext w:val="0"/>
        <w:keepLines w:val="0"/>
        <w:pageBreakBefore w:val="0"/>
        <w:numPr>
          <w:ilvl w:val="0"/>
          <w:numId w:val="3"/>
        </w:numPr>
        <w:kinsoku/>
        <w:wordWrap/>
        <w:overflowPunct/>
        <w:topLinePunct w:val="0"/>
        <w:autoSpaceDE/>
        <w:autoSpaceDN/>
        <w:bidi w:val="0"/>
        <w:adjustRightInd/>
        <w:spacing w:line="560" w:lineRule="exact"/>
        <w:ind w:firstLine="796" w:firstLineChars="249"/>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高桥街道机关本级，包括党政综合办公室、</w:t>
      </w:r>
      <w:r>
        <w:rPr>
          <w:rFonts w:hint="eastAsia" w:ascii="仿宋_GB2312" w:hAnsi="宋体" w:eastAsia="仿宋_GB2312" w:cs="宋体"/>
          <w:color w:val="auto"/>
          <w:kern w:val="0"/>
          <w:sz w:val="32"/>
          <w:szCs w:val="32"/>
          <w:lang w:eastAsia="zh-CN"/>
        </w:rPr>
        <w:t>基层党建办公室、城市管理办公室（区域建设服务办公室）、公共服务</w:t>
      </w:r>
      <w:r>
        <w:rPr>
          <w:rFonts w:hint="eastAsia" w:ascii="仿宋_GB2312" w:hAnsi="宋体" w:eastAsia="仿宋_GB2312" w:cs="宋体"/>
          <w:color w:val="auto"/>
          <w:kern w:val="0"/>
          <w:sz w:val="32"/>
          <w:szCs w:val="32"/>
        </w:rPr>
        <w:t>办公室（</w:t>
      </w:r>
      <w:r>
        <w:rPr>
          <w:rFonts w:hint="eastAsia" w:ascii="仿宋_GB2312" w:hAnsi="宋体" w:eastAsia="仿宋_GB2312" w:cs="宋体"/>
          <w:color w:val="auto"/>
          <w:kern w:val="0"/>
          <w:sz w:val="32"/>
          <w:szCs w:val="32"/>
          <w:lang w:eastAsia="zh-CN"/>
        </w:rPr>
        <w:t>行政审批服务办公室、优化营商环境服务办公室</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公共安全办公室</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rPr>
        <w:t>财政所（加挂“三资”监管服务中心、审计站的牌子）</w:t>
      </w:r>
      <w:r>
        <w:rPr>
          <w:rFonts w:hint="eastAsia" w:ascii="仿宋_GB2312" w:hAnsi="宋体" w:eastAsia="仿宋_GB2312" w:cs="宋体"/>
          <w:color w:val="auto"/>
          <w:kern w:val="0"/>
          <w:sz w:val="32"/>
          <w:szCs w:val="32"/>
          <w:lang w:eastAsia="zh-CN"/>
        </w:rPr>
        <w:t>、人力资源和社会保障服务站、社会救助工作站</w:t>
      </w:r>
      <w:r>
        <w:rPr>
          <w:rFonts w:hint="eastAsia" w:ascii="仿宋_GB2312" w:hAnsi="宋体" w:eastAsia="仿宋_GB2312" w:cs="宋体"/>
          <w:color w:val="auto"/>
          <w:kern w:val="0"/>
          <w:sz w:val="32"/>
          <w:szCs w:val="32"/>
          <w:lang w:val="en-US" w:eastAsia="zh-CN"/>
        </w:rPr>
        <w:t>8个内设机构</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街道</w:t>
      </w:r>
      <w:r>
        <w:rPr>
          <w:rFonts w:hint="eastAsia" w:ascii="仿宋_GB2312" w:hAnsi="宋体" w:eastAsia="仿宋_GB2312" w:cs="宋体"/>
          <w:color w:val="auto"/>
          <w:kern w:val="0"/>
          <w:sz w:val="32"/>
          <w:szCs w:val="32"/>
        </w:rPr>
        <w:t>政务服务中心</w:t>
      </w:r>
      <w:r>
        <w:rPr>
          <w:rFonts w:hint="eastAsia" w:ascii="仿宋_GB2312" w:hAnsi="宋体" w:eastAsia="仿宋_GB2312" w:cs="宋体"/>
          <w:color w:val="auto"/>
          <w:kern w:val="0"/>
          <w:sz w:val="32"/>
          <w:szCs w:val="32"/>
          <w:lang w:eastAsia="zh-CN"/>
        </w:rPr>
        <w:t>（街道党群服务中心）</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街道网格化综合服务中心</w:t>
      </w:r>
      <w:r>
        <w:rPr>
          <w:rFonts w:hint="eastAsia" w:ascii="仿宋_GB2312" w:hAnsi="宋体" w:eastAsia="仿宋_GB2312" w:cs="宋体"/>
          <w:color w:val="auto"/>
          <w:kern w:val="0"/>
          <w:sz w:val="32"/>
          <w:szCs w:val="32"/>
          <w:lang w:val="en-US" w:eastAsia="zh-CN"/>
        </w:rPr>
        <w:t>2个公益一类</w:t>
      </w:r>
      <w:r>
        <w:rPr>
          <w:rFonts w:hint="eastAsia" w:ascii="仿宋_GB2312" w:hAnsi="宋体" w:eastAsia="仿宋_GB2312" w:cs="宋体"/>
          <w:color w:val="auto"/>
          <w:kern w:val="0"/>
          <w:sz w:val="32"/>
          <w:szCs w:val="32"/>
        </w:rPr>
        <w:t>事业单位。</w:t>
      </w:r>
      <w:r>
        <w:rPr>
          <w:rFonts w:hint="eastAsia" w:ascii="仿宋_GB2312" w:hAnsi="宋体" w:eastAsia="仿宋_GB2312" w:cs="宋体"/>
          <w:color w:val="auto"/>
          <w:kern w:val="0"/>
          <w:sz w:val="32"/>
          <w:szCs w:val="32"/>
          <w:lang w:val="en-US" w:eastAsia="zh-CN"/>
        </w:rPr>
        <w:t xml:space="preserve"> </w:t>
      </w:r>
    </w:p>
    <w:p>
      <w:pPr>
        <w:keepNext w:val="0"/>
        <w:keepLines w:val="0"/>
        <w:pageBreakBefore w:val="0"/>
        <w:numPr>
          <w:ilvl w:val="0"/>
          <w:numId w:val="3"/>
        </w:numPr>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派驻机构：司法所</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（3）各社区（集资委）。</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3、主要职能</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）统筹区域发展。统筹落实市、区关于辖区发展的重大决策和建设规划,负责优化发展环境、采集企业信息、服务辖区企业、促进项目发展、加快农业农村现代化等工作。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rPr>
        <w:t>）组织公共服务。组织实施与居民生活密切相关的各项公共服务事项,落实人力资源社会保障、民政、教育、文化、体育、卫生健康等领域相关法规政策。</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（4）实施公共管理。负责辖区内城市管理等综合性管理工作,承担组织领导和综合协调职能。</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（5）维护公共安全。承担辖区内社会治安综合治理、应急管理等有关工作,接待群众来信来访,反映社情民意,化解矛盾纠纷等。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（6）监督执法管理。对辖区内各类行政执法工作进行统筹协调,组织开展群众监督和社会监督。</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（7）动员社会参与。动员辖区内各类单位、社会组织、社区居民等社会力量参与社会治理,为街道发展服务。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（8）保障社区自治。指导社区居委会建设,健全社区自治平台,组织驻区单位和社区居民参与社区建设、管理。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（9）完成上级党委、人民政府交办的其他任务。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（10）职能转变。一是取消城区街道招商引资、协税护税职能,将街</w:t>
      </w:r>
      <w:r>
        <w:rPr>
          <w:rFonts w:hint="eastAsia" w:ascii="仿宋_GB2312" w:eastAsia="仿宋_GB2312"/>
          <w:sz w:val="32"/>
          <w:szCs w:val="32"/>
        </w:rPr>
        <w:t>道工作重心转为优化公共服务,为经济社会发展提供良好的营商环境。二是全面加强基层党的建设,提升党建引领城市基层治理的能力；加强对辖区内城市管理工作的组织实施和统筹协调职责；加强辖区内与居民密切相关的行政审批和公共服务事项的组织实施职责；加强维护辖区公共安全职责。</w:t>
      </w:r>
    </w:p>
    <w:p>
      <w:pPr>
        <w:keepNext w:val="0"/>
        <w:keepLines w:val="0"/>
        <w:pageBreakBefore w:val="0"/>
        <w:kinsoku/>
        <w:wordWrap/>
        <w:overflowPunct/>
        <w:topLinePunct w:val="0"/>
        <w:autoSpaceDE/>
        <w:autoSpaceDN/>
        <w:bidi w:val="0"/>
        <w:adjustRightInd/>
        <w:spacing w:line="560" w:lineRule="exact"/>
        <w:textAlignment w:val="auto"/>
        <w:rPr>
          <w:rFonts w:hint="eastAsia" w:ascii="楷体" w:hAnsi="楷体" w:eastAsia="楷体"/>
          <w:sz w:val="32"/>
          <w:szCs w:val="32"/>
        </w:rPr>
      </w:pPr>
      <w:r>
        <w:rPr>
          <w:rFonts w:hint="eastAsia" w:ascii="楷体" w:hAnsi="楷体" w:eastAsia="楷体"/>
          <w:sz w:val="32"/>
          <w:szCs w:val="32"/>
        </w:rPr>
        <w:t>（二）部门整体支出情况</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1、支出规模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年，街道共计支出</w:t>
      </w:r>
      <w:r>
        <w:rPr>
          <w:rFonts w:hint="eastAsia" w:ascii="仿宋" w:hAnsi="仿宋" w:eastAsia="仿宋"/>
          <w:sz w:val="32"/>
          <w:szCs w:val="32"/>
          <w:lang w:val="en-US" w:eastAsia="zh-CN"/>
        </w:rPr>
        <w:t>7270.5</w:t>
      </w:r>
      <w:r>
        <w:rPr>
          <w:rFonts w:hint="eastAsia" w:ascii="仿宋" w:hAnsi="仿宋" w:eastAsia="仿宋"/>
          <w:sz w:val="32"/>
          <w:szCs w:val="32"/>
        </w:rPr>
        <w:t xml:space="preserve">万元，其中基本支出  </w:t>
      </w:r>
      <w:r>
        <w:rPr>
          <w:rFonts w:hint="eastAsia" w:ascii="仿宋" w:hAnsi="仿宋" w:eastAsia="仿宋"/>
          <w:sz w:val="32"/>
          <w:szCs w:val="32"/>
          <w:lang w:val="en-US" w:eastAsia="zh-CN"/>
        </w:rPr>
        <w:t>1759.9</w:t>
      </w:r>
      <w:r>
        <w:rPr>
          <w:rFonts w:hint="eastAsia" w:ascii="仿宋" w:hAnsi="仿宋" w:eastAsia="仿宋"/>
          <w:sz w:val="32"/>
          <w:szCs w:val="32"/>
        </w:rPr>
        <w:t>万元，项目支出</w:t>
      </w:r>
      <w:r>
        <w:rPr>
          <w:rFonts w:hint="eastAsia" w:ascii="仿宋" w:hAnsi="仿宋" w:eastAsia="仿宋"/>
          <w:sz w:val="32"/>
          <w:szCs w:val="32"/>
          <w:lang w:val="en-US" w:eastAsia="zh-CN"/>
        </w:rPr>
        <w:t>5510.6</w:t>
      </w:r>
      <w:r>
        <w:rPr>
          <w:rFonts w:hint="eastAsia" w:ascii="仿宋" w:hAnsi="仿宋" w:eastAsia="仿宋"/>
          <w:sz w:val="32"/>
          <w:szCs w:val="32"/>
        </w:rPr>
        <w:t>万元。</w:t>
      </w:r>
    </w:p>
    <w:p>
      <w:pPr>
        <w:keepNext w:val="0"/>
        <w:keepLines w:val="0"/>
        <w:pageBreakBefore w:val="0"/>
        <w:kinsoku/>
        <w:wordWrap/>
        <w:overflowPunct/>
        <w:topLinePunct w:val="0"/>
        <w:autoSpaceDE/>
        <w:autoSpaceDN/>
        <w:bidi w:val="0"/>
        <w:adjustRightInd/>
        <w:spacing w:line="560" w:lineRule="exact"/>
        <w:ind w:firstLine="630"/>
        <w:textAlignment w:val="auto"/>
        <w:rPr>
          <w:rFonts w:hint="eastAsia" w:ascii="仿宋" w:hAnsi="仿宋" w:eastAsia="仿宋"/>
          <w:sz w:val="32"/>
          <w:szCs w:val="32"/>
        </w:rPr>
      </w:pPr>
      <w:r>
        <w:rPr>
          <w:rFonts w:hint="eastAsia" w:ascii="仿宋" w:hAnsi="仿宋" w:eastAsia="仿宋"/>
          <w:sz w:val="32"/>
          <w:szCs w:val="32"/>
        </w:rPr>
        <w:t>2、使用方向</w:t>
      </w:r>
    </w:p>
    <w:p>
      <w:pPr>
        <w:keepNext w:val="0"/>
        <w:keepLines w:val="0"/>
        <w:pageBreakBefore w:val="0"/>
        <w:kinsoku/>
        <w:wordWrap/>
        <w:overflowPunct/>
        <w:topLinePunct w:val="0"/>
        <w:autoSpaceDE/>
        <w:autoSpaceDN/>
        <w:bidi w:val="0"/>
        <w:adjustRightInd/>
        <w:spacing w:line="560" w:lineRule="exact"/>
        <w:ind w:firstLine="630"/>
        <w:textAlignment w:val="auto"/>
        <w:rPr>
          <w:rFonts w:hint="eastAsia" w:ascii="仿宋" w:hAnsi="仿宋" w:eastAsia="仿宋"/>
          <w:sz w:val="32"/>
          <w:szCs w:val="32"/>
        </w:rPr>
      </w:pPr>
      <w:r>
        <w:rPr>
          <w:rFonts w:hint="eastAsia" w:ascii="仿宋" w:hAnsi="仿宋" w:eastAsia="仿宋"/>
          <w:sz w:val="32"/>
          <w:szCs w:val="32"/>
        </w:rPr>
        <w:t>一</w:t>
      </w:r>
      <w:r>
        <w:rPr>
          <w:rFonts w:ascii="仿宋" w:hAnsi="仿宋" w:eastAsia="仿宋"/>
          <w:sz w:val="32"/>
          <w:szCs w:val="32"/>
        </w:rPr>
        <w:t>般</w:t>
      </w:r>
      <w:r>
        <w:rPr>
          <w:rFonts w:hint="eastAsia" w:ascii="仿宋" w:hAnsi="仿宋" w:eastAsia="仿宋"/>
          <w:sz w:val="32"/>
          <w:szCs w:val="32"/>
        </w:rPr>
        <w:t>公共</w:t>
      </w:r>
      <w:r>
        <w:rPr>
          <w:rFonts w:ascii="仿宋" w:hAnsi="仿宋" w:eastAsia="仿宋"/>
          <w:sz w:val="32"/>
          <w:szCs w:val="32"/>
        </w:rPr>
        <w:t>服务支出</w:t>
      </w:r>
      <w:r>
        <w:rPr>
          <w:rFonts w:hint="eastAsia" w:ascii="仿宋" w:hAnsi="仿宋" w:eastAsia="仿宋"/>
          <w:sz w:val="32"/>
          <w:szCs w:val="32"/>
          <w:lang w:val="en-US" w:eastAsia="zh-CN"/>
        </w:rPr>
        <w:t>2322.8</w:t>
      </w:r>
      <w:r>
        <w:rPr>
          <w:rFonts w:hint="eastAsia" w:ascii="仿宋" w:hAnsi="仿宋" w:eastAsia="仿宋"/>
          <w:sz w:val="32"/>
          <w:szCs w:val="32"/>
        </w:rPr>
        <w:t>万</w:t>
      </w:r>
      <w:r>
        <w:rPr>
          <w:rFonts w:ascii="仿宋" w:hAnsi="仿宋" w:eastAsia="仿宋"/>
          <w:sz w:val="32"/>
          <w:szCs w:val="32"/>
        </w:rPr>
        <w:t>元，公共安全支出</w:t>
      </w:r>
      <w:r>
        <w:rPr>
          <w:rFonts w:hint="eastAsia" w:ascii="仿宋" w:hAnsi="仿宋" w:eastAsia="仿宋"/>
          <w:sz w:val="32"/>
          <w:szCs w:val="32"/>
          <w:lang w:val="en-US" w:eastAsia="zh-CN"/>
        </w:rPr>
        <w:t>222</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lang w:eastAsia="zh-CN"/>
        </w:rPr>
        <w:t>文化旅游体育与传媒支出</w:t>
      </w:r>
      <w:r>
        <w:rPr>
          <w:rFonts w:hint="eastAsia" w:ascii="仿宋" w:hAnsi="仿宋" w:eastAsia="仿宋"/>
          <w:sz w:val="32"/>
          <w:szCs w:val="32"/>
          <w:lang w:val="en-US" w:eastAsia="zh-CN"/>
        </w:rPr>
        <w:t>25万元</w:t>
      </w:r>
      <w:r>
        <w:rPr>
          <w:rFonts w:hint="eastAsia" w:ascii="仿宋" w:hAnsi="仿宋" w:eastAsia="仿宋"/>
          <w:sz w:val="32"/>
          <w:szCs w:val="32"/>
        </w:rPr>
        <w:t>，</w:t>
      </w:r>
      <w:r>
        <w:rPr>
          <w:rFonts w:ascii="仿宋" w:hAnsi="仿宋" w:eastAsia="仿宋"/>
          <w:sz w:val="32"/>
          <w:szCs w:val="32"/>
        </w:rPr>
        <w:t>社会保障和就业支出</w:t>
      </w:r>
      <w:r>
        <w:rPr>
          <w:rFonts w:hint="eastAsia" w:ascii="仿宋" w:hAnsi="仿宋" w:eastAsia="仿宋"/>
          <w:sz w:val="32"/>
          <w:szCs w:val="32"/>
          <w:lang w:val="en-US" w:eastAsia="zh-CN"/>
        </w:rPr>
        <w:t>1805.5</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lang w:eastAsia="zh-CN"/>
        </w:rPr>
        <w:t>卫生健康</w:t>
      </w:r>
      <w:r>
        <w:rPr>
          <w:rFonts w:ascii="仿宋" w:hAnsi="仿宋" w:eastAsia="仿宋"/>
          <w:sz w:val="32"/>
          <w:szCs w:val="32"/>
        </w:rPr>
        <w:t>支出</w:t>
      </w:r>
      <w:r>
        <w:rPr>
          <w:rFonts w:hint="eastAsia" w:ascii="仿宋" w:hAnsi="仿宋" w:eastAsia="仿宋"/>
          <w:sz w:val="32"/>
          <w:szCs w:val="32"/>
          <w:lang w:val="en-US" w:eastAsia="zh-CN"/>
        </w:rPr>
        <w:t>218</w:t>
      </w:r>
      <w:r>
        <w:rPr>
          <w:rFonts w:hint="eastAsia" w:ascii="仿宋" w:hAnsi="仿宋" w:eastAsia="仿宋"/>
          <w:sz w:val="32"/>
          <w:szCs w:val="32"/>
        </w:rPr>
        <w:t>万元</w:t>
      </w:r>
      <w:r>
        <w:rPr>
          <w:rFonts w:ascii="仿宋" w:hAnsi="仿宋" w:eastAsia="仿宋"/>
          <w:sz w:val="32"/>
          <w:szCs w:val="32"/>
        </w:rPr>
        <w:t>，城乡社区支出</w:t>
      </w:r>
      <w:r>
        <w:rPr>
          <w:rFonts w:hint="eastAsia" w:ascii="仿宋" w:hAnsi="仿宋" w:eastAsia="仿宋"/>
          <w:sz w:val="32"/>
          <w:szCs w:val="32"/>
          <w:lang w:val="en-US" w:eastAsia="zh-CN"/>
        </w:rPr>
        <w:t>2647.2</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lang w:val="en-US" w:eastAsia="zh-CN"/>
        </w:rPr>
        <w:t>30</w:t>
      </w:r>
      <w:r>
        <w:rPr>
          <w:rFonts w:hint="eastAsia" w:ascii="仿宋" w:hAnsi="仿宋" w:eastAsia="仿宋"/>
          <w:sz w:val="32"/>
          <w:szCs w:val="32"/>
        </w:rPr>
        <w:t>万元</w:t>
      </w:r>
      <w:r>
        <w:rPr>
          <w:rFonts w:ascii="仿宋" w:hAnsi="仿宋" w:eastAsia="仿宋"/>
          <w:sz w:val="32"/>
          <w:szCs w:val="32"/>
        </w:rPr>
        <w:t>。</w:t>
      </w:r>
    </w:p>
    <w:p>
      <w:pPr>
        <w:keepNext w:val="0"/>
        <w:keepLines w:val="0"/>
        <w:pageBreakBefore w:val="0"/>
        <w:kinsoku/>
        <w:wordWrap/>
        <w:overflowPunct/>
        <w:topLinePunct w:val="0"/>
        <w:autoSpaceDE/>
        <w:autoSpaceDN/>
        <w:bidi w:val="0"/>
        <w:adjustRightInd/>
        <w:spacing w:line="560" w:lineRule="exact"/>
        <w:ind w:firstLine="630"/>
        <w:textAlignment w:val="auto"/>
        <w:rPr>
          <w:rFonts w:hint="eastAsia" w:ascii="仿宋" w:hAnsi="仿宋" w:eastAsia="仿宋"/>
          <w:sz w:val="32"/>
          <w:szCs w:val="32"/>
        </w:rPr>
      </w:pPr>
      <w:r>
        <w:rPr>
          <w:rFonts w:hint="eastAsia" w:ascii="仿宋" w:hAnsi="仿宋" w:eastAsia="仿宋"/>
          <w:sz w:val="32"/>
          <w:szCs w:val="32"/>
        </w:rPr>
        <w:t>3、主要内容及范围</w:t>
      </w:r>
    </w:p>
    <w:p>
      <w:pPr>
        <w:keepNext w:val="0"/>
        <w:keepLines w:val="0"/>
        <w:pageBreakBefore w:val="0"/>
        <w:kinsoku/>
        <w:wordWrap/>
        <w:overflowPunct/>
        <w:topLinePunct w:val="0"/>
        <w:autoSpaceDE/>
        <w:autoSpaceDN/>
        <w:bidi w:val="0"/>
        <w:adjustRightInd/>
        <w:spacing w:line="560" w:lineRule="exact"/>
        <w:ind w:firstLine="630"/>
        <w:textAlignment w:val="auto"/>
        <w:rPr>
          <w:rFonts w:hint="eastAsia" w:ascii="仿宋" w:hAnsi="仿宋" w:eastAsia="仿宋"/>
          <w:sz w:val="32"/>
          <w:szCs w:val="32"/>
        </w:rPr>
      </w:pPr>
      <w:r>
        <w:rPr>
          <w:rFonts w:hint="eastAsia" w:ascii="仿宋" w:hAnsi="仿宋" w:eastAsia="仿宋"/>
          <w:sz w:val="32"/>
          <w:szCs w:val="32"/>
        </w:rPr>
        <w:t>人</w:t>
      </w:r>
      <w:r>
        <w:rPr>
          <w:rFonts w:ascii="仿宋" w:hAnsi="仿宋" w:eastAsia="仿宋"/>
          <w:sz w:val="32"/>
          <w:szCs w:val="32"/>
        </w:rPr>
        <w:t>员经</w:t>
      </w:r>
      <w:r>
        <w:rPr>
          <w:rFonts w:hint="eastAsia" w:ascii="仿宋" w:hAnsi="仿宋" w:eastAsia="仿宋"/>
          <w:sz w:val="32"/>
          <w:szCs w:val="32"/>
        </w:rPr>
        <w:t>费</w:t>
      </w:r>
      <w:r>
        <w:rPr>
          <w:rFonts w:hint="eastAsia" w:ascii="仿宋" w:hAnsi="仿宋" w:eastAsia="仿宋"/>
          <w:sz w:val="32"/>
          <w:szCs w:val="32"/>
          <w:lang w:val="en-US" w:eastAsia="zh-CN"/>
        </w:rPr>
        <w:t>1628.1</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日常</w:t>
      </w:r>
      <w:r>
        <w:rPr>
          <w:rFonts w:ascii="仿宋" w:hAnsi="仿宋" w:eastAsia="仿宋"/>
          <w:sz w:val="32"/>
          <w:szCs w:val="32"/>
        </w:rPr>
        <w:t>公用经费</w:t>
      </w:r>
      <w:r>
        <w:rPr>
          <w:rFonts w:hint="eastAsia" w:ascii="仿宋" w:hAnsi="仿宋" w:eastAsia="仿宋"/>
          <w:sz w:val="32"/>
          <w:szCs w:val="32"/>
          <w:lang w:val="en-US" w:eastAsia="zh-CN"/>
        </w:rPr>
        <w:t>131.8</w:t>
      </w:r>
      <w:r>
        <w:rPr>
          <w:rFonts w:hint="eastAsia" w:ascii="仿宋" w:hAnsi="仿宋" w:eastAsia="仿宋"/>
          <w:sz w:val="32"/>
          <w:szCs w:val="32"/>
        </w:rPr>
        <w:t>万元</w:t>
      </w:r>
      <w:r>
        <w:rPr>
          <w:rFonts w:ascii="仿宋" w:hAnsi="仿宋" w:eastAsia="仿宋"/>
          <w:sz w:val="32"/>
          <w:szCs w:val="32"/>
        </w:rPr>
        <w:t>，项目经费</w:t>
      </w:r>
      <w:r>
        <w:rPr>
          <w:rFonts w:hint="eastAsia" w:ascii="仿宋" w:hAnsi="仿宋" w:eastAsia="仿宋"/>
          <w:sz w:val="32"/>
          <w:szCs w:val="32"/>
          <w:lang w:val="en-US" w:eastAsia="zh-CN"/>
        </w:rPr>
        <w:t>5510.6</w:t>
      </w:r>
      <w:r>
        <w:rPr>
          <w:rFonts w:hint="eastAsia" w:ascii="仿宋" w:hAnsi="仿宋" w:eastAsia="仿宋"/>
          <w:sz w:val="32"/>
          <w:szCs w:val="32"/>
        </w:rPr>
        <w:t>万元</w:t>
      </w:r>
      <w:r>
        <w:rPr>
          <w:rFonts w:ascii="仿宋" w:hAnsi="仿宋" w:eastAsia="仿宋"/>
          <w:sz w:val="32"/>
          <w:szCs w:val="32"/>
        </w:rPr>
        <w:t>。</w:t>
      </w:r>
    </w:p>
    <w:p>
      <w:pPr>
        <w:pStyle w:val="15"/>
        <w:keepNext w:val="0"/>
        <w:keepLines w:val="0"/>
        <w:pageBreakBefore w:val="0"/>
        <w:widowControl/>
        <w:numPr>
          <w:ilvl w:val="0"/>
          <w:numId w:val="0"/>
        </w:numPr>
        <w:kinsoku/>
        <w:wordWrap/>
        <w:overflowPunct/>
        <w:topLinePunct w:val="0"/>
        <w:autoSpaceDE/>
        <w:autoSpaceDN/>
        <w:bidi w:val="0"/>
        <w:adjustRightInd/>
        <w:snapToGrid/>
        <w:spacing w:line="520" w:lineRule="exact"/>
        <w:ind w:leftChars="200"/>
        <w:textAlignment w:val="auto"/>
        <w:rPr>
          <w:rFonts w:hint="eastAsia" w:ascii="仿宋_GB2312" w:hAnsi="仿宋_GB2312" w:eastAsia="仿宋_GB2312" w:cs="仿宋_GB2312"/>
          <w:b/>
          <w:bCs/>
          <w:sz w:val="32"/>
          <w:szCs w:val="32"/>
        </w:rPr>
      </w:pPr>
    </w:p>
    <w:p>
      <w:pPr>
        <w:pStyle w:val="15"/>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部门整体</w:t>
      </w:r>
      <w:r>
        <w:rPr>
          <w:rFonts w:hint="eastAsia" w:ascii="仿宋_GB2312" w:hAnsi="仿宋_GB2312" w:eastAsia="仿宋_GB2312" w:cs="仿宋_GB2312"/>
          <w:b/>
          <w:bCs/>
          <w:sz w:val="32"/>
          <w:szCs w:val="32"/>
        </w:rPr>
        <w:t>预算支出情况</w:t>
      </w:r>
    </w:p>
    <w:p>
      <w:pPr>
        <w:pStyle w:val="15"/>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 xml:space="preserve">基本支出  </w:t>
      </w:r>
      <w:r>
        <w:rPr>
          <w:rFonts w:hint="eastAsia" w:ascii="仿宋" w:hAnsi="仿宋" w:eastAsia="仿宋"/>
          <w:sz w:val="32"/>
          <w:szCs w:val="32"/>
          <w:lang w:val="en-US" w:eastAsia="zh-CN"/>
        </w:rPr>
        <w:t>1759.9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基本支出的主要用途：在职在编人员工资、奖金及津补贴、政策性增资、机关养老、职业年金、住房公积金、公务用车参改人员交通补贴、公务员过渡性医疗补助；合同聘用人员工资、社保、年终各类奖金；机关退休人员及自筹退休人员退休费、生活补贴、各项补助；机关运行办公费、水电邮电费、会议培训费、公车运行维修、报刊费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基本支出的范围：一般公共服务支出-政府办公厅（室）及相关机构事务-行政运行、一般公共服务支出-政府办公厅（室）及相关机构事务-一般行政管理事务、</w:t>
      </w:r>
      <w:r>
        <w:rPr>
          <w:rFonts w:hint="eastAsia" w:ascii="仿宋" w:hAnsi="仿宋" w:eastAsia="仿宋"/>
          <w:sz w:val="32"/>
          <w:szCs w:val="32"/>
          <w:lang w:eastAsia="zh-CN"/>
        </w:rPr>
        <w:t>社会保障和就业支出</w:t>
      </w:r>
      <w:r>
        <w:rPr>
          <w:rFonts w:hint="eastAsia" w:ascii="仿宋" w:hAnsi="仿宋" w:eastAsia="仿宋"/>
          <w:sz w:val="32"/>
          <w:szCs w:val="32"/>
          <w:lang w:val="en-US" w:eastAsia="zh-CN"/>
        </w:rPr>
        <w:t>-人力资源和社会保障管理事务支出，</w:t>
      </w:r>
      <w:r>
        <w:rPr>
          <w:rFonts w:hint="eastAsia" w:ascii="仿宋" w:hAnsi="仿宋" w:eastAsia="仿宋"/>
          <w:sz w:val="32"/>
          <w:szCs w:val="32"/>
        </w:rPr>
        <w:t>行政事业单位离退休-机关事业单位基本养老保险缴费支出。</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基本支出资金的管理情况：年初对基本支出资金制定使用进度计划，领导审核批准具体使用范围和额度，严格按预算内容和资金限额管理使用资金。</w:t>
      </w:r>
    </w:p>
    <w:p>
      <w:pPr>
        <w:keepNext w:val="0"/>
        <w:keepLines w:val="0"/>
        <w:pageBreakBefore w:val="0"/>
        <w:kinsoku/>
        <w:wordWrap/>
        <w:overflowPunct/>
        <w:topLinePunct w:val="0"/>
        <w:autoSpaceDE/>
        <w:autoSpaceDN/>
        <w:bidi w:val="0"/>
        <w:adjustRightInd/>
        <w:spacing w:line="560" w:lineRule="exact"/>
        <w:ind w:firstLine="160" w:firstLineChars="50"/>
        <w:textAlignment w:val="auto"/>
        <w:rPr>
          <w:rFonts w:hint="eastAsia" w:ascii="仿宋" w:hAnsi="仿宋" w:eastAsia="仿宋"/>
          <w:sz w:val="32"/>
          <w:szCs w:val="32"/>
        </w:rPr>
      </w:pPr>
      <w:r>
        <w:rPr>
          <w:rFonts w:hint="eastAsia" w:ascii="仿宋" w:hAnsi="仿宋" w:eastAsia="仿宋"/>
          <w:sz w:val="32"/>
          <w:szCs w:val="32"/>
        </w:rPr>
        <w:t>　“三公”经费的使用和管理情况：</w:t>
      </w:r>
      <w:r>
        <w:rPr>
          <w:rFonts w:hint="eastAsia" w:ascii="仿宋" w:hAnsi="仿宋" w:eastAsia="仿宋"/>
          <w:sz w:val="32"/>
          <w:szCs w:val="32"/>
          <w:lang w:val="en-US" w:eastAsia="zh-CN"/>
        </w:rPr>
        <w:t>2020</w:t>
      </w:r>
      <w:r>
        <w:rPr>
          <w:rFonts w:hint="eastAsia" w:ascii="仿宋" w:hAnsi="仿宋" w:eastAsia="仿宋"/>
          <w:sz w:val="32"/>
          <w:szCs w:val="32"/>
        </w:rPr>
        <w:t>年未发生因公出国（境）费用和公务接待费，发生少量公务用车运行维护费</w:t>
      </w:r>
      <w:r>
        <w:rPr>
          <w:rFonts w:hint="eastAsia" w:ascii="仿宋" w:hAnsi="仿宋" w:eastAsia="仿宋"/>
          <w:sz w:val="32"/>
          <w:szCs w:val="32"/>
          <w:lang w:val="en-US" w:eastAsia="zh-CN"/>
        </w:rPr>
        <w:t>,4.6万元</w:t>
      </w:r>
      <w:r>
        <w:rPr>
          <w:rFonts w:hint="eastAsia" w:ascii="仿宋" w:hAnsi="仿宋" w:eastAsia="仿宋"/>
          <w:sz w:val="32"/>
          <w:szCs w:val="32"/>
        </w:rPr>
        <w:t>。我街道已实行公务用车改革，20</w:t>
      </w:r>
      <w:r>
        <w:rPr>
          <w:rFonts w:hint="eastAsia" w:ascii="仿宋" w:hAnsi="仿宋" w:eastAsia="仿宋"/>
          <w:sz w:val="32"/>
          <w:szCs w:val="32"/>
          <w:lang w:val="en-US" w:eastAsia="zh-CN"/>
        </w:rPr>
        <w:t>20</w:t>
      </w:r>
      <w:r>
        <w:rPr>
          <w:rFonts w:hint="eastAsia" w:ascii="仿宋" w:hAnsi="仿宋" w:eastAsia="仿宋"/>
          <w:sz w:val="32"/>
          <w:szCs w:val="32"/>
        </w:rPr>
        <w:t>年我街公车保用量2台，严格按公车管理使用要求，严格执行节假日公务车辆存备案等制度；严格按照中央、省、市、区公务接待和因公出国（境）费用的要求，采取严格审批控制，对务接待和因公出国（境）费用进行了全面的控制和规范。</w:t>
      </w:r>
    </w:p>
    <w:p>
      <w:pPr>
        <w:pStyle w:val="15"/>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项目资金（包括财政资金、自筹资金等）安排落实、总投入等情况分析。</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高桥街道</w:t>
      </w:r>
      <w:r>
        <w:rPr>
          <w:rFonts w:hint="eastAsia" w:ascii="仿宋" w:hAnsi="仿宋" w:eastAsia="仿宋"/>
          <w:sz w:val="32"/>
          <w:szCs w:val="32"/>
          <w:lang w:eastAsia="zh-CN"/>
        </w:rPr>
        <w:t>项目</w:t>
      </w:r>
      <w:r>
        <w:rPr>
          <w:rFonts w:hint="eastAsia" w:ascii="仿宋" w:hAnsi="仿宋" w:eastAsia="仿宋"/>
          <w:sz w:val="32"/>
          <w:szCs w:val="32"/>
        </w:rPr>
        <w:t>资金安排落实及时</w:t>
      </w:r>
      <w:r>
        <w:rPr>
          <w:rFonts w:hint="eastAsia" w:ascii="仿宋" w:hAnsi="仿宋" w:eastAsia="仿宋"/>
          <w:sz w:val="32"/>
          <w:szCs w:val="32"/>
          <w:lang w:eastAsia="zh-CN"/>
        </w:rPr>
        <w:t>。</w:t>
      </w:r>
      <w:r>
        <w:rPr>
          <w:rFonts w:hint="eastAsia" w:ascii="仿宋" w:hAnsi="仿宋" w:eastAsia="仿宋"/>
          <w:sz w:val="32"/>
          <w:szCs w:val="32"/>
        </w:rPr>
        <w:t>街道立即根据预算要求对全年指标进行计划安排并按进度落实计划安排，合理使用专项资金；专项预算外资金也在事后20</w:t>
      </w:r>
      <w:r>
        <w:rPr>
          <w:rFonts w:hint="eastAsia" w:ascii="仿宋" w:hAnsi="仿宋" w:eastAsia="仿宋"/>
          <w:sz w:val="32"/>
          <w:szCs w:val="32"/>
          <w:lang w:val="en-US" w:eastAsia="zh-CN"/>
        </w:rPr>
        <w:t>20</w:t>
      </w:r>
      <w:r>
        <w:rPr>
          <w:rFonts w:hint="eastAsia" w:ascii="仿宋" w:hAnsi="仿宋" w:eastAsia="仿宋"/>
          <w:sz w:val="32"/>
          <w:szCs w:val="32"/>
        </w:rPr>
        <w:t>年底前基本下达并大部分安排落实。</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eastAsia" w:ascii="仿宋_GB2312" w:eastAsia="仿宋_GB2312"/>
          <w:sz w:val="32"/>
          <w:szCs w:val="32"/>
        </w:rPr>
        <w:t>专项财政预算资金比</w:t>
      </w:r>
      <w:r>
        <w:rPr>
          <w:rFonts w:hint="eastAsia" w:ascii="仿宋" w:hAnsi="仿宋" w:eastAsia="仿宋"/>
          <w:sz w:val="32"/>
          <w:szCs w:val="32"/>
        </w:rPr>
        <w:t>例分布较为合理，基本保证了街道各个专项业务的有序开展。</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项目资金（主要指财政资金）实际使用情况分析。</w:t>
      </w:r>
    </w:p>
    <w:p>
      <w:pPr>
        <w:keepNext w:val="0"/>
        <w:keepLines w:val="0"/>
        <w:pageBreakBefore w:val="0"/>
        <w:kinsoku/>
        <w:wordWrap/>
        <w:overflowPunct/>
        <w:topLinePunct w:val="0"/>
        <w:autoSpaceDE/>
        <w:autoSpaceDN/>
        <w:bidi w:val="0"/>
        <w:adjustRightInd/>
        <w:spacing w:line="560" w:lineRule="exact"/>
        <w:ind w:firstLine="630"/>
        <w:textAlignment w:val="auto"/>
        <w:rPr>
          <w:rFonts w:hint="default" w:ascii="Times New Roman" w:hAnsi="Times New Roman" w:eastAsia="仿宋" w:cs="Times New Roman"/>
          <w:sz w:val="32"/>
          <w:szCs w:val="32"/>
          <w:lang w:val="en-US" w:eastAsia="zh-CN"/>
        </w:rPr>
      </w:pPr>
      <w:r>
        <w:rPr>
          <w:rFonts w:hint="eastAsia" w:eastAsia="仿宋_GB2312" w:cs="Times New Roman"/>
          <w:sz w:val="32"/>
          <w:szCs w:val="32"/>
          <w:lang w:val="en-US" w:eastAsia="zh-CN"/>
        </w:rPr>
        <w:t xml:space="preserve"> </w:t>
      </w:r>
      <w:r>
        <w:rPr>
          <w:rFonts w:hint="eastAsia" w:ascii="仿宋" w:hAnsi="仿宋" w:eastAsia="仿宋"/>
          <w:sz w:val="32"/>
          <w:szCs w:val="32"/>
        </w:rPr>
        <w:t>项目</w:t>
      </w:r>
      <w:r>
        <w:rPr>
          <w:rFonts w:hint="eastAsia" w:ascii="仿宋" w:hAnsi="仿宋" w:eastAsia="仿宋"/>
          <w:sz w:val="32"/>
          <w:szCs w:val="32"/>
          <w:lang w:eastAsia="zh-CN"/>
        </w:rPr>
        <w:t>资金共计</w:t>
      </w:r>
      <w:r>
        <w:rPr>
          <w:rFonts w:hint="eastAsia" w:ascii="仿宋" w:hAnsi="仿宋" w:eastAsia="仿宋"/>
          <w:sz w:val="32"/>
          <w:szCs w:val="32"/>
          <w:lang w:val="en-US" w:eastAsia="zh-CN"/>
        </w:rPr>
        <w:t>5510.6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一</w:t>
      </w:r>
      <w:r>
        <w:rPr>
          <w:rFonts w:ascii="仿宋" w:hAnsi="仿宋" w:eastAsia="仿宋"/>
          <w:sz w:val="32"/>
          <w:szCs w:val="32"/>
        </w:rPr>
        <w:t>般</w:t>
      </w:r>
      <w:r>
        <w:rPr>
          <w:rFonts w:hint="eastAsia" w:ascii="仿宋" w:hAnsi="仿宋" w:eastAsia="仿宋"/>
          <w:sz w:val="32"/>
          <w:szCs w:val="32"/>
        </w:rPr>
        <w:t>公共</w:t>
      </w:r>
      <w:r>
        <w:rPr>
          <w:rFonts w:ascii="仿宋" w:hAnsi="仿宋" w:eastAsia="仿宋"/>
          <w:sz w:val="32"/>
          <w:szCs w:val="32"/>
        </w:rPr>
        <w:t>服务支出</w:t>
      </w:r>
      <w:r>
        <w:rPr>
          <w:rFonts w:hint="eastAsia" w:ascii="仿宋" w:hAnsi="仿宋" w:eastAsia="仿宋"/>
          <w:sz w:val="32"/>
          <w:szCs w:val="32"/>
          <w:lang w:val="en-US" w:eastAsia="zh-CN"/>
        </w:rPr>
        <w:t>618.6</w:t>
      </w:r>
      <w:r>
        <w:rPr>
          <w:rFonts w:hint="eastAsia" w:ascii="仿宋" w:hAnsi="仿宋" w:eastAsia="仿宋"/>
          <w:sz w:val="32"/>
          <w:szCs w:val="32"/>
        </w:rPr>
        <w:t>万</w:t>
      </w:r>
      <w:r>
        <w:rPr>
          <w:rFonts w:ascii="仿宋" w:hAnsi="仿宋" w:eastAsia="仿宋"/>
          <w:sz w:val="32"/>
          <w:szCs w:val="32"/>
        </w:rPr>
        <w:t>元，公共安全支出</w:t>
      </w:r>
      <w:r>
        <w:rPr>
          <w:rFonts w:hint="eastAsia" w:ascii="仿宋" w:hAnsi="仿宋" w:eastAsia="仿宋"/>
          <w:sz w:val="32"/>
          <w:szCs w:val="32"/>
          <w:lang w:val="en-US" w:eastAsia="zh-CN"/>
        </w:rPr>
        <w:t>222</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lang w:eastAsia="zh-CN"/>
        </w:rPr>
        <w:t>文化旅游体育与传媒支出</w:t>
      </w:r>
      <w:r>
        <w:rPr>
          <w:rFonts w:hint="eastAsia" w:ascii="仿宋" w:hAnsi="仿宋" w:eastAsia="仿宋"/>
          <w:sz w:val="32"/>
          <w:szCs w:val="32"/>
          <w:lang w:val="en-US" w:eastAsia="zh-CN"/>
        </w:rPr>
        <w:t>25万元</w:t>
      </w:r>
      <w:r>
        <w:rPr>
          <w:rFonts w:hint="eastAsia" w:ascii="仿宋" w:hAnsi="仿宋" w:eastAsia="仿宋"/>
          <w:sz w:val="32"/>
          <w:szCs w:val="32"/>
        </w:rPr>
        <w:t>，</w:t>
      </w:r>
      <w:r>
        <w:rPr>
          <w:rFonts w:ascii="仿宋" w:hAnsi="仿宋" w:eastAsia="仿宋"/>
          <w:sz w:val="32"/>
          <w:szCs w:val="32"/>
        </w:rPr>
        <w:t>社会保障和就业支出</w:t>
      </w:r>
      <w:r>
        <w:rPr>
          <w:rFonts w:hint="eastAsia" w:ascii="仿宋" w:hAnsi="仿宋" w:eastAsia="仿宋"/>
          <w:sz w:val="32"/>
          <w:szCs w:val="32"/>
          <w:lang w:val="en-US" w:eastAsia="zh-CN"/>
        </w:rPr>
        <w:t>1749.8</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lang w:eastAsia="zh-CN"/>
        </w:rPr>
        <w:t>卫生健康</w:t>
      </w:r>
      <w:r>
        <w:rPr>
          <w:rFonts w:ascii="仿宋" w:hAnsi="仿宋" w:eastAsia="仿宋"/>
          <w:sz w:val="32"/>
          <w:szCs w:val="32"/>
        </w:rPr>
        <w:t>支出</w:t>
      </w:r>
      <w:r>
        <w:rPr>
          <w:rFonts w:hint="eastAsia" w:ascii="仿宋" w:hAnsi="仿宋" w:eastAsia="仿宋"/>
          <w:sz w:val="32"/>
          <w:szCs w:val="32"/>
          <w:lang w:val="en-US" w:eastAsia="zh-CN"/>
        </w:rPr>
        <w:t>218</w:t>
      </w:r>
      <w:r>
        <w:rPr>
          <w:rFonts w:hint="eastAsia" w:ascii="仿宋" w:hAnsi="仿宋" w:eastAsia="仿宋"/>
          <w:sz w:val="32"/>
          <w:szCs w:val="32"/>
        </w:rPr>
        <w:t>万元</w:t>
      </w:r>
      <w:r>
        <w:rPr>
          <w:rFonts w:ascii="仿宋" w:hAnsi="仿宋" w:eastAsia="仿宋"/>
          <w:sz w:val="32"/>
          <w:szCs w:val="32"/>
        </w:rPr>
        <w:t>，城乡社区支出</w:t>
      </w:r>
      <w:r>
        <w:rPr>
          <w:rFonts w:hint="eastAsia" w:ascii="仿宋" w:hAnsi="仿宋" w:eastAsia="仿宋"/>
          <w:sz w:val="32"/>
          <w:szCs w:val="32"/>
          <w:lang w:val="en-US" w:eastAsia="zh-CN"/>
        </w:rPr>
        <w:t>2647.2</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lang w:val="en-US" w:eastAsia="zh-CN"/>
        </w:rPr>
        <w:t>30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lang w:eastAsia="zh-CN"/>
        </w:rPr>
        <w:t>按经济科目分类其中工资福利支出及离退休费</w:t>
      </w:r>
      <w:r>
        <w:rPr>
          <w:rFonts w:hint="eastAsia" w:ascii="仿宋" w:hAnsi="仿宋" w:eastAsia="仿宋"/>
          <w:sz w:val="32"/>
          <w:szCs w:val="32"/>
          <w:lang w:val="en-US" w:eastAsia="zh-CN"/>
        </w:rPr>
        <w:t>720.04万，占13.07%，商品及服务支持2300.08万元，占41.74%，资本性支出6.2万元，占0.11%，其他支出2484.31万元，占45.08%。</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项目资金管理情况分析，主要包括管理制度、办法的制订及执行情况。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jc w:val="left"/>
        <w:textAlignment w:val="auto"/>
        <w:rPr>
          <w:rFonts w:hint="default" w:ascii="仿宋" w:hAnsi="仿宋" w:eastAsia="仿宋"/>
          <w:sz w:val="32"/>
          <w:szCs w:val="32"/>
          <w:lang w:val="en-US" w:eastAsia="zh-CN"/>
        </w:rPr>
      </w:pPr>
      <w:r>
        <w:rPr>
          <w:rFonts w:hint="eastAsia" w:eastAsia="仿宋_GB2312" w:cs="Times New Roman"/>
          <w:sz w:val="32"/>
          <w:szCs w:val="32"/>
          <w:lang w:val="en-US" w:eastAsia="zh-CN"/>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高桥街道结合各</w:t>
      </w:r>
      <w:r>
        <w:rPr>
          <w:rFonts w:hint="eastAsia" w:ascii="仿宋" w:hAnsi="仿宋" w:eastAsia="仿宋"/>
          <w:sz w:val="32"/>
          <w:szCs w:val="32"/>
          <w:lang w:eastAsia="zh-CN"/>
        </w:rPr>
        <w:t>个</w:t>
      </w:r>
      <w:r>
        <w:rPr>
          <w:rFonts w:hint="eastAsia" w:ascii="仿宋" w:hAnsi="仿宋" w:eastAsia="仿宋"/>
          <w:sz w:val="32"/>
          <w:szCs w:val="32"/>
        </w:rPr>
        <w:t>业务主管部门制定</w:t>
      </w:r>
      <w:r>
        <w:rPr>
          <w:rFonts w:hint="eastAsia" w:ascii="仿宋" w:hAnsi="仿宋" w:eastAsia="仿宋"/>
          <w:sz w:val="32"/>
          <w:szCs w:val="32"/>
          <w:lang w:eastAsia="zh-CN"/>
        </w:rPr>
        <w:t>的</w:t>
      </w:r>
      <w:r>
        <w:rPr>
          <w:rFonts w:hint="eastAsia" w:ascii="仿宋" w:hAnsi="仿宋" w:eastAsia="仿宋"/>
          <w:sz w:val="32"/>
          <w:szCs w:val="32"/>
        </w:rPr>
        <w:t>专项管理制度和办法，采取了更适合我街街情和更具操作性的具体措施，并按要求严格执行。</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、部门整体支出绩效情况</w:t>
      </w:r>
    </w:p>
    <w:p>
      <w:pPr>
        <w:pStyle w:val="4"/>
        <w:spacing w:before="0" w:beforeAutospacing="0" w:after="0" w:afterAutospacing="0" w:line="560" w:lineRule="exact"/>
        <w:ind w:firstLine="643" w:firstLineChars="200"/>
        <w:jc w:val="both"/>
        <w:rPr>
          <w:rFonts w:ascii="仿宋_GB2312" w:hAnsi="仿宋" w:eastAsia="仿宋_GB2312"/>
          <w:color w:val="030303"/>
          <w:sz w:val="32"/>
          <w:szCs w:val="32"/>
        </w:rPr>
      </w:pPr>
      <w:r>
        <w:rPr>
          <w:rFonts w:hint="eastAsia" w:ascii="楷体_GB2312" w:hAnsi="黑体" w:eastAsia="楷体_GB2312"/>
          <w:b/>
          <w:color w:val="030303"/>
          <w:sz w:val="32"/>
          <w:szCs w:val="32"/>
        </w:rPr>
        <w:t>1.党的建设焕发新活力。</w:t>
      </w:r>
      <w:r>
        <w:rPr>
          <w:rFonts w:hint="eastAsia" w:ascii="仿宋_GB2312" w:hAnsi="仿宋" w:eastAsia="仿宋_GB2312"/>
          <w:b/>
          <w:color w:val="030303"/>
          <w:sz w:val="32"/>
          <w:szCs w:val="32"/>
        </w:rPr>
        <w:t>强化思想教育，唱响“主旋律”。</w:t>
      </w:r>
      <w:r>
        <w:rPr>
          <w:rFonts w:hint="eastAsia" w:ascii="仿宋_GB2312" w:hAnsi="仿宋" w:eastAsia="仿宋_GB2312"/>
          <w:color w:val="030303"/>
          <w:sz w:val="32"/>
          <w:szCs w:val="32"/>
        </w:rPr>
        <w:t>街道党工委全面落实基层党建和意识形态工作责任制，持续巩固深化“不忘初心、牢记使命”主题教育成果，开展党工委中心组（扩大）理论学习12次，组建1支74人的宣讲队伍，开展“雨花时代新声”宣讲41场次。抗疫期间开展“高桥街道抗疫一线最美志愿者风采展示”等系列活动，在经济日报、新湖南、长沙文明网等媒体平台上宣传防疫典型人物事迹共40余篇，全年在市级以上媒体发布报道107条，区级媒体报道102条。全年完成网络舆情交办45例，办结率达100%。</w:t>
      </w:r>
      <w:r>
        <w:rPr>
          <w:rFonts w:hint="eastAsia" w:ascii="仿宋_GB2312" w:hAnsi="仿宋" w:eastAsia="仿宋_GB2312"/>
          <w:b/>
          <w:color w:val="030303"/>
          <w:sz w:val="32"/>
          <w:szCs w:val="32"/>
        </w:rPr>
        <w:t>选优配强队伍，当好“主心骨”。</w:t>
      </w:r>
      <w:r>
        <w:rPr>
          <w:rFonts w:hint="eastAsia" w:ascii="仿宋_GB2312" w:hAnsi="仿宋" w:eastAsia="仿宋_GB2312"/>
          <w:color w:val="030303"/>
          <w:sz w:val="32"/>
          <w:szCs w:val="32"/>
        </w:rPr>
        <w:t>调整优化社区公共服务中心工作人员结构，12月份圆满完成8个社区党组织的换届选举，基层党组织号召力、凝聚力进一步增强。加大“两新”党组织书记培训力度，进一步拓宽“两个覆盖”领域，提升两新党组织政治功能和服务功能。</w:t>
      </w:r>
      <w:r>
        <w:rPr>
          <w:rFonts w:hint="eastAsia" w:ascii="仿宋_GB2312" w:hAnsi="仿宋" w:eastAsia="仿宋_GB2312"/>
          <w:b/>
          <w:color w:val="030303"/>
          <w:sz w:val="32"/>
          <w:szCs w:val="32"/>
        </w:rPr>
        <w:t>聚焦重点领域，坚守“主阵地”。</w:t>
      </w:r>
      <w:r>
        <w:rPr>
          <w:rFonts w:hint="eastAsia" w:ascii="仿宋_GB2312" w:hAnsi="仿宋" w:eastAsia="仿宋_GB2312"/>
          <w:color w:val="030303"/>
          <w:sz w:val="32"/>
          <w:szCs w:val="32"/>
        </w:rPr>
        <w:t>发挥党组织引领作用，牢固树立从粗放式向精细化转变的管理理念，持续在社区治理上加大人力物力财力投入，取得了明显成效。积极探索创新“党建+”模式，成功打造“一呼百应”智慧平台，扎实推进“三零”社区（村）创建和“街道吹哨、部门报到”等活动，实现了基层党建与社区治理有机融合。街道在11月中央政法委督查组专项调研督导中表现优异，并且荣获长沙市2020年度政法工作红旗单位。</w:t>
      </w:r>
    </w:p>
    <w:p>
      <w:pPr>
        <w:pStyle w:val="4"/>
        <w:spacing w:before="0" w:beforeAutospacing="0" w:after="0" w:afterAutospacing="0" w:line="560" w:lineRule="exact"/>
        <w:ind w:firstLine="643" w:firstLineChars="200"/>
        <w:jc w:val="both"/>
        <w:rPr>
          <w:rFonts w:ascii="仿宋_GB2312" w:hAnsi="仿宋" w:eastAsia="仿宋_GB2312"/>
          <w:color w:val="030303"/>
          <w:sz w:val="32"/>
          <w:szCs w:val="32"/>
        </w:rPr>
      </w:pPr>
      <w:r>
        <w:rPr>
          <w:rFonts w:ascii="楷体_GB2312" w:hAnsi="黑体" w:eastAsia="楷体_GB2312"/>
          <w:b/>
          <w:color w:val="030303"/>
          <w:sz w:val="32"/>
          <w:szCs w:val="32"/>
        </w:rPr>
        <w:t>2</w:t>
      </w:r>
      <w:r>
        <w:rPr>
          <w:rFonts w:hint="eastAsia" w:ascii="楷体_GB2312" w:hAnsi="黑体" w:eastAsia="楷体_GB2312"/>
          <w:b/>
          <w:color w:val="030303"/>
          <w:sz w:val="32"/>
          <w:szCs w:val="32"/>
        </w:rPr>
        <w:t>.经济实力迈上新台阶。</w:t>
      </w:r>
      <w:r>
        <w:rPr>
          <w:rStyle w:val="7"/>
          <w:rFonts w:hint="eastAsia" w:ascii="仿宋_GB2312" w:hAnsi="仿宋" w:eastAsia="仿宋_GB2312"/>
          <w:color w:val="030303"/>
          <w:sz w:val="32"/>
          <w:szCs w:val="32"/>
        </w:rPr>
        <w:t>经济指标逆势上扬。</w:t>
      </w:r>
      <w:r>
        <w:rPr>
          <w:rFonts w:hint="eastAsia" w:ascii="仿宋_GB2312" w:hAnsi="仿宋" w:eastAsia="仿宋_GB2312"/>
          <w:color w:val="030303"/>
          <w:sz w:val="32"/>
          <w:szCs w:val="32"/>
        </w:rPr>
        <w:t>全年预计完成社会固定投资38.58亿元，同比增速64.65%；引进市外境内资金30亿元，完成规模以上营利性服务业营业收入8.52亿元，完成限额以上社会消费品零售额53.59亿元，同比增速13.87%。</w:t>
      </w:r>
      <w:r>
        <w:rPr>
          <w:rStyle w:val="7"/>
          <w:rFonts w:hint="eastAsia" w:ascii="仿宋_GB2312" w:hAnsi="仿宋" w:eastAsia="仿宋_GB2312"/>
          <w:color w:val="030303"/>
          <w:sz w:val="32"/>
          <w:szCs w:val="32"/>
        </w:rPr>
        <w:t>内生动力不断激发。</w:t>
      </w:r>
      <w:r>
        <w:rPr>
          <w:rFonts w:hint="eastAsia" w:ascii="仿宋_GB2312" w:hAnsi="仿宋" w:eastAsia="仿宋_GB2312"/>
          <w:color w:val="030303"/>
          <w:sz w:val="32"/>
          <w:szCs w:val="32"/>
        </w:rPr>
        <w:t>扎实开展“万商联动·振业兴市”系列消费活动，吸引来自福建等地10余家茶企正式签约；举行高桥街道首届“夜星城”消费节活动，高桥大市场夜市、永定美食街双双获评全市“最美夜购示范街区”。</w:t>
      </w:r>
      <w:r>
        <w:rPr>
          <w:rStyle w:val="7"/>
          <w:rFonts w:hint="eastAsia" w:ascii="仿宋_GB2312" w:hAnsi="仿宋" w:eastAsia="仿宋_GB2312"/>
          <w:color w:val="030303"/>
          <w:sz w:val="32"/>
          <w:szCs w:val="32"/>
        </w:rPr>
        <w:t>挖潜增效成绩突出。</w:t>
      </w:r>
      <w:r>
        <w:rPr>
          <w:rFonts w:hint="eastAsia" w:ascii="仿宋_GB2312" w:hAnsi="仿宋" w:eastAsia="仿宋_GB2312"/>
          <w:color w:val="030303"/>
          <w:sz w:val="32"/>
          <w:szCs w:val="32"/>
        </w:rPr>
        <w:t>开展税源清查和属地管理清理，全年共清查清理异地税源企业224家、新增房产3232家、住宅出租2968家。继续监测华晨双帆、铭城国际及和顺大厦三栋千万级重点楼宇；成功转化千万级税收重点税源--兴能电力建设有限公司。</w:t>
      </w:r>
    </w:p>
    <w:p>
      <w:pPr>
        <w:pStyle w:val="4"/>
        <w:spacing w:before="0" w:beforeAutospacing="0" w:after="0" w:afterAutospacing="0" w:line="560" w:lineRule="exact"/>
        <w:ind w:firstLine="643" w:firstLineChars="200"/>
        <w:jc w:val="both"/>
        <w:rPr>
          <w:rFonts w:ascii="仿宋_GB2312" w:hAnsi="仿宋" w:eastAsia="仿宋_GB2312"/>
          <w:color w:val="030303"/>
          <w:sz w:val="32"/>
          <w:szCs w:val="32"/>
        </w:rPr>
      </w:pPr>
      <w:r>
        <w:rPr>
          <w:rFonts w:ascii="楷体_GB2312" w:hAnsi="黑体" w:eastAsia="楷体_GB2312"/>
          <w:b/>
          <w:color w:val="030303"/>
          <w:sz w:val="32"/>
          <w:szCs w:val="32"/>
        </w:rPr>
        <w:t>3.</w:t>
      </w:r>
      <w:r>
        <w:rPr>
          <w:rFonts w:hint="eastAsia" w:ascii="楷体_GB2312" w:hAnsi="黑体" w:eastAsia="楷体_GB2312"/>
          <w:b/>
          <w:color w:val="030303"/>
          <w:sz w:val="32"/>
          <w:szCs w:val="32"/>
        </w:rPr>
        <w:t>项目建设干出新成就。</w:t>
      </w:r>
      <w:r>
        <w:rPr>
          <w:rStyle w:val="7"/>
          <w:rFonts w:hint="eastAsia" w:ascii="仿宋_GB2312" w:hAnsi="仿宋" w:eastAsia="仿宋_GB2312"/>
          <w:color w:val="030303"/>
          <w:sz w:val="32"/>
          <w:szCs w:val="32"/>
        </w:rPr>
        <w:t>征地拆迁扫尾清零。</w:t>
      </w:r>
      <w:r>
        <w:rPr>
          <w:rFonts w:hint="eastAsia" w:ascii="仿宋_GB2312" w:hAnsi="仿宋" w:eastAsia="仿宋_GB2312"/>
          <w:color w:val="030303"/>
          <w:sz w:val="32"/>
          <w:szCs w:val="32"/>
        </w:rPr>
        <w:t>立下“军令状”，破除“中梗阻”，提前</w:t>
      </w:r>
      <w:r>
        <w:rPr>
          <w:rFonts w:ascii="仿宋_GB2312" w:hAnsi="仿宋" w:eastAsia="仿宋_GB2312"/>
          <w:color w:val="030303"/>
          <w:sz w:val="32"/>
          <w:szCs w:val="32"/>
        </w:rPr>
        <w:t>40</w:t>
      </w:r>
      <w:r>
        <w:rPr>
          <w:rFonts w:hint="eastAsia" w:ascii="仿宋_GB2312" w:hAnsi="仿宋" w:eastAsia="仿宋_GB2312"/>
          <w:color w:val="030303"/>
          <w:sz w:val="32"/>
          <w:szCs w:val="32"/>
        </w:rPr>
        <w:t>天完成石坝路项目扫尾清零，历时11年的“瓶颈路、断头路”全线拉通。先后完成高桥安置地、湘林项目地、新世界项目地、友谊安置地的征拆清零，结束长达25年之久的征拆历程。区四大家主要领导共同见证友谊三期安置小区项目开工建设。</w:t>
      </w:r>
      <w:r>
        <w:rPr>
          <w:rStyle w:val="7"/>
          <w:rFonts w:hint="eastAsia" w:ascii="仿宋_GB2312" w:hAnsi="仿宋" w:eastAsia="仿宋_GB2312"/>
          <w:color w:val="030303"/>
          <w:sz w:val="32"/>
          <w:szCs w:val="32"/>
        </w:rPr>
        <w:t>产业建设聚焦引领。</w:t>
      </w:r>
      <w:r>
        <w:rPr>
          <w:rFonts w:hint="eastAsia" w:ascii="仿宋_GB2312" w:hAnsi="仿宋" w:eastAsia="仿宋_GB2312"/>
          <w:color w:val="030303"/>
          <w:sz w:val="32"/>
          <w:szCs w:val="32"/>
        </w:rPr>
        <w:t>目前，高桥大市场全球贸易中心、碧桂园时代广场、新城新世界四期、正荣悦玺4个续建项目按进度顺利推进，湘林</w:t>
      </w:r>
      <w:r>
        <w:rPr>
          <w:rFonts w:hint="eastAsia" w:ascii="仿宋_GB2312" w:hAnsi="微软雅黑" w:eastAsia="微软雅黑" w:cs="微软雅黑"/>
          <w:color w:val="030303"/>
          <w:sz w:val="32"/>
          <w:szCs w:val="32"/>
        </w:rPr>
        <w:t>•</w:t>
      </w:r>
      <w:r>
        <w:rPr>
          <w:rFonts w:hint="eastAsia" w:ascii="仿宋_GB2312" w:hAnsi="仿宋" w:eastAsia="仿宋_GB2312" w:cs="仿宋"/>
          <w:color w:val="030303"/>
          <w:sz w:val="32"/>
          <w:szCs w:val="32"/>
        </w:rPr>
        <w:t>熙水豪庭、</w:t>
      </w:r>
      <w:r>
        <w:rPr>
          <w:rFonts w:hint="eastAsia" w:ascii="仿宋_GB2312" w:hAnsi="仿宋" w:eastAsia="仿宋_GB2312"/>
          <w:color w:val="030303"/>
          <w:sz w:val="32"/>
          <w:szCs w:val="32"/>
        </w:rPr>
        <w:t>国欣向荣府、宝能公馆3个地产项目启动预售，实现落地见效。完成电网“630攻坚”暨智慧电网建设2020年度任务和5G基站建设任务4个，申报公示高新技术企业9家，街道区位优势更加明显。</w:t>
      </w:r>
      <w:r>
        <w:rPr>
          <w:rStyle w:val="7"/>
          <w:rFonts w:hint="eastAsia" w:ascii="仿宋_GB2312" w:hAnsi="仿宋" w:eastAsia="仿宋_GB2312"/>
          <w:color w:val="030303"/>
          <w:sz w:val="32"/>
          <w:szCs w:val="32"/>
        </w:rPr>
        <w:t>自贸区块初具雏形。</w:t>
      </w:r>
      <w:r>
        <w:rPr>
          <w:rFonts w:hint="eastAsia" w:ascii="仿宋_GB2312" w:hAnsi="仿宋" w:eastAsia="仿宋_GB2312"/>
          <w:color w:val="030303"/>
          <w:sz w:val="32"/>
          <w:szCs w:val="32"/>
        </w:rPr>
        <w:t>高桥区块成功纳入中国（湖南）自由贸易试验区长沙片区，承载着建设中非经贸深度合作先行区的重任。截至目前合作示范园一期投入使用，二期项目启动建设，出口产品集聚区建成运营，非洲可可、咖啡、坚果贸易中心建成开业，营业额达8.8亿元。首批已有72家企业入驻中非经贸合作促进创新示范园。</w:t>
      </w:r>
    </w:p>
    <w:p>
      <w:pPr>
        <w:pStyle w:val="4"/>
        <w:spacing w:before="0" w:beforeAutospacing="0" w:after="0" w:afterAutospacing="0" w:line="560" w:lineRule="exact"/>
        <w:ind w:firstLine="643" w:firstLineChars="200"/>
        <w:jc w:val="both"/>
        <w:rPr>
          <w:rFonts w:ascii="仿宋_GB2312" w:hAnsi="仿宋" w:eastAsia="仿宋_GB2312"/>
          <w:color w:val="030303"/>
          <w:sz w:val="32"/>
          <w:szCs w:val="32"/>
        </w:rPr>
      </w:pPr>
      <w:r>
        <w:rPr>
          <w:rFonts w:ascii="楷体_GB2312" w:hAnsi="黑体" w:eastAsia="楷体_GB2312"/>
          <w:b/>
          <w:color w:val="030303"/>
          <w:sz w:val="32"/>
          <w:szCs w:val="32"/>
        </w:rPr>
        <w:t>4</w:t>
      </w:r>
      <w:r>
        <w:rPr>
          <w:rFonts w:hint="eastAsia" w:ascii="楷体_GB2312" w:hAnsi="黑体" w:eastAsia="楷体_GB2312"/>
          <w:b/>
          <w:color w:val="030303"/>
          <w:sz w:val="32"/>
          <w:szCs w:val="32"/>
        </w:rPr>
        <w:t>.社会治理形成新格局。</w:t>
      </w:r>
      <w:r>
        <w:rPr>
          <w:rFonts w:hint="eastAsia" w:ascii="仿宋_GB2312" w:hAnsi="仿宋" w:eastAsia="仿宋_GB2312"/>
          <w:b/>
          <w:color w:val="030303"/>
          <w:sz w:val="32"/>
          <w:szCs w:val="32"/>
        </w:rPr>
        <w:t>基层警务提升高度。</w:t>
      </w:r>
      <w:r>
        <w:rPr>
          <w:rFonts w:hint="eastAsia" w:ascii="仿宋_GB2312" w:hAnsi="仿宋" w:eastAsia="仿宋_GB2312"/>
          <w:color w:val="030303"/>
          <w:sz w:val="32"/>
          <w:szCs w:val="32"/>
        </w:rPr>
        <w:t>探索创新县域“警务+”，通过采取部门单位“合力围歼”代替过去警务人员“单打独斗”模式，有效推进县域警务工作与基层社会治理的融合，并接受长沙晚报《你说话吧》栏目组采访报道，取得良好的社会反响。</w:t>
      </w:r>
      <w:r>
        <w:rPr>
          <w:rFonts w:hint="eastAsia" w:ascii="仿宋_GB2312" w:hAnsi="仿宋" w:eastAsia="仿宋_GB2312"/>
          <w:b/>
          <w:color w:val="030303"/>
          <w:sz w:val="32"/>
          <w:szCs w:val="32"/>
        </w:rPr>
        <w:t>法治建设加快速度。</w:t>
      </w:r>
      <w:r>
        <w:rPr>
          <w:rFonts w:hint="eastAsia" w:ascii="仿宋_GB2312" w:hAnsi="仿宋" w:eastAsia="仿宋_GB2312"/>
          <w:color w:val="030303"/>
          <w:sz w:val="32"/>
          <w:szCs w:val="32"/>
        </w:rPr>
        <w:t>率全国、全省之先挂牌成立“一站式多元解纷和一站式诉讼服务”工作站，全年共调处各类矛盾纠纷17件，共涉及金额达467.64万余元，调处成功率100%。</w:t>
      </w:r>
      <w:r>
        <w:rPr>
          <w:rFonts w:hint="eastAsia" w:ascii="仿宋_GB2312" w:hAnsi="仿宋" w:eastAsia="仿宋_GB2312"/>
          <w:b/>
          <w:color w:val="030303"/>
          <w:sz w:val="32"/>
          <w:szCs w:val="32"/>
        </w:rPr>
        <w:t>应急管理强化力度。</w:t>
      </w:r>
      <w:r>
        <w:rPr>
          <w:rFonts w:hint="eastAsia" w:ascii="仿宋_GB2312" w:hAnsi="仿宋" w:eastAsia="仿宋_GB2312"/>
          <w:color w:val="030303"/>
          <w:sz w:val="32"/>
          <w:szCs w:val="32"/>
        </w:rPr>
        <w:t>坚持每周党政领导带队深入联点社区开展安全生产“零点行动”52次，让安全发展的理念深入人心。全年组织安全培训和应急疏散演练44场，印制宣传手册、扇子、文化衫等宣传资料6万余份，连续四年无安全生产事故。</w:t>
      </w:r>
      <w:r>
        <w:rPr>
          <w:rFonts w:hint="eastAsia" w:ascii="仿宋_GB2312" w:hAnsi="仿宋" w:eastAsia="仿宋_GB2312"/>
          <w:b/>
          <w:color w:val="030303"/>
          <w:sz w:val="32"/>
          <w:szCs w:val="32"/>
        </w:rPr>
        <w:t>化解矛盾体现温度。</w:t>
      </w:r>
      <w:r>
        <w:rPr>
          <w:rFonts w:hint="eastAsia" w:ascii="仿宋_GB2312" w:hAnsi="仿宋" w:eastAsia="仿宋_GB2312"/>
          <w:color w:val="030303"/>
          <w:sz w:val="32"/>
          <w:szCs w:val="32"/>
        </w:rPr>
        <w:t>街道党政领导班子开门接访、下沉走访、主动回访，在调停和化解积案上去存量、做减法，2020年共接待来访来信130批550人次，近三年来无新增信访个案。</w:t>
      </w:r>
    </w:p>
    <w:p>
      <w:pPr>
        <w:pStyle w:val="4"/>
        <w:spacing w:before="0" w:beforeAutospacing="0" w:after="0" w:afterAutospacing="0" w:line="560" w:lineRule="exact"/>
        <w:ind w:firstLine="643" w:firstLineChars="200"/>
        <w:jc w:val="both"/>
        <w:rPr>
          <w:rFonts w:ascii="仿宋_GB2312" w:hAnsi="仿宋" w:eastAsia="仿宋_GB2312"/>
          <w:color w:val="030303"/>
          <w:sz w:val="32"/>
          <w:szCs w:val="32"/>
        </w:rPr>
      </w:pPr>
      <w:r>
        <w:rPr>
          <w:rFonts w:ascii="楷体_GB2312" w:hAnsi="黑体" w:eastAsia="楷体_GB2312"/>
          <w:b/>
          <w:color w:val="030303"/>
          <w:sz w:val="32"/>
          <w:szCs w:val="32"/>
        </w:rPr>
        <w:t>5</w:t>
      </w:r>
      <w:r>
        <w:rPr>
          <w:rFonts w:hint="eastAsia" w:ascii="楷体_GB2312" w:hAnsi="黑体" w:eastAsia="楷体_GB2312"/>
          <w:b/>
          <w:color w:val="030303"/>
          <w:sz w:val="32"/>
          <w:szCs w:val="32"/>
        </w:rPr>
        <w:t>.城市形象展现新面貌。</w:t>
      </w:r>
      <w:r>
        <w:rPr>
          <w:rStyle w:val="7"/>
          <w:rFonts w:hint="eastAsia" w:ascii="仿宋_GB2312" w:hAnsi="仿宋" w:eastAsia="仿宋_GB2312"/>
          <w:color w:val="030303"/>
          <w:sz w:val="32"/>
          <w:szCs w:val="32"/>
        </w:rPr>
        <w:t>解群众最“难”的事。</w:t>
      </w:r>
      <w:r>
        <w:rPr>
          <w:rFonts w:hint="eastAsia" w:ascii="仿宋_GB2312" w:hAnsi="仿宋" w:eastAsia="仿宋_GB2312"/>
          <w:color w:val="030303"/>
          <w:sz w:val="32"/>
          <w:szCs w:val="32"/>
        </w:rPr>
        <w:t>投入经费约180万元，完成友兴家园农贸市场、五一生鲜市场周边环境微改造项目；加快推进紫微路、石坝路、政修路建设，打通友谊片区交通微循环；各社区用活用好惠民资金，有针对性的解决好老百姓家门口设施破损、管道堵塞、油烟排放等问题。</w:t>
      </w:r>
      <w:r>
        <w:rPr>
          <w:rStyle w:val="7"/>
          <w:rFonts w:hint="eastAsia" w:ascii="仿宋_GB2312" w:hAnsi="仿宋" w:eastAsia="仿宋_GB2312"/>
          <w:color w:val="030303"/>
          <w:sz w:val="32"/>
          <w:szCs w:val="32"/>
        </w:rPr>
        <w:t>抓群众最“怨”的事。</w:t>
      </w:r>
      <w:r>
        <w:rPr>
          <w:rFonts w:hint="eastAsia" w:ascii="仿宋_GB2312" w:hAnsi="仿宋" w:eastAsia="仿宋_GB2312"/>
          <w:color w:val="030303"/>
          <w:sz w:val="32"/>
          <w:szCs w:val="32"/>
        </w:rPr>
        <w:t>将五一片区列为重点对象，围绕“典型不文明”行为开展一系列整治行动，共清理大件垃圾、堆物500余处，下达整改通知书400余份，拆除违章建筑近3800平方米，环境明显改观。</w:t>
      </w:r>
      <w:r>
        <w:rPr>
          <w:rStyle w:val="7"/>
          <w:rFonts w:hint="eastAsia" w:ascii="仿宋_GB2312" w:hAnsi="仿宋" w:eastAsia="仿宋_GB2312"/>
          <w:color w:val="030303"/>
          <w:sz w:val="32"/>
          <w:szCs w:val="32"/>
        </w:rPr>
        <w:t>做群众最“盼”的事。</w:t>
      </w:r>
      <w:r>
        <w:rPr>
          <w:rFonts w:hint="eastAsia" w:ascii="仿宋_GB2312" w:hAnsi="仿宋" w:eastAsia="仿宋_GB2312"/>
          <w:color w:val="030303"/>
          <w:sz w:val="32"/>
          <w:szCs w:val="32"/>
        </w:rPr>
        <w:t>按照“六控十严禁”的要求，坚决打赢蓝天保卫战三年行动的收官之战，</w:t>
      </w:r>
      <w:r>
        <w:rPr>
          <w:rFonts w:ascii="仿宋_GB2312" w:hAnsi="仿宋" w:eastAsia="仿宋_GB2312"/>
          <w:color w:val="030303"/>
          <w:sz w:val="32"/>
          <w:szCs w:val="32"/>
        </w:rPr>
        <w:t>1-10</w:t>
      </w:r>
      <w:r>
        <w:rPr>
          <w:rFonts w:hint="eastAsia" w:ascii="仿宋_GB2312" w:hAnsi="仿宋" w:eastAsia="仿宋_GB2312"/>
          <w:color w:val="030303"/>
          <w:sz w:val="32"/>
          <w:szCs w:val="32"/>
        </w:rPr>
        <w:t>月空气质量优良率达</w:t>
      </w:r>
      <w:r>
        <w:rPr>
          <w:rFonts w:ascii="仿宋_GB2312" w:hAnsi="仿宋" w:eastAsia="仿宋_GB2312"/>
          <w:color w:val="030303"/>
          <w:sz w:val="32"/>
          <w:szCs w:val="32"/>
        </w:rPr>
        <w:t>82.7%</w:t>
      </w:r>
      <w:r>
        <w:rPr>
          <w:rFonts w:hint="eastAsia" w:ascii="仿宋_GB2312" w:hAnsi="仿宋" w:eastAsia="仿宋_GB2312"/>
          <w:color w:val="030303"/>
          <w:sz w:val="32"/>
          <w:szCs w:val="32"/>
        </w:rPr>
        <w:t>。全面落实“河长制”有关精神，申请启动河段整体修复工程，对圭塘河全线进行24小时巡查，河段水质明显改善。积极探索生活垃圾源头分类新模式，成功将华雅花园小区打造为全区生活垃圾源头分类示范小区，分类投放准确率达99.9%。</w:t>
      </w:r>
    </w:p>
    <w:p>
      <w:pPr>
        <w:pStyle w:val="4"/>
        <w:spacing w:before="0" w:beforeAutospacing="0" w:after="0" w:afterAutospacing="0" w:line="560" w:lineRule="exact"/>
        <w:ind w:firstLine="803" w:firstLineChars="250"/>
        <w:jc w:val="both"/>
        <w:rPr>
          <w:rFonts w:ascii="仿宋_GB2312" w:hAnsi="仿宋" w:eastAsia="仿宋_GB2312"/>
          <w:color w:val="030303"/>
          <w:sz w:val="32"/>
          <w:szCs w:val="32"/>
        </w:rPr>
      </w:pPr>
      <w:r>
        <w:rPr>
          <w:rFonts w:ascii="楷体_GB2312" w:hAnsi="黑体" w:eastAsia="楷体_GB2312"/>
          <w:b/>
          <w:color w:val="030303"/>
          <w:sz w:val="32"/>
          <w:szCs w:val="32"/>
        </w:rPr>
        <w:t>6</w:t>
      </w:r>
      <w:r>
        <w:rPr>
          <w:rFonts w:hint="eastAsia" w:ascii="楷体_GB2312" w:hAnsi="黑体" w:eastAsia="楷体_GB2312"/>
          <w:b/>
          <w:color w:val="030303"/>
          <w:sz w:val="32"/>
          <w:szCs w:val="32"/>
        </w:rPr>
        <w:t>.民生福祉跃上新高度。</w:t>
      </w:r>
      <w:r>
        <w:rPr>
          <w:rStyle w:val="7"/>
          <w:rFonts w:hint="eastAsia" w:ascii="仿宋_GB2312" w:hAnsi="仿宋" w:eastAsia="仿宋_GB2312"/>
          <w:color w:val="030303"/>
          <w:sz w:val="32"/>
          <w:szCs w:val="32"/>
        </w:rPr>
        <w:t>点对点排查，解决“一公里”问题。</w:t>
      </w:r>
      <w:r>
        <w:rPr>
          <w:rFonts w:hint="eastAsia" w:ascii="仿宋_GB2312" w:hAnsi="仿宋" w:eastAsia="仿宋_GB2312"/>
          <w:color w:val="030303"/>
          <w:sz w:val="32"/>
          <w:szCs w:val="32"/>
        </w:rPr>
        <w:t>守好“外防输入”防线，抓实全街常态化疫情防控，做到宣传理念深入人心，数据日清日结，台账真实可靠。全街累计排查居民</w:t>
      </w:r>
      <w:r>
        <w:rPr>
          <w:rFonts w:ascii="仿宋_GB2312" w:hAnsi="仿宋" w:eastAsia="仿宋_GB2312"/>
          <w:color w:val="030303"/>
          <w:sz w:val="32"/>
          <w:szCs w:val="32"/>
        </w:rPr>
        <w:t>52106</w:t>
      </w:r>
      <w:r>
        <w:rPr>
          <w:rFonts w:hint="eastAsia" w:ascii="仿宋_GB2312" w:hAnsi="仿宋" w:eastAsia="仿宋_GB2312"/>
          <w:color w:val="030303"/>
          <w:sz w:val="32"/>
          <w:szCs w:val="32"/>
        </w:rPr>
        <w:t>户，管理服务“四包一”对象2039人，处理大数据1050条，累计核酸检测3612人，为实现全街“零疑似、零感染”打下坚实基础。</w:t>
      </w:r>
      <w:r>
        <w:rPr>
          <w:rStyle w:val="7"/>
          <w:rFonts w:hint="eastAsia" w:ascii="仿宋_GB2312" w:hAnsi="仿宋" w:eastAsia="仿宋_GB2312"/>
          <w:color w:val="030303"/>
          <w:sz w:val="32"/>
          <w:szCs w:val="32"/>
        </w:rPr>
        <w:t>心贴心交流，解决“一揽子”问题。</w:t>
      </w:r>
      <w:r>
        <w:rPr>
          <w:rFonts w:hint="eastAsia" w:ascii="仿宋_GB2312" w:hAnsi="仿宋" w:eastAsia="仿宋_GB2312"/>
          <w:color w:val="030303"/>
          <w:sz w:val="32"/>
          <w:szCs w:val="32"/>
        </w:rPr>
        <w:t>12345市民服务热线全天候接受群众来电来件，将诉求和民意准确传达给各职能部门，全年处理市民服务热线工单共2241件，满意率为98.52%。</w:t>
      </w:r>
      <w:r>
        <w:rPr>
          <w:rStyle w:val="7"/>
          <w:rFonts w:hint="eastAsia" w:ascii="仿宋_GB2312" w:hAnsi="仿宋" w:eastAsia="仿宋_GB2312"/>
          <w:color w:val="030303"/>
          <w:sz w:val="32"/>
          <w:szCs w:val="32"/>
        </w:rPr>
        <w:t>实打实服务，解决“一体化”问题。</w:t>
      </w:r>
      <w:r>
        <w:rPr>
          <w:rFonts w:hint="eastAsia" w:ascii="仿宋_GB2312" w:hAnsi="仿宋" w:eastAsia="仿宋_GB2312"/>
          <w:color w:val="030303"/>
          <w:sz w:val="32"/>
          <w:szCs w:val="32"/>
        </w:rPr>
        <w:t>全面深化“一件事一次办”改革，对标《雨花区社区（村）高频政务服务事项》40项有关内容的标准，简化政务服务工作流程，全年受理各类事项2020余件，受理消费者投诉举报、来信等合计3860件。</w:t>
      </w:r>
    </w:p>
    <w:p>
      <w:pPr>
        <w:pStyle w:val="15"/>
        <w:keepNext w:val="0"/>
        <w:keepLines w:val="0"/>
        <w:pageBreakBefore w:val="0"/>
        <w:widowControl/>
        <w:kinsoku/>
        <w:wordWrap/>
        <w:overflowPunct/>
        <w:topLinePunct w:val="0"/>
        <w:autoSpaceDE/>
        <w:autoSpaceDN/>
        <w:bidi w:val="0"/>
        <w:adjustRightInd/>
        <w:snapToGrid/>
        <w:spacing w:line="520" w:lineRule="exact"/>
        <w:ind w:left="640" w:firstLine="0" w:firstLineChars="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、存在的问题及原因分析</w:t>
      </w:r>
    </w:p>
    <w:p>
      <w:pPr>
        <w:keepNext w:val="0"/>
        <w:keepLines w:val="0"/>
        <w:pageBreakBefore w:val="0"/>
        <w:widowControl/>
        <w:kinsoku/>
        <w:wordWrap/>
        <w:overflowPunct/>
        <w:topLinePunct w:val="0"/>
        <w:autoSpaceDE/>
        <w:autoSpaceDN/>
        <w:bidi w:val="0"/>
        <w:adjustRightInd/>
        <w:snapToGrid/>
        <w:spacing w:line="520" w:lineRule="exact"/>
        <w:ind w:firstLine="964" w:firstLineChars="3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2"/>
          <w:sz w:val="32"/>
          <w:szCs w:val="32"/>
          <w:lang w:val="en-US" w:eastAsia="zh-CN" w:bidi="ar-SA"/>
        </w:rPr>
        <w:t>存在的问题：</w:t>
      </w:r>
      <w:r>
        <w:rPr>
          <w:rFonts w:hint="eastAsia" w:ascii="仿宋_GB2312" w:hAnsi="仿宋_GB2312" w:eastAsia="仿宋_GB2312" w:cs="仿宋_GB2312"/>
          <w:sz w:val="32"/>
          <w:szCs w:val="32"/>
        </w:rPr>
        <w:t>绩效目标设置不规范。绩效目标未细化量化，无法体现绩效目标的实现程度</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964" w:firstLine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原因：</w:t>
      </w:r>
      <w:r>
        <w:rPr>
          <w:rFonts w:hint="eastAsia" w:ascii="仿宋_GB2312" w:hAnsi="仿宋_GB2312" w:eastAsia="仿宋_GB2312" w:cs="仿宋_GB2312"/>
          <w:sz w:val="32"/>
          <w:szCs w:val="32"/>
        </w:rPr>
        <w:t>缺少对效益指标的合理预测，造成目标值与实现情况</w:t>
      </w:r>
      <w:r>
        <w:rPr>
          <w:rFonts w:hint="eastAsia" w:ascii="仿宋_GB2312" w:hAnsi="仿宋_GB2312" w:eastAsia="仿宋_GB2312" w:cs="仿宋_GB2312"/>
          <w:sz w:val="32"/>
          <w:szCs w:val="32"/>
          <w:lang w:eastAsia="zh-CN"/>
        </w:rPr>
        <w:t>之间的</w:t>
      </w:r>
      <w:r>
        <w:rPr>
          <w:rFonts w:hint="eastAsia" w:ascii="仿宋_GB2312" w:hAnsi="仿宋_GB2312" w:eastAsia="仿宋_GB2312" w:cs="仿宋_GB2312"/>
          <w:sz w:val="32"/>
          <w:szCs w:val="32"/>
        </w:rPr>
        <w:t>差距。</w:t>
      </w:r>
    </w:p>
    <w:p>
      <w:pPr>
        <w:keepNext w:val="0"/>
        <w:keepLines w:val="0"/>
        <w:pageBreakBefore w:val="0"/>
        <w:widowControl/>
        <w:numPr>
          <w:ilvl w:val="0"/>
          <w:numId w:val="5"/>
        </w:numPr>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下一步改进措施</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）细化预算编制工作，认真做好年初预算编制。进一步加强单位内部各</w:t>
      </w:r>
      <w:r>
        <w:rPr>
          <w:rFonts w:hint="eastAsia" w:ascii="仿宋_GB2312" w:hAnsi="仿宋_GB2312" w:eastAsia="仿宋_GB2312" w:cs="仿宋_GB2312"/>
          <w:sz w:val="32"/>
          <w:szCs w:val="32"/>
          <w:lang w:eastAsia="zh-CN"/>
        </w:rPr>
        <w:t>办公</w:t>
      </w:r>
      <w:r>
        <w:rPr>
          <w:rFonts w:hint="eastAsia" w:ascii="仿宋_GB2312" w:hAnsi="仿宋_GB2312" w:eastAsia="仿宋_GB2312" w:cs="仿宋_GB2312"/>
          <w:sz w:val="32"/>
          <w:szCs w:val="32"/>
        </w:rPr>
        <w:t>室的预算管理意识，严格按照预算编制的相关要求进行编制。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合理编制预算绩效目标。单位要依据年初计划，以客观的、可测量的绩效指标来编制绩效目标，做到细化量化，科学合理，实现预算绩效目标设置与项目绩效运行跟踪监控的有效结合，提升资金的使用效率。</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、绩效自评结果拟应用和公开情况</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绩效评价结果为导向，实现公共服务市场化，提高企业和群众的满意度。通过企业和群众满意标准的实施，评价政府部门提供的公共服务与企业和群众满意度之间的差距，并通过资金使用效率的优化，降低服务成本，真正建立起服务型和效能型政府。</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将按照绩效评价的公开相关要求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根据财政相关要求进行公开。</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其他需要说明的情况</w:t>
      </w:r>
    </w:p>
    <w:p/>
    <w:p/>
    <w:p/>
    <w:p/>
    <w:p/>
    <w:p/>
    <w:p/>
    <w:p>
      <w:pPr>
        <w:keepNext w:val="0"/>
        <w:keepLines w:val="0"/>
        <w:pageBreakBefore w:val="0"/>
        <w:kinsoku/>
        <w:wordWrap/>
        <w:overflowPunct/>
        <w:topLinePunct w:val="0"/>
        <w:autoSpaceDE/>
        <w:autoSpaceDN/>
        <w:bidi w:val="0"/>
        <w:adjustRightInd/>
        <w:spacing w:line="560" w:lineRule="exact"/>
        <w:ind w:firstLine="796" w:firstLineChars="249"/>
        <w:jc w:val="center"/>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长沙市雨花区高桥街道办事处</w:t>
      </w:r>
    </w:p>
    <w:p>
      <w:pPr>
        <w:keepNext w:val="0"/>
        <w:keepLines w:val="0"/>
        <w:pageBreakBefore w:val="0"/>
        <w:kinsoku/>
        <w:wordWrap/>
        <w:overflowPunct/>
        <w:topLinePunct w:val="0"/>
        <w:autoSpaceDE/>
        <w:autoSpaceDN/>
        <w:bidi w:val="0"/>
        <w:adjustRightInd/>
        <w:spacing w:line="560" w:lineRule="exact"/>
        <w:ind w:firstLine="796" w:firstLineChars="249"/>
        <w:jc w:val="center"/>
        <w:textAlignment w:val="auto"/>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年3月3</w:t>
      </w:r>
      <w:r>
        <w:rPr>
          <w:rFonts w:hint="eastAsia" w:ascii="仿宋" w:hAnsi="仿宋" w:eastAsia="仿宋"/>
          <w:sz w:val="32"/>
          <w:szCs w:val="32"/>
          <w:lang w:val="en-US" w:eastAsia="zh-CN"/>
        </w:rPr>
        <w:t>1</w:t>
      </w:r>
      <w:r>
        <w:rPr>
          <w:rFonts w:hint="eastAsia" w:ascii="仿宋" w:hAnsi="仿宋" w:eastAsia="仿宋"/>
          <w:sz w:val="32"/>
          <w:szCs w:val="32"/>
        </w:rPr>
        <w:t>日</w:t>
      </w:r>
    </w:p>
    <w:p/>
    <w:p/>
    <w:p/>
    <w:p/>
    <w:p/>
    <w:p/>
    <w:p/>
    <w:p/>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71B37"/>
    <w:multiLevelType w:val="singleLevel"/>
    <w:tmpl w:val="83E71B37"/>
    <w:lvl w:ilvl="0" w:tentative="0">
      <w:start w:val="1"/>
      <w:numFmt w:val="chineseCounting"/>
      <w:suff w:val="nothing"/>
      <w:lvlText w:val="%1、"/>
      <w:lvlJc w:val="left"/>
      <w:rPr>
        <w:rFonts w:hint="eastAsia"/>
      </w:rPr>
    </w:lvl>
  </w:abstractNum>
  <w:abstractNum w:abstractNumId="1">
    <w:nsid w:val="9AB518FF"/>
    <w:multiLevelType w:val="singleLevel"/>
    <w:tmpl w:val="9AB518FF"/>
    <w:lvl w:ilvl="0" w:tentative="0">
      <w:start w:val="5"/>
      <w:numFmt w:val="chineseCounting"/>
      <w:suff w:val="nothing"/>
      <w:lvlText w:val="%1、"/>
      <w:lvlJc w:val="left"/>
      <w:rPr>
        <w:rFonts w:hint="eastAsia"/>
      </w:rPr>
    </w:lvl>
  </w:abstractNum>
  <w:abstractNum w:abstractNumId="2">
    <w:nsid w:val="AE54DF20"/>
    <w:multiLevelType w:val="singleLevel"/>
    <w:tmpl w:val="AE54DF20"/>
    <w:lvl w:ilvl="0" w:tentative="0">
      <w:start w:val="1"/>
      <w:numFmt w:val="decimal"/>
      <w:suff w:val="nothing"/>
      <w:lvlText w:val="（%1）"/>
      <w:lvlJc w:val="left"/>
    </w:lvl>
  </w:abstractNum>
  <w:abstractNum w:abstractNumId="3">
    <w:nsid w:val="D135BFDD"/>
    <w:multiLevelType w:val="singleLevel"/>
    <w:tmpl w:val="D135BFDD"/>
    <w:lvl w:ilvl="0" w:tentative="0">
      <w:start w:val="2"/>
      <w:numFmt w:val="decimal"/>
      <w:lvlText w:val="%1."/>
      <w:lvlJc w:val="left"/>
      <w:pPr>
        <w:tabs>
          <w:tab w:val="left" w:pos="312"/>
        </w:tabs>
      </w:pPr>
    </w:lvl>
  </w:abstractNum>
  <w:abstractNum w:abstractNumId="4">
    <w:nsid w:val="54CB28F4"/>
    <w:multiLevelType w:val="singleLevel"/>
    <w:tmpl w:val="54CB28F4"/>
    <w:lvl w:ilvl="0" w:tentative="0">
      <w:start w:val="2"/>
      <w:numFmt w:val="decimal"/>
      <w:suff w:val="nothing"/>
      <w:lvlText w:val="%1、"/>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5Y2E1NmQwNWFkZmE1MTZkOTQwZWY1ZjE0YmNkNGUifQ=="/>
  </w:docVars>
  <w:rsids>
    <w:rsidRoot w:val="2F7D712F"/>
    <w:rsid w:val="03AB3CD0"/>
    <w:rsid w:val="072450B9"/>
    <w:rsid w:val="090B61E1"/>
    <w:rsid w:val="1C366394"/>
    <w:rsid w:val="1FE04D8B"/>
    <w:rsid w:val="27591D35"/>
    <w:rsid w:val="28345A3F"/>
    <w:rsid w:val="28BD0FCA"/>
    <w:rsid w:val="2A0F2078"/>
    <w:rsid w:val="2ABD7EB0"/>
    <w:rsid w:val="2BE10696"/>
    <w:rsid w:val="2F7D712F"/>
    <w:rsid w:val="37E467E7"/>
    <w:rsid w:val="3AD60660"/>
    <w:rsid w:val="3E956289"/>
    <w:rsid w:val="3EAD75BC"/>
    <w:rsid w:val="41E06EDA"/>
    <w:rsid w:val="434A5CA6"/>
    <w:rsid w:val="439809CA"/>
    <w:rsid w:val="459B5CA0"/>
    <w:rsid w:val="495220C2"/>
    <w:rsid w:val="4ABA2B6C"/>
    <w:rsid w:val="4BAB32E9"/>
    <w:rsid w:val="4DE230A5"/>
    <w:rsid w:val="533F4E7F"/>
    <w:rsid w:val="5486224A"/>
    <w:rsid w:val="57041715"/>
    <w:rsid w:val="5CF70570"/>
    <w:rsid w:val="6094253D"/>
    <w:rsid w:val="64DD09ED"/>
    <w:rsid w:val="6D1D02EE"/>
    <w:rsid w:val="705957E9"/>
    <w:rsid w:val="788635D4"/>
    <w:rsid w:val="79781D3D"/>
    <w:rsid w:val="7A0C11FD"/>
    <w:rsid w:val="7C3127DF"/>
    <w:rsid w:val="7CA22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100" w:beforeAutospacing="1" w:after="100" w:afterAutospacing="1"/>
      <w:jc w:val="left"/>
    </w:pPr>
    <w:rPr>
      <w:kern w:val="0"/>
      <w:sz w:val="24"/>
    </w:rPr>
  </w:style>
  <w:style w:type="character" w:styleId="7">
    <w:name w:val="Strong"/>
    <w:qFormat/>
    <w:uiPriority w:val="22"/>
    <w:rPr>
      <w:b/>
      <w:bCs/>
    </w:rPr>
  </w:style>
  <w:style w:type="character" w:styleId="8">
    <w:name w:val="FollowedHyperlink"/>
    <w:basedOn w:val="6"/>
    <w:qFormat/>
    <w:uiPriority w:val="0"/>
    <w:rPr>
      <w:color w:val="333333"/>
      <w:u w:val="none"/>
    </w:rPr>
  </w:style>
  <w:style w:type="character" w:styleId="9">
    <w:name w:val="Emphasis"/>
    <w:basedOn w:val="6"/>
    <w:qFormat/>
    <w:uiPriority w:val="0"/>
    <w:rPr>
      <w:rFonts w:ascii="微软雅黑" w:hAnsi="微软雅黑" w:eastAsia="微软雅黑" w:cs="微软雅黑"/>
    </w:rPr>
  </w:style>
  <w:style w:type="character" w:styleId="10">
    <w:name w:val="Hyperlink"/>
    <w:basedOn w:val="6"/>
    <w:qFormat/>
    <w:uiPriority w:val="0"/>
    <w:rPr>
      <w:color w:val="333333"/>
      <w:u w:val="none"/>
    </w:rPr>
  </w:style>
  <w:style w:type="character" w:customStyle="1" w:styleId="11">
    <w:name w:val="font41"/>
    <w:basedOn w:val="6"/>
    <w:qFormat/>
    <w:uiPriority w:val="0"/>
    <w:rPr>
      <w:rFonts w:hint="eastAsia" w:ascii="宋体" w:hAnsi="宋体" w:eastAsia="宋体" w:cs="宋体"/>
      <w:color w:val="000000"/>
      <w:sz w:val="18"/>
      <w:szCs w:val="18"/>
      <w:u w:val="none"/>
    </w:rPr>
  </w:style>
  <w:style w:type="character" w:customStyle="1" w:styleId="12">
    <w:name w:val="font31"/>
    <w:basedOn w:val="6"/>
    <w:qFormat/>
    <w:uiPriority w:val="0"/>
    <w:rPr>
      <w:rFonts w:hint="default" w:ascii="Times New Roman" w:hAnsi="Times New Roman" w:cs="Times New Roman"/>
      <w:color w:val="000000"/>
      <w:sz w:val="18"/>
      <w:szCs w:val="18"/>
      <w:u w:val="none"/>
    </w:rPr>
  </w:style>
  <w:style w:type="character" w:customStyle="1" w:styleId="13">
    <w:name w:val="font21"/>
    <w:basedOn w:val="6"/>
    <w:qFormat/>
    <w:uiPriority w:val="0"/>
    <w:rPr>
      <w:rFonts w:hint="eastAsia" w:ascii="宋体" w:hAnsi="宋体" w:eastAsia="宋体" w:cs="宋体"/>
      <w:color w:val="FF0000"/>
      <w:sz w:val="18"/>
      <w:szCs w:val="18"/>
      <w:u w:val="none"/>
    </w:rPr>
  </w:style>
  <w:style w:type="character" w:customStyle="1" w:styleId="14">
    <w:name w:val="font11"/>
    <w:basedOn w:val="6"/>
    <w:qFormat/>
    <w:uiPriority w:val="0"/>
    <w:rPr>
      <w:rFonts w:hint="default" w:ascii="Times New Roman" w:hAnsi="Times New Roman" w:cs="Times New Roman"/>
      <w:color w:val="FF0000"/>
      <w:sz w:val="18"/>
      <w:szCs w:val="18"/>
      <w:u w:val="none"/>
    </w:rPr>
  </w:style>
  <w:style w:type="paragraph" w:styleId="15">
    <w:name w:val="List Paragraph"/>
    <w:basedOn w:val="1"/>
    <w:qFormat/>
    <w:uiPriority w:val="99"/>
    <w:pPr>
      <w:ind w:firstLine="420" w:firstLineChars="200"/>
    </w:pPr>
    <w:rPr>
      <w:rFonts w:ascii="Calibri" w:hAnsi="Calibri" w:eastAsia="宋体" w:cs="Times New Roman"/>
      <w:szCs w:val="22"/>
    </w:rPr>
  </w:style>
  <w:style w:type="character" w:customStyle="1" w:styleId="16">
    <w:name w:val="n3"/>
    <w:basedOn w:val="6"/>
    <w:qFormat/>
    <w:uiPriority w:val="0"/>
  </w:style>
  <w:style w:type="character" w:customStyle="1" w:styleId="17">
    <w:name w:val="a4"/>
    <w:basedOn w:val="6"/>
    <w:qFormat/>
    <w:uiPriority w:val="0"/>
  </w:style>
  <w:style w:type="character" w:customStyle="1" w:styleId="18">
    <w:name w:val="a2"/>
    <w:basedOn w:val="6"/>
    <w:qFormat/>
    <w:uiPriority w:val="0"/>
  </w:style>
  <w:style w:type="character" w:customStyle="1" w:styleId="19">
    <w:name w:val="a1"/>
    <w:basedOn w:val="6"/>
    <w:qFormat/>
    <w:uiPriority w:val="0"/>
  </w:style>
  <w:style w:type="character" w:customStyle="1" w:styleId="20">
    <w:name w:val="a3"/>
    <w:basedOn w:val="6"/>
    <w:qFormat/>
    <w:uiPriority w:val="0"/>
  </w:style>
  <w:style w:type="character" w:customStyle="1" w:styleId="21">
    <w:name w:val="n4"/>
    <w:basedOn w:val="6"/>
    <w:qFormat/>
    <w:uiPriority w:val="0"/>
  </w:style>
  <w:style w:type="character" w:customStyle="1" w:styleId="22">
    <w:name w:val="n1"/>
    <w:basedOn w:val="6"/>
    <w:qFormat/>
    <w:uiPriority w:val="0"/>
  </w:style>
  <w:style w:type="character" w:customStyle="1" w:styleId="23">
    <w:name w:val="n2"/>
    <w:basedOn w:val="6"/>
    <w:qFormat/>
    <w:uiPriority w:val="0"/>
  </w:style>
  <w:style w:type="character" w:customStyle="1" w:styleId="24">
    <w:name w:val="n5"/>
    <w:basedOn w:val="6"/>
    <w:qFormat/>
    <w:uiPriority w:val="0"/>
  </w:style>
  <w:style w:type="character" w:customStyle="1" w:styleId="25">
    <w:name w:val="line"/>
    <w:basedOn w:val="6"/>
    <w:qFormat/>
    <w:uiPriority w:val="0"/>
  </w:style>
  <w:style w:type="character" w:customStyle="1" w:styleId="26">
    <w:name w:val="line1"/>
    <w:basedOn w:val="6"/>
    <w:qFormat/>
    <w:uiPriority w:val="0"/>
  </w:style>
  <w:style w:type="character" w:customStyle="1" w:styleId="27">
    <w:name w:val="hover29"/>
    <w:basedOn w:val="6"/>
    <w:qFormat/>
    <w:uiPriority w:val="0"/>
    <w:rPr>
      <w:color w:val="000000"/>
      <w:shd w:val="clear" w:fill="FFFFFF"/>
    </w:rPr>
  </w:style>
  <w:style w:type="character" w:customStyle="1" w:styleId="28">
    <w:name w:val="bsharetext"/>
    <w:basedOn w:val="6"/>
    <w:qFormat/>
    <w:uiPriority w:val="0"/>
  </w:style>
  <w:style w:type="character" w:customStyle="1" w:styleId="29">
    <w:name w:val="wx-space"/>
    <w:basedOn w:val="6"/>
    <w:qFormat/>
    <w:uiPriority w:val="0"/>
  </w:style>
  <w:style w:type="character" w:customStyle="1" w:styleId="30">
    <w:name w:val="wx-space1"/>
    <w:basedOn w:val="6"/>
    <w:qFormat/>
    <w:uiPriority w:val="0"/>
  </w:style>
  <w:style w:type="character" w:customStyle="1" w:styleId="31">
    <w:name w:val="hover27"/>
    <w:basedOn w:val="6"/>
    <w:qFormat/>
    <w:uiPriority w:val="0"/>
    <w:rPr>
      <w:color w:val="00000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9099</Words>
  <Characters>9648</Characters>
  <Lines>0</Lines>
  <Paragraphs>0</Paragraphs>
  <TotalTime>5</TotalTime>
  <ScaleCrop>false</ScaleCrop>
  <LinksUpToDate>false</LinksUpToDate>
  <CharactersWithSpaces>9877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2021-02-23T08:52:00Z</cp:lastPrinted>
  <dcterms:modified xsi:type="dcterms:W3CDTF">2023-04-19T04:02:09Z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C8737C3B3B9C4F9C87D290031830D444</vt:lpwstr>
  </property>
</Properties>
</file>