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lang w:val="en-US" w:eastAsia="zh-CN"/>
        </w:rPr>
        <w:t>19</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长沙</w:t>
      </w:r>
      <w:r>
        <w:rPr>
          <w:rFonts w:eastAsia="仿宋_GB2312"/>
          <w:sz w:val="32"/>
          <w:u w:val="single"/>
        </w:rPr>
        <w:t>市雨</w:t>
      </w:r>
      <w:r>
        <w:rPr>
          <w:rFonts w:hint="eastAsia" w:eastAsia="仿宋_GB2312"/>
          <w:sz w:val="32"/>
          <w:u w:val="single"/>
        </w:rPr>
        <w:t>花</w:t>
      </w:r>
      <w:r>
        <w:rPr>
          <w:rFonts w:eastAsia="仿宋_GB2312"/>
          <w:sz w:val="32"/>
          <w:u w:val="single"/>
        </w:rPr>
        <w:t>区高桥街道办</w:t>
      </w:r>
      <w:r>
        <w:rPr>
          <w:rFonts w:hint="eastAsia" w:eastAsia="仿宋_GB2312"/>
          <w:sz w:val="32"/>
          <w:u w:val="single"/>
        </w:rPr>
        <w:t>事</w:t>
      </w:r>
      <w:r>
        <w:rPr>
          <w:rFonts w:eastAsia="仿宋_GB2312"/>
          <w:sz w:val="32"/>
          <w:u w:val="single"/>
        </w:rPr>
        <w:t>处</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预算编码</w:t>
      </w:r>
      <w:r>
        <w:rPr>
          <w:rFonts w:hint="eastAsia" w:eastAsia="仿宋_GB2312"/>
          <w:sz w:val="32"/>
          <w:u w:val="single"/>
        </w:rPr>
        <w:t xml:space="preserve">           </w:t>
      </w:r>
      <w:r>
        <w:rPr>
          <w:rFonts w:eastAsia="仿宋_GB2312"/>
          <w:sz w:val="32"/>
          <w:u w:val="single"/>
        </w:rPr>
        <w:t>055</w:t>
      </w:r>
      <w:r>
        <w:rPr>
          <w:rFonts w:hint="eastAsia" w:eastAsia="仿宋_GB2312"/>
          <w:sz w:val="32"/>
          <w:u w:val="single"/>
        </w:rPr>
        <w:t xml:space="preserve">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报告日期：</w:t>
      </w:r>
      <w:r>
        <w:rPr>
          <w:rFonts w:hint="eastAsia" w:eastAsia="仿宋_GB2312"/>
          <w:sz w:val="32"/>
          <w:lang w:val="en-US" w:eastAsia="zh-CN"/>
        </w:rPr>
        <w:t>2019</w:t>
      </w:r>
      <w:r>
        <w:rPr>
          <w:rFonts w:hint="eastAsia" w:eastAsia="仿宋_GB2312"/>
          <w:sz w:val="32"/>
        </w:rPr>
        <w:t>年</w:t>
      </w:r>
      <w:r>
        <w:rPr>
          <w:rFonts w:hint="eastAsia" w:eastAsia="仿宋_GB2312"/>
          <w:sz w:val="32"/>
          <w:lang w:val="en-US" w:eastAsia="zh-CN"/>
        </w:rPr>
        <w:t>3</w:t>
      </w:r>
      <w:r>
        <w:rPr>
          <w:rFonts w:hint="eastAsia" w:eastAsia="仿宋_GB2312"/>
          <w:sz w:val="32"/>
        </w:rPr>
        <w:t>月</w:t>
      </w:r>
      <w:r>
        <w:rPr>
          <w:rFonts w:hint="eastAsia" w:eastAsia="仿宋_GB2312"/>
          <w:sz w:val="32"/>
          <w:lang w:val="en-US" w:eastAsia="zh-CN"/>
        </w:rPr>
        <w:t>31</w:t>
      </w:r>
      <w:r>
        <w:rPr>
          <w:rFonts w:hint="eastAsia" w:eastAsia="仿宋_GB2312"/>
          <w:sz w:val="32"/>
        </w:rPr>
        <w:t>日</w:t>
      </w:r>
    </w:p>
    <w:p>
      <w:pPr>
        <w:autoSpaceDN w:val="0"/>
        <w:jc w:val="center"/>
        <w:textAlignment w:val="center"/>
        <w:rPr>
          <w:rFonts w:hint="eastAsia" w:eastAsia="仿宋_GB2312"/>
          <w:sz w:val="32"/>
          <w:szCs w:val="32"/>
        </w:rPr>
      </w:pPr>
      <w:r>
        <w:rPr>
          <w:rFonts w:hint="eastAsia" w:eastAsia="仿宋_GB2312"/>
          <w:sz w:val="32"/>
        </w:rPr>
        <w:t>雨花区财政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4" w:type="default"/>
          <w:headerReference r:id="rId3" w:type="even"/>
          <w:footerReference r:id="rId5" w:type="even"/>
          <w:pgSz w:w="11906" w:h="16838"/>
          <w:pgMar w:top="1701" w:right="1417" w:bottom="1701" w:left="1417" w:header="851" w:footer="992" w:gutter="0"/>
          <w:pgNumType w:fmt="numberInDash" w:start="8"/>
          <w:cols w:space="720" w:num="1"/>
          <w:titlePg/>
          <w:docGrid w:type="linesAndChars" w:linePitch="602" w:charSpace="-782"/>
        </w:sectPr>
      </w:pPr>
    </w:p>
    <w:p>
      <w:pPr>
        <w:spacing w:line="348" w:lineRule="auto"/>
        <w:rPr>
          <w:rFonts w:hint="eastAsia" w:eastAsia="黑体" w:cs="黑体"/>
          <w:bCs/>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p>
    <w:p>
      <w:pPr>
        <w:spacing w:line="560" w:lineRule="exact"/>
        <w:rPr>
          <w:rFonts w:ascii="宋体" w:hAnsi="宋体" w:cs="宋体"/>
          <w:kern w:val="0"/>
          <w:sz w:val="24"/>
        </w:rPr>
      </w:pPr>
      <w:r>
        <w:rPr>
          <w:rFonts w:ascii="宋体" w:hAnsi="宋体" w:cs="宋体"/>
          <w:kern w:val="0"/>
          <w:sz w:val="24"/>
        </w:rPr>
        <w:tab/>
      </w:r>
      <w:r>
        <w:rPr>
          <w:rFonts w:ascii="宋体" w:hAnsi="宋体" w:cs="宋体"/>
          <w:kern w:val="0"/>
          <w:sz w:val="24"/>
        </w:rPr>
        <w:tab/>
      </w:r>
    </w:p>
    <w:p>
      <w:pPr>
        <w:widowControl/>
        <w:ind w:left="93"/>
        <w:jc w:val="center"/>
        <w:rPr>
          <w:rFonts w:ascii="宋体" w:hAnsi="宋体" w:cs="宋体"/>
          <w:kern w:val="0"/>
          <w:sz w:val="24"/>
        </w:rPr>
      </w:pPr>
      <w:r>
        <w:rPr>
          <w:rFonts w:hint="eastAsia" w:ascii="方正小标宋_GBK" w:hAnsi="宋体" w:eastAsia="方正小标宋_GBK" w:cs="宋体"/>
          <w:kern w:val="0"/>
          <w:sz w:val="36"/>
          <w:szCs w:val="36"/>
        </w:rPr>
        <w:t>部门整体支出绩效评价指标表</w:t>
      </w:r>
    </w:p>
    <w:tbl>
      <w:tblPr>
        <w:tblStyle w:val="4"/>
        <w:tblW w:w="0" w:type="auto"/>
        <w:jc w:val="center"/>
        <w:tblLayout w:type="fixed"/>
        <w:tblCellMar>
          <w:top w:w="0" w:type="dxa"/>
          <w:left w:w="108" w:type="dxa"/>
          <w:bottom w:w="0" w:type="dxa"/>
          <w:right w:w="108" w:type="dxa"/>
        </w:tblCellMar>
      </w:tblPr>
      <w:tblGrid>
        <w:gridCol w:w="518"/>
        <w:gridCol w:w="439"/>
        <w:gridCol w:w="675"/>
        <w:gridCol w:w="439"/>
        <w:gridCol w:w="1009"/>
        <w:gridCol w:w="416"/>
        <w:gridCol w:w="2999"/>
        <w:gridCol w:w="3470"/>
        <w:gridCol w:w="635"/>
      </w:tblGrid>
      <w:tr>
        <w:tblPrEx>
          <w:tblCellMar>
            <w:top w:w="0" w:type="dxa"/>
            <w:left w:w="108" w:type="dxa"/>
            <w:bottom w:w="0" w:type="dxa"/>
            <w:right w:w="108" w:type="dxa"/>
          </w:tblCellMar>
        </w:tblPrEx>
        <w:trPr>
          <w:tblHeader/>
          <w:jc w:val="center"/>
        </w:trPr>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一级指标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二级指标</w:t>
            </w:r>
          </w:p>
        </w:tc>
        <w:tc>
          <w:tcPr>
            <w:tcW w:w="43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三级</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分值</w:t>
            </w:r>
          </w:p>
        </w:tc>
        <w:tc>
          <w:tcPr>
            <w:tcW w:w="29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评价标准</w:t>
            </w:r>
          </w:p>
        </w:tc>
        <w:tc>
          <w:tcPr>
            <w:tcW w:w="34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指标说明</w:t>
            </w:r>
          </w:p>
        </w:tc>
        <w:tc>
          <w:tcPr>
            <w:tcW w:w="63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得分</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投入</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675" w:type="dxa"/>
            <w:vMerge w:val="restar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nil"/>
              <w:right w:val="nil"/>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以100%为标准。在职人员控制率</w:t>
            </w:r>
            <w:r>
              <w:rPr>
                <w:rFonts w:hint="eastAsia" w:ascii="宋体" w:hAnsi="宋体" w:cs="宋体"/>
                <w:kern w:val="0"/>
                <w:sz w:val="20"/>
                <w:szCs w:val="20"/>
              </w:rPr>
              <w:t>≦</w:t>
            </w:r>
            <w:r>
              <w:rPr>
                <w:rFonts w:hint="eastAsia" w:ascii="仿宋_GB2312" w:hAnsi="宋体" w:eastAsia="仿宋_GB2312" w:cs="宋体"/>
                <w:kern w:val="0"/>
                <w:sz w:val="20"/>
                <w:szCs w:val="20"/>
              </w:rPr>
              <w:t>100%，计5分；每超过一个百分点扣0.5分，扣完为止。</w:t>
            </w:r>
          </w:p>
        </w:tc>
        <w:tc>
          <w:tcPr>
            <w:tcW w:w="3470" w:type="dxa"/>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在职人员控制率=（在职人员数/编制数）×100%，在职人员数：部门（单位）实际在职人数，以财政局确定的部门决算编制口径为准。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编制数：机构编制部门核定批复的部门（单位）的人员编制数。</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宋体" w:hAnsi="宋体" w:cs="宋体"/>
                <w:kern w:val="0"/>
                <w:sz w:val="20"/>
                <w:szCs w:val="20"/>
              </w:rPr>
              <w:t>≦</w:t>
            </w:r>
            <w:r>
              <w:rPr>
                <w:rFonts w:hint="eastAsia" w:ascii="仿宋_GB2312" w:hAnsi="宋体" w:eastAsia="仿宋_GB2312" w:cs="宋体"/>
                <w:kern w:val="0"/>
                <w:sz w:val="20"/>
                <w:szCs w:val="20"/>
              </w:rPr>
              <w:t>0,计8分；“三公经费”＞0，每超过一个百分点扣0.8分，扣完为止。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“在公经费”变动率=[（本年度“三公经费”预算数-上年度“三公经费”预算数）/上年度“三公经费”预算数]×100%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100%计满分，每低于5%扣2分，扣完为止。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预算完成率=（上年结转+年初预算+本年追加预算-年末结余/上年结转+年初预算+本年追加预算）×100%。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预算控制率=0，计5分；0-10%（含），计4分；10-20%（含），计3分；20-30%（含），计2分；大于30%不得分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预算控制率=（本年追加预算/年初预算）×100%。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160"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新建楼堂馆所面积控制率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100%以下（含）计满分，每超出5%扣2分，扣完为止。没有楼梯馆所项目的部门按满分计算</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楼堂馆所面积控制率=实际建设面积/批准建设面积×100%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4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新建楼堂馆所投资概算控制率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楼堂馆所投资预算控制率=实际投资金额/批准投资金额×100%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该指标以2015年完工的新建楼堂馆所为评价内容。</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公用经费控制率=（实际支出公用经费总额/预算安排公用经费总额）×100%。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公用经费支出是指部门基本支出中的一般商品和服务支出。</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1073" w:hRule="atLeast"/>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100%以下（含）计满分，每超出1%扣1分，扣完为止。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918" w:hRule="atLeast"/>
          <w:jc w:val="center"/>
        </w:trPr>
        <w:tc>
          <w:tcPr>
            <w:tcW w:w="51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100%计满分，每超过（降低）5%扣2分。扣完为止。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政府采购执行率=（实际政府采购金额/政府采购预算数）×100%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39" w:type="dxa"/>
            <w:vMerge w:val="restart"/>
            <w:tcBorders>
              <w:top w:val="single" w:color="auto" w:sz="4" w:space="0"/>
              <w:left w:val="single" w:color="auto" w:sz="4" w:space="0"/>
              <w:bottom w:val="single" w:color="000000" w:sz="4" w:space="0"/>
              <w:right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675" w:type="dxa"/>
            <w:vMerge w:val="restart"/>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管理制度健全性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①有内部财务管理制度、会计核算制度等管理制度，2分；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②有本部门厉行节约制度,2分；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③相关管理制度合法、合规、完整，2分；④相关管理制度得到有效执行，2分。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资金使用合规性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以上情况每出现一例不符合要求的扣1分，扣完为止。</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产出及效率</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675"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43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009" w:type="dxa"/>
            <w:tcBorders>
              <w:top w:val="nil"/>
              <w:left w:val="nil"/>
              <w:bottom w:val="nil"/>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重点工作实际完成率</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根据绩效办2015年对各部门为民办实事和部门重点工程与重点工作考核分数折算。</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该项得分=（实际产出数/计划产出数）*8</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7</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 效益</w:t>
            </w: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00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经济效益</w:t>
            </w:r>
          </w:p>
        </w:tc>
        <w:tc>
          <w:tcPr>
            <w:tcW w:w="416" w:type="dxa"/>
            <w:vMerge w:val="restart"/>
            <w:tcBorders>
              <w:top w:val="nil"/>
              <w:left w:val="single" w:color="auto" w:sz="4" w:space="0"/>
              <w:bottom w:val="nil"/>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6469"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社会效益</w:t>
            </w:r>
          </w:p>
        </w:tc>
        <w:tc>
          <w:tcPr>
            <w:tcW w:w="416" w:type="dxa"/>
            <w:vMerge w:val="continue"/>
            <w:tcBorders>
              <w:top w:val="nil"/>
              <w:left w:val="single" w:color="auto" w:sz="4" w:space="0"/>
              <w:bottom w:val="nil"/>
              <w:right w:val="single" w:color="auto" w:sz="4" w:space="0"/>
            </w:tcBorders>
            <w:noWrap w:val="0"/>
            <w:vAlign w:val="center"/>
          </w:tcPr>
          <w:p>
            <w:pPr>
              <w:widowControl/>
              <w:jc w:val="left"/>
              <w:rPr>
                <w:rFonts w:ascii="仿宋_GB2312" w:hAnsi="宋体" w:eastAsia="仿宋_GB2312" w:cs="宋体"/>
                <w:kern w:val="0"/>
                <w:sz w:val="20"/>
                <w:szCs w:val="20"/>
              </w:rPr>
            </w:pPr>
          </w:p>
        </w:tc>
        <w:tc>
          <w:tcPr>
            <w:tcW w:w="6469"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ascii="仿宋_GB2312" w:hAnsi="宋体" w:eastAsia="仿宋_GB2312" w:cs="宋体"/>
                <w:kern w:val="0"/>
                <w:sz w:val="20"/>
                <w:szCs w:val="20"/>
              </w:rPr>
            </w:pPr>
          </w:p>
        </w:tc>
        <w:tc>
          <w:tcPr>
            <w:tcW w:w="635" w:type="dxa"/>
            <w:tcBorders>
              <w:top w:val="nil"/>
              <w:left w:val="nil"/>
              <w:bottom w:val="nil"/>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行政效能</w:t>
            </w:r>
          </w:p>
        </w:tc>
        <w:tc>
          <w:tcPr>
            <w:tcW w:w="41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根据部门自评材料评定。</w:t>
            </w:r>
          </w:p>
        </w:tc>
        <w:tc>
          <w:tcPr>
            <w:tcW w:w="635" w:type="dxa"/>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w:t>
            </w:r>
          </w:p>
        </w:tc>
      </w:tr>
      <w:tr>
        <w:tblPrEx>
          <w:tblCellMar>
            <w:top w:w="0" w:type="dxa"/>
            <w:left w:w="108" w:type="dxa"/>
            <w:bottom w:w="0" w:type="dxa"/>
            <w:right w:w="108" w:type="dxa"/>
          </w:tblCellMar>
        </w:tblPrEx>
        <w:trPr>
          <w:jc w:val="center"/>
        </w:trPr>
        <w:tc>
          <w:tcPr>
            <w:tcW w:w="51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67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100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416"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29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90%（含）以上计6分；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80%（含）-90%，计4分；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70%（含）-80%，计2分；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低于70%计0分。</w:t>
            </w:r>
          </w:p>
        </w:tc>
        <w:tc>
          <w:tcPr>
            <w:tcW w:w="347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w:t>
            </w:r>
          </w:p>
        </w:tc>
        <w:tc>
          <w:tcPr>
            <w:tcW w:w="635"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5</w:t>
            </w:r>
          </w:p>
        </w:tc>
      </w:tr>
    </w:tbl>
    <w:p>
      <w:pPr>
        <w:rPr>
          <w:rFonts w:ascii="黑体" w:eastAsia="黑体"/>
          <w:sz w:val="28"/>
          <w:szCs w:val="28"/>
        </w:rPr>
      </w:pPr>
    </w:p>
    <w:p>
      <w:pPr>
        <w:spacing w:line="560" w:lineRule="exact"/>
        <w:rPr>
          <w:rFonts w:ascii="宋体" w:hAnsi="宋体" w:cs="宋体"/>
          <w:kern w:val="0"/>
          <w:sz w:val="24"/>
        </w:rPr>
      </w:pPr>
      <w:r>
        <w:rPr>
          <w:rFonts w:ascii="黑体" w:eastAsia="黑体"/>
          <w:sz w:val="28"/>
          <w:szCs w:val="28"/>
        </w:rPr>
        <w:br w:type="page"/>
      </w:r>
      <w:r>
        <w:rPr>
          <w:rFonts w:hint="eastAsia" w:ascii="黑体" w:hAnsi="宋体" w:eastAsia="黑体" w:cs="宋体"/>
          <w:kern w:val="0"/>
          <w:sz w:val="32"/>
          <w:szCs w:val="32"/>
        </w:rPr>
        <w:t>附件2</w:t>
      </w:r>
      <w:r>
        <w:rPr>
          <w:rFonts w:ascii="黑体" w:hAnsi="宋体" w:eastAsia="黑体" w:cs="宋体"/>
          <w:kern w:val="0"/>
          <w:sz w:val="32"/>
          <w:szCs w:val="32"/>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p>
      <w:pPr>
        <w:widowControl/>
        <w:ind w:left="91"/>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ascii="宋体" w:hAnsi="宋体" w:cs="宋体"/>
          <w:kern w:val="0"/>
          <w:sz w:val="24"/>
        </w:rPr>
      </w:pPr>
      <w:r>
        <w:rPr>
          <w:rFonts w:hint="eastAsia" w:ascii="宋体" w:hAnsi="宋体" w:cs="宋体"/>
          <w:kern w:val="0"/>
          <w:sz w:val="24"/>
        </w:rPr>
        <w:t>填报单位：</w:t>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r>
        <w:rPr>
          <w:rFonts w:ascii="宋体" w:hAnsi="宋体" w:cs="宋体"/>
          <w:kern w:val="0"/>
          <w:sz w:val="24"/>
        </w:rPr>
        <w:tab/>
      </w:r>
    </w:p>
    <w:tbl>
      <w:tblPr>
        <w:tblStyle w:val="4"/>
        <w:tblW w:w="10490" w:type="dxa"/>
        <w:jc w:val="center"/>
        <w:tblLayout w:type="fixed"/>
        <w:tblCellMar>
          <w:top w:w="0" w:type="dxa"/>
          <w:left w:w="108" w:type="dxa"/>
          <w:bottom w:w="0" w:type="dxa"/>
          <w:right w:w="108" w:type="dxa"/>
        </w:tblCellMar>
      </w:tblPr>
      <w:tblGrid>
        <w:gridCol w:w="3550"/>
        <w:gridCol w:w="1190"/>
        <w:gridCol w:w="984"/>
        <w:gridCol w:w="1316"/>
        <w:gridCol w:w="1252"/>
        <w:gridCol w:w="1008"/>
        <w:gridCol w:w="1190"/>
      </w:tblGrid>
      <w:tr>
        <w:tblPrEx>
          <w:tblCellMar>
            <w:top w:w="0" w:type="dxa"/>
            <w:left w:w="108" w:type="dxa"/>
            <w:bottom w:w="0" w:type="dxa"/>
            <w:right w:w="108" w:type="dxa"/>
          </w:tblCellMar>
        </w:tblPrEx>
        <w:trPr>
          <w:trHeight w:val="763" w:hRule="atLeast"/>
          <w:jc w:val="center"/>
        </w:trPr>
        <w:tc>
          <w:tcPr>
            <w:tcW w:w="35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财政供养人员情况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编制数</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2019年实际在职人数</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52</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44</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85%</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经费控制情况</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2018年决算数</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2019年预算数</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2019年决算数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三公经费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r>
              <w:rPr>
                <w:rFonts w:ascii="宋体" w:hAnsi="宋体" w:cs="宋体"/>
                <w:kern w:val="0"/>
                <w:sz w:val="24"/>
              </w:rPr>
              <w:t>6.3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8.6</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5.7</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1、公务用车购置和维护经费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w:t>
            </w:r>
            <w:r>
              <w:rPr>
                <w:rFonts w:ascii="宋体" w:hAnsi="宋体" w:cs="宋体"/>
                <w:kern w:val="0"/>
                <w:sz w:val="24"/>
              </w:rPr>
              <w:t>6.3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6.6</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5.7</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其中：公车购置</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公车运行维护</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6</w:t>
            </w:r>
            <w:r>
              <w:rPr>
                <w:rFonts w:ascii="宋体" w:hAnsi="宋体" w:cs="宋体"/>
                <w:kern w:val="0"/>
                <w:sz w:val="24"/>
              </w:rPr>
              <w:t>.3</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 6.6</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5.7</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2、出国经费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3、公务接待</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 xml:space="preserve"> 0</w:t>
            </w: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2.0</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项目支出：</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1、业务工作专项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2、运行维护专项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公用经费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szCs w:val="24"/>
                <w:lang w:val="en-US" w:eastAsia="zh-CN" w:bidi="ar-SA"/>
              </w:rPr>
            </w:pPr>
            <w:r>
              <w:rPr>
                <w:rFonts w:hint="eastAsia" w:ascii="宋体" w:hAnsi="宋体" w:cs="宋体"/>
                <w:kern w:val="0"/>
                <w:sz w:val="24"/>
              </w:rPr>
              <w:t>　155.5</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171.09</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141.2</w:t>
            </w:r>
            <w:r>
              <w:rPr>
                <w:rFonts w:hint="eastAsia" w:ascii="宋体" w:hAnsi="宋体" w:cs="宋体"/>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其中：办公经费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szCs w:val="24"/>
                <w:lang w:val="en-US" w:eastAsia="zh-CN" w:bidi="ar-SA"/>
              </w:rPr>
            </w:pPr>
            <w:r>
              <w:rPr>
                <w:rFonts w:ascii="宋体" w:hAnsi="宋体" w:cs="宋体"/>
                <w:color w:val="000000"/>
                <w:kern w:val="0"/>
                <w:sz w:val="24"/>
              </w:rPr>
              <w:t xml:space="preserve">  </w:t>
            </w:r>
            <w:r>
              <w:rPr>
                <w:rFonts w:hint="eastAsia" w:ascii="宋体" w:hAnsi="宋体" w:cs="宋体"/>
                <w:color w:val="000000"/>
                <w:kern w:val="0"/>
                <w:sz w:val="24"/>
              </w:rPr>
              <w:t>31</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40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20.6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水费、电费、差旅费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szCs w:val="24"/>
                <w:lang w:val="en-US" w:eastAsia="zh-CN" w:bidi="ar-SA"/>
              </w:rPr>
            </w:pPr>
            <w:r>
              <w:rPr>
                <w:rFonts w:hint="eastAsia" w:ascii="宋体" w:hAnsi="宋体" w:cs="宋体"/>
                <w:color w:val="000000"/>
                <w:kern w:val="0"/>
                <w:sz w:val="24"/>
              </w:rPr>
              <w:t>　17</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40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34.7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          会议费、培训费</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000000"/>
                <w:kern w:val="0"/>
                <w:sz w:val="24"/>
                <w:szCs w:val="24"/>
                <w:lang w:val="en-US" w:eastAsia="zh-CN" w:bidi="ar-SA"/>
              </w:rPr>
            </w:pPr>
            <w:r>
              <w:rPr>
                <w:rFonts w:hint="eastAsia" w:ascii="宋体" w:hAnsi="宋体" w:cs="宋体"/>
                <w:color w:val="000000"/>
                <w:kern w:val="0"/>
                <w:sz w:val="24"/>
              </w:rPr>
              <w:t>　0</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0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政府采购金额</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xml:space="preserve">部门整体支出预算调整 </w:t>
            </w:r>
          </w:p>
        </w:tc>
        <w:tc>
          <w:tcPr>
            <w:tcW w:w="217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w:t>
            </w:r>
          </w:p>
        </w:tc>
        <w:tc>
          <w:tcPr>
            <w:tcW w:w="256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3930.9</w:t>
            </w:r>
            <w:r>
              <w:rPr>
                <w:rFonts w:hint="eastAsia" w:ascii="宋体" w:hAnsi="宋体" w:cs="宋体"/>
                <w:kern w:val="0"/>
                <w:sz w:val="24"/>
              </w:rPr>
              <w:t>　</w:t>
            </w:r>
          </w:p>
        </w:tc>
        <w:tc>
          <w:tcPr>
            <w:tcW w:w="219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lang w:val="en-US" w:eastAsia="zh-CN"/>
              </w:rPr>
              <w:t>9363.3</w:t>
            </w:r>
            <w:r>
              <w:rPr>
                <w:rFonts w:hint="eastAsia" w:ascii="宋体" w:hAnsi="宋体" w:cs="宋体"/>
                <w:kern w:val="0"/>
                <w:sz w:val="24"/>
              </w:rPr>
              <w:t>　</w:t>
            </w:r>
          </w:p>
        </w:tc>
      </w:tr>
      <w:tr>
        <w:tblPrEx>
          <w:tblCellMar>
            <w:top w:w="0" w:type="dxa"/>
            <w:left w:w="108" w:type="dxa"/>
            <w:bottom w:w="0" w:type="dxa"/>
            <w:right w:w="108" w:type="dxa"/>
          </w:tblCellMar>
        </w:tblPrEx>
        <w:trPr>
          <w:trHeight w:val="1154" w:hRule="atLeast"/>
          <w:jc w:val="center"/>
        </w:trPr>
        <w:tc>
          <w:tcPr>
            <w:tcW w:w="35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楼堂馆所控制情况</w:t>
            </w:r>
            <w:r>
              <w:rPr>
                <w:rFonts w:hint="eastAsia" w:ascii="宋体" w:hAnsi="宋体" w:cs="宋体"/>
                <w:kern w:val="0"/>
                <w:sz w:val="24"/>
              </w:rPr>
              <w:br w:type="textWrapping"/>
            </w:r>
            <w:r>
              <w:rPr>
                <w:rFonts w:hint="eastAsia" w:ascii="宋体" w:hAnsi="宋体" w:cs="宋体"/>
                <w:kern w:val="0"/>
                <w:sz w:val="24"/>
              </w:rPr>
              <w:t>（2019年完工项目）</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批复规模</w:t>
            </w:r>
            <w:r>
              <w:rPr>
                <w:rFonts w:hint="eastAsia" w:ascii="宋体" w:hAnsi="宋体" w:cs="宋体"/>
                <w:b/>
                <w:bCs/>
                <w:kern w:val="0"/>
                <w:sz w:val="24"/>
              </w:rPr>
              <w:br w:type="textWrapping"/>
            </w:r>
            <w:r>
              <w:rPr>
                <w:rFonts w:hint="eastAsia" w:ascii="宋体" w:hAnsi="宋体" w:cs="宋体"/>
                <w:b/>
                <w:bCs/>
                <w:kern w:val="0"/>
                <w:sz w:val="24"/>
              </w:rPr>
              <w:t>（㎡）</w:t>
            </w:r>
          </w:p>
        </w:tc>
        <w:tc>
          <w:tcPr>
            <w:tcW w:w="984"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实际规模</w:t>
            </w:r>
            <w:r>
              <w:rPr>
                <w:rFonts w:hint="eastAsia" w:ascii="宋体" w:hAnsi="宋体" w:cs="宋体"/>
                <w:b/>
                <w:bCs/>
                <w:kern w:val="0"/>
                <w:sz w:val="24"/>
              </w:rPr>
              <w:br w:type="textWrapping"/>
            </w:r>
            <w:r>
              <w:rPr>
                <w:rFonts w:hint="eastAsia" w:ascii="宋体" w:hAnsi="宋体" w:cs="宋体"/>
                <w:b/>
                <w:bCs/>
                <w:kern w:val="0"/>
                <w:sz w:val="24"/>
              </w:rPr>
              <w:t>（㎡）</w:t>
            </w:r>
          </w:p>
        </w:tc>
        <w:tc>
          <w:tcPr>
            <w:tcW w:w="1316"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规模控制率</w:t>
            </w:r>
          </w:p>
        </w:tc>
        <w:tc>
          <w:tcPr>
            <w:tcW w:w="125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预算投资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00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实际投资</w:t>
            </w:r>
            <w:r>
              <w:rPr>
                <w:rFonts w:hint="eastAsia" w:ascii="宋体" w:hAnsi="宋体" w:cs="宋体"/>
                <w:b/>
                <w:bCs/>
                <w:kern w:val="0"/>
                <w:sz w:val="24"/>
              </w:rPr>
              <w:br w:type="textWrapping"/>
            </w:r>
            <w:r>
              <w:rPr>
                <w:rFonts w:hint="eastAsia" w:ascii="宋体" w:hAnsi="宋体" w:cs="宋体"/>
                <w:b/>
                <w:bCs/>
                <w:kern w:val="0"/>
                <w:sz w:val="24"/>
              </w:rPr>
              <w:t>（万元）</w:t>
            </w:r>
          </w:p>
        </w:tc>
        <w:tc>
          <w:tcPr>
            <w:tcW w:w="119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投资概算控制率</w:t>
            </w:r>
          </w:p>
        </w:tc>
      </w:tr>
      <w:tr>
        <w:tblPrEx>
          <w:tblCellMar>
            <w:top w:w="0" w:type="dxa"/>
            <w:left w:w="108" w:type="dxa"/>
            <w:bottom w:w="0" w:type="dxa"/>
            <w:right w:w="108" w:type="dxa"/>
          </w:tblCellMar>
        </w:tblPrEx>
        <w:trPr>
          <w:trHeight w:val="177" w:hRule="atLeast"/>
          <w:jc w:val="center"/>
        </w:trPr>
        <w:tc>
          <w:tcPr>
            <w:tcW w:w="355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9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984"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316"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252"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0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1190"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厉行节约保障措施</w:t>
            </w:r>
          </w:p>
        </w:tc>
        <w:tc>
          <w:tcPr>
            <w:tcW w:w="694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24"/>
              </w:rPr>
            </w:pPr>
            <w:r>
              <w:rPr>
                <w:rFonts w:hint="eastAsia" w:ascii="宋体" w:hAnsi="宋体" w:cs="宋体"/>
                <w:kern w:val="0"/>
                <w:sz w:val="24"/>
              </w:rPr>
              <w:t>严控“三公”经费，降低一般运行经费开支。　</w:t>
            </w:r>
          </w:p>
        </w:tc>
      </w:tr>
      <w:tr>
        <w:tblPrEx>
          <w:tblCellMar>
            <w:top w:w="0" w:type="dxa"/>
            <w:left w:w="108" w:type="dxa"/>
            <w:bottom w:w="0" w:type="dxa"/>
            <w:right w:w="108" w:type="dxa"/>
          </w:tblCellMar>
        </w:tblPrEx>
        <w:trPr>
          <w:trHeight w:val="700" w:hRule="atLeast"/>
          <w:jc w:val="center"/>
        </w:trPr>
        <w:tc>
          <w:tcPr>
            <w:tcW w:w="10490" w:type="dxa"/>
            <w:gridSpan w:val="7"/>
            <w:tcBorders>
              <w:top w:val="single" w:color="auto" w:sz="4" w:space="0"/>
              <w:left w:val="nil"/>
              <w:bottom w:val="nil"/>
              <w:right w:val="nil"/>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说明：“项目支出”需要填报除专项资金和基本支出以外的所有项目情况，包括业务工作项目、运行维护项目等；“公用经费”填报基本支出中的一般商品和服务支出。</w:t>
            </w:r>
          </w:p>
        </w:tc>
      </w:tr>
    </w:tbl>
    <w:p>
      <w:pPr>
        <w:rPr>
          <w:rFonts w:hint="eastAsia"/>
        </w:rPr>
      </w:pPr>
      <w:r>
        <w:rPr>
          <w:rFonts w:hint="eastAsia"/>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宋体" w:eastAsia="黑体" w:cs="宋体"/>
          <w:kern w:val="0"/>
          <w:sz w:val="32"/>
          <w:szCs w:val="32"/>
        </w:rPr>
      </w:pPr>
      <w:r>
        <w:rPr>
          <w:rFonts w:hint="eastAsia" w:ascii="黑体" w:hAnsi="宋体" w:eastAsia="黑体" w:cs="宋体"/>
          <w:kern w:val="0"/>
          <w:sz w:val="32"/>
          <w:szCs w:val="32"/>
        </w:rPr>
        <w:t>附件3</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b/>
          <w:sz w:val="32"/>
          <w:szCs w:val="32"/>
        </w:rPr>
      </w:pPr>
      <w:r>
        <w:rPr>
          <w:rFonts w:hint="eastAsia" w:ascii="方正小标宋_GBK" w:hAnsi="方正小标宋_GBK" w:eastAsia="方正小标宋_GBK" w:cs="方正小标宋_GBK"/>
          <w:b/>
          <w:sz w:val="36"/>
          <w:szCs w:val="36"/>
        </w:rPr>
        <w:t xml:space="preserve">部门整体支出绩效报告 </w:t>
      </w:r>
    </w:p>
    <w:p>
      <w:pPr>
        <w:keepNext w:val="0"/>
        <w:keepLines w:val="0"/>
        <w:pageBreakBefore w:val="0"/>
        <w:kinsoku/>
        <w:wordWrap/>
        <w:overflowPunct/>
        <w:topLinePunct w:val="0"/>
        <w:autoSpaceDE/>
        <w:autoSpaceDN/>
        <w:bidi w:val="0"/>
        <w:adjustRightInd/>
        <w:spacing w:line="560" w:lineRule="exact"/>
        <w:ind w:firstLine="750" w:firstLineChars="250"/>
        <w:textAlignment w:val="auto"/>
        <w:rPr>
          <w:rFonts w:hint="eastAsia"/>
          <w:sz w:val="30"/>
          <w:szCs w:val="30"/>
        </w:rPr>
      </w:pPr>
    </w:p>
    <w:p>
      <w:pPr>
        <w:keepNext w:val="0"/>
        <w:keepLines w:val="0"/>
        <w:pageBreakBefore w:val="0"/>
        <w:kinsoku/>
        <w:wordWrap/>
        <w:overflowPunct/>
        <w:topLinePunct w:val="0"/>
        <w:autoSpaceDE/>
        <w:autoSpaceDN/>
        <w:bidi w:val="0"/>
        <w:adjustRightInd/>
        <w:spacing w:line="560" w:lineRule="exact"/>
        <w:ind w:firstLine="753" w:firstLineChars="250"/>
        <w:textAlignment w:val="auto"/>
        <w:rPr>
          <w:rFonts w:hint="eastAsia" w:ascii="仿宋_GB2312" w:eastAsia="仿宋_GB2312"/>
          <w:b/>
          <w:sz w:val="30"/>
          <w:szCs w:val="30"/>
        </w:rPr>
      </w:pPr>
      <w:r>
        <w:rPr>
          <w:rFonts w:hint="eastAsia" w:ascii="仿宋_GB2312" w:eastAsia="仿宋_GB2312"/>
          <w:b/>
          <w:sz w:val="30"/>
          <w:szCs w:val="30"/>
        </w:rPr>
        <w:t xml:space="preserve">一、部门概况 </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（一）部门基本情况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1、在职人员情况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高桥街道现有行政编制16人，事业编制36人。其中：在职在编（含引进人才、随军家属）：</w:t>
      </w:r>
      <w:r>
        <w:rPr>
          <w:rFonts w:hint="eastAsia" w:ascii="仿宋" w:hAnsi="仿宋" w:eastAsia="仿宋"/>
          <w:sz w:val="32"/>
          <w:szCs w:val="32"/>
          <w:lang w:val="en-US" w:eastAsia="zh-CN"/>
        </w:rPr>
        <w:t>44</w:t>
      </w:r>
      <w:r>
        <w:rPr>
          <w:rFonts w:hint="eastAsia" w:ascii="仿宋" w:hAnsi="仿宋" w:eastAsia="仿宋"/>
          <w:sz w:val="32"/>
          <w:szCs w:val="32"/>
        </w:rPr>
        <w:t>人、纳入社保退休人员：</w:t>
      </w:r>
      <w:r>
        <w:rPr>
          <w:rFonts w:hint="eastAsia" w:ascii="仿宋" w:hAnsi="仿宋" w:eastAsia="仿宋"/>
          <w:sz w:val="32"/>
          <w:szCs w:val="32"/>
          <w:lang w:val="en-US" w:eastAsia="zh-CN"/>
        </w:rPr>
        <w:t>10</w:t>
      </w:r>
      <w:r>
        <w:rPr>
          <w:rFonts w:hint="eastAsia" w:ascii="仿宋" w:hAnsi="仿宋" w:eastAsia="仿宋"/>
          <w:sz w:val="32"/>
          <w:szCs w:val="32"/>
        </w:rPr>
        <w:t>人、自收自支退休人员:2人、挂编学生：1人、机关雇员：</w:t>
      </w:r>
      <w:r>
        <w:rPr>
          <w:rFonts w:hint="eastAsia" w:ascii="仿宋" w:hAnsi="仿宋" w:eastAsia="仿宋"/>
          <w:sz w:val="32"/>
          <w:szCs w:val="32"/>
          <w:lang w:val="en-US" w:eastAsia="zh-CN"/>
        </w:rPr>
        <w:t>3</w:t>
      </w:r>
      <w:r>
        <w:rPr>
          <w:rFonts w:hint="eastAsia" w:ascii="仿宋" w:hAnsi="仿宋" w:eastAsia="仿宋"/>
          <w:sz w:val="32"/>
          <w:szCs w:val="32"/>
        </w:rPr>
        <w:t>2人。</w:t>
      </w:r>
    </w:p>
    <w:p>
      <w:pPr>
        <w:keepNext w:val="0"/>
        <w:keepLines w:val="0"/>
        <w:pageBreakBefore w:val="0"/>
        <w:numPr>
          <w:ilvl w:val="0"/>
          <w:numId w:val="1"/>
        </w:numPr>
        <w:kinsoku/>
        <w:wordWrap/>
        <w:overflowPunct/>
        <w:topLinePunct w:val="0"/>
        <w:autoSpaceDE/>
        <w:autoSpaceDN/>
        <w:bidi w:val="0"/>
        <w:adjustRightInd/>
        <w:spacing w:line="560" w:lineRule="exact"/>
        <w:ind w:firstLine="960" w:firstLineChars="300"/>
        <w:textAlignment w:val="auto"/>
        <w:rPr>
          <w:rFonts w:hint="eastAsia" w:ascii="仿宋" w:hAnsi="仿宋" w:eastAsia="仿宋"/>
          <w:sz w:val="32"/>
          <w:szCs w:val="32"/>
        </w:rPr>
      </w:pPr>
      <w:r>
        <w:rPr>
          <w:rFonts w:hint="eastAsia" w:ascii="仿宋" w:hAnsi="仿宋" w:eastAsia="仿宋"/>
          <w:sz w:val="32"/>
          <w:szCs w:val="32"/>
        </w:rPr>
        <w:t>机构设置</w:t>
      </w:r>
    </w:p>
    <w:p>
      <w:pPr>
        <w:keepNext w:val="0"/>
        <w:keepLines w:val="0"/>
        <w:pageBreakBefore w:val="0"/>
        <w:numPr>
          <w:ilvl w:val="0"/>
          <w:numId w:val="2"/>
        </w:numPr>
        <w:kinsoku/>
        <w:wordWrap/>
        <w:overflowPunct/>
        <w:topLinePunct w:val="0"/>
        <w:autoSpaceDE/>
        <w:autoSpaceDN/>
        <w:bidi w:val="0"/>
        <w:adjustRightInd/>
        <w:spacing w:line="560" w:lineRule="exact"/>
        <w:ind w:firstLine="796" w:firstLineChars="249"/>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高桥街道机关本级，包括党政综合办公室、</w:t>
      </w:r>
      <w:r>
        <w:rPr>
          <w:rFonts w:hint="eastAsia" w:ascii="仿宋_GB2312" w:hAnsi="宋体" w:eastAsia="仿宋_GB2312" w:cs="宋体"/>
          <w:color w:val="auto"/>
          <w:kern w:val="0"/>
          <w:sz w:val="32"/>
          <w:szCs w:val="32"/>
          <w:lang w:eastAsia="zh-CN"/>
        </w:rPr>
        <w:t>基层党建办公室、城市管理办公室（区域建设服务办公室）、公共服务</w:t>
      </w:r>
      <w:r>
        <w:rPr>
          <w:rFonts w:hint="eastAsia" w:ascii="仿宋_GB2312" w:hAnsi="宋体" w:eastAsia="仿宋_GB2312" w:cs="宋体"/>
          <w:color w:val="auto"/>
          <w:kern w:val="0"/>
          <w:sz w:val="32"/>
          <w:szCs w:val="32"/>
        </w:rPr>
        <w:t>办公室（</w:t>
      </w:r>
      <w:r>
        <w:rPr>
          <w:rFonts w:hint="eastAsia" w:ascii="仿宋_GB2312" w:hAnsi="宋体" w:eastAsia="仿宋_GB2312" w:cs="宋体"/>
          <w:color w:val="auto"/>
          <w:kern w:val="0"/>
          <w:sz w:val="32"/>
          <w:szCs w:val="32"/>
          <w:lang w:eastAsia="zh-CN"/>
        </w:rPr>
        <w:t>行政审批服务办公室、优化营商环境服务办公室</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公共安全办公室</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财政所（加挂“三资”监管服务中心、审计站的牌子）</w:t>
      </w:r>
      <w:r>
        <w:rPr>
          <w:rFonts w:hint="eastAsia" w:ascii="仿宋_GB2312" w:hAnsi="宋体" w:eastAsia="仿宋_GB2312" w:cs="宋体"/>
          <w:color w:val="auto"/>
          <w:kern w:val="0"/>
          <w:sz w:val="32"/>
          <w:szCs w:val="32"/>
          <w:lang w:eastAsia="zh-CN"/>
        </w:rPr>
        <w:t>、人力资源和社会保障服务站、社会救助工作站</w:t>
      </w:r>
      <w:r>
        <w:rPr>
          <w:rFonts w:hint="eastAsia" w:ascii="仿宋_GB2312" w:hAnsi="宋体" w:eastAsia="仿宋_GB2312" w:cs="宋体"/>
          <w:color w:val="auto"/>
          <w:kern w:val="0"/>
          <w:sz w:val="32"/>
          <w:szCs w:val="32"/>
          <w:lang w:val="en-US" w:eastAsia="zh-CN"/>
        </w:rPr>
        <w:t>8个内设机构</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街道</w:t>
      </w:r>
      <w:r>
        <w:rPr>
          <w:rFonts w:hint="eastAsia" w:ascii="仿宋_GB2312" w:hAnsi="宋体" w:eastAsia="仿宋_GB2312" w:cs="宋体"/>
          <w:color w:val="auto"/>
          <w:kern w:val="0"/>
          <w:sz w:val="32"/>
          <w:szCs w:val="32"/>
        </w:rPr>
        <w:t>政务服务中心</w:t>
      </w:r>
      <w:r>
        <w:rPr>
          <w:rFonts w:hint="eastAsia" w:ascii="仿宋_GB2312" w:hAnsi="宋体" w:eastAsia="仿宋_GB2312" w:cs="宋体"/>
          <w:color w:val="auto"/>
          <w:kern w:val="0"/>
          <w:sz w:val="32"/>
          <w:szCs w:val="32"/>
          <w:lang w:eastAsia="zh-CN"/>
        </w:rPr>
        <w:t>（街道党群服务中心）</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街道网格化综合服务中心</w:t>
      </w:r>
      <w:r>
        <w:rPr>
          <w:rFonts w:hint="eastAsia" w:ascii="仿宋_GB2312" w:hAnsi="宋体" w:eastAsia="仿宋_GB2312" w:cs="宋体"/>
          <w:color w:val="auto"/>
          <w:kern w:val="0"/>
          <w:sz w:val="32"/>
          <w:szCs w:val="32"/>
          <w:lang w:val="en-US" w:eastAsia="zh-CN"/>
        </w:rPr>
        <w:t>2个公益一类</w:t>
      </w:r>
      <w:r>
        <w:rPr>
          <w:rFonts w:hint="eastAsia" w:ascii="仿宋_GB2312" w:hAnsi="宋体" w:eastAsia="仿宋_GB2312" w:cs="宋体"/>
          <w:color w:val="auto"/>
          <w:kern w:val="0"/>
          <w:sz w:val="32"/>
          <w:szCs w:val="32"/>
        </w:rPr>
        <w:t>事业单位。</w:t>
      </w:r>
      <w:r>
        <w:rPr>
          <w:rFonts w:hint="eastAsia" w:ascii="仿宋_GB2312" w:hAnsi="宋体" w:eastAsia="仿宋_GB2312" w:cs="宋体"/>
          <w:color w:val="auto"/>
          <w:kern w:val="0"/>
          <w:sz w:val="32"/>
          <w:szCs w:val="32"/>
          <w:lang w:val="en-US" w:eastAsia="zh-CN"/>
        </w:rPr>
        <w:t xml:space="preserve"> </w:t>
      </w:r>
    </w:p>
    <w:p>
      <w:pPr>
        <w:keepNext w:val="0"/>
        <w:keepLines w:val="0"/>
        <w:pageBreakBefore w:val="0"/>
        <w:numPr>
          <w:ilvl w:val="0"/>
          <w:numId w:val="2"/>
        </w:numPr>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派驻机构：司法所</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（3）各社区（集资委）。</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3、主要职能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）统筹区域发展。统筹落实市、区关于辖区发展的重大决策和建设规划,负责优化发展环境、采集企业信息、服务辖区企业、促进项目发展、加快农业农村现代化等工作。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rPr>
        <w:t>）组织公共服务。组织实施与居民生活密切相关的各项公共服务事项,落实人力资源社会保障、民政、教育、文化、体育、卫生健康等领域相关法规政策。</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（4）实施公共管理。负责辖区内城市管理等综合性管理工作,承担组织领导和综合协调职能。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（5）维护公共安全。承担辖区内社会治安综合治理、应急管理等有关工作,接待群众来信来访,反映社情民意,化解矛盾纠纷等。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（6）监督执法管理。对辖区内各类行政执法工作进行统筹协调,组织开展群众监督和社会监督。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（7）动员社会参与。动员辖区内各类单位、社会组织、社区居民等社会力量参与社会治理,为街道发展服务。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（8）保障社区自治。指导社区居委会建设,健全社区自治平台,组织驻区单位和社区居民参与社区建设、管理。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（9）完成上级党委、人民政府交办的其他任务。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（10）职能转变。一是取消城区街道招商引资、协税护税职能,将街</w:t>
      </w:r>
      <w:r>
        <w:rPr>
          <w:rFonts w:hint="eastAsia" w:ascii="仿宋_GB2312" w:eastAsia="仿宋_GB2312"/>
          <w:sz w:val="32"/>
          <w:szCs w:val="32"/>
        </w:rPr>
        <w:t>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　4、重点工作计划</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年，街道党政班子深入学习贯彻习近平新时代中国特色社会主义思想，团结带领全街干部群众努力拼搏、开拓进取，圆满完成各项目标任务，街域事业呈现出蓬勃发展态势。</w:t>
      </w:r>
    </w:p>
    <w:p>
      <w:pPr>
        <w:keepNext w:val="0"/>
        <w:keepLines w:val="0"/>
        <w:pageBreakBefore w:val="0"/>
        <w:kinsoku/>
        <w:wordWrap/>
        <w:overflowPunct/>
        <w:topLinePunct w:val="0"/>
        <w:autoSpaceDE/>
        <w:autoSpaceDN/>
        <w:bidi w:val="0"/>
        <w:adjustRightInd/>
        <w:spacing w:line="560" w:lineRule="exact"/>
        <w:textAlignment w:val="auto"/>
        <w:rPr>
          <w:rFonts w:hint="eastAsia" w:ascii="楷体" w:hAnsi="楷体" w:eastAsia="楷体"/>
          <w:sz w:val="32"/>
          <w:szCs w:val="32"/>
        </w:rPr>
      </w:pPr>
      <w:r>
        <w:rPr>
          <w:rFonts w:hint="eastAsia" w:ascii="楷体" w:hAnsi="楷体" w:eastAsia="楷体"/>
          <w:sz w:val="32"/>
          <w:szCs w:val="32"/>
        </w:rPr>
        <w:t>（二）部门整体支出情况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1、支出规模</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年，街道共计支出</w:t>
      </w:r>
      <w:r>
        <w:rPr>
          <w:rFonts w:hint="eastAsia" w:ascii="仿宋" w:hAnsi="仿宋" w:eastAsia="仿宋"/>
          <w:sz w:val="32"/>
          <w:szCs w:val="32"/>
          <w:lang w:val="en-US" w:eastAsia="zh-CN"/>
        </w:rPr>
        <w:t>9363.3</w:t>
      </w:r>
      <w:r>
        <w:rPr>
          <w:rFonts w:hint="eastAsia" w:ascii="仿宋" w:hAnsi="仿宋" w:eastAsia="仿宋"/>
          <w:sz w:val="32"/>
          <w:szCs w:val="32"/>
        </w:rPr>
        <w:t xml:space="preserve">万元，其中基本支出  </w:t>
      </w:r>
      <w:r>
        <w:rPr>
          <w:rFonts w:hint="eastAsia" w:ascii="仿宋" w:hAnsi="仿宋" w:eastAsia="仿宋"/>
          <w:sz w:val="32"/>
          <w:szCs w:val="32"/>
          <w:lang w:val="en-US" w:eastAsia="zh-CN"/>
        </w:rPr>
        <w:t>1891.7</w:t>
      </w:r>
      <w:r>
        <w:rPr>
          <w:rFonts w:hint="eastAsia" w:ascii="仿宋" w:hAnsi="仿宋" w:eastAsia="仿宋"/>
          <w:sz w:val="32"/>
          <w:szCs w:val="32"/>
        </w:rPr>
        <w:t>万元，项目支出</w:t>
      </w:r>
      <w:r>
        <w:rPr>
          <w:rFonts w:hint="eastAsia" w:ascii="仿宋" w:hAnsi="仿宋" w:eastAsia="仿宋"/>
          <w:sz w:val="32"/>
          <w:szCs w:val="32"/>
          <w:lang w:val="en-US" w:eastAsia="zh-CN"/>
        </w:rPr>
        <w:t>7471.6</w:t>
      </w:r>
      <w:r>
        <w:rPr>
          <w:rFonts w:hint="eastAsia" w:ascii="仿宋" w:hAnsi="仿宋" w:eastAsia="仿宋"/>
          <w:sz w:val="32"/>
          <w:szCs w:val="32"/>
        </w:rPr>
        <w:t>万元。</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2、使用方向</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般</w:t>
      </w:r>
      <w:r>
        <w:rPr>
          <w:rFonts w:hint="eastAsia" w:ascii="仿宋" w:hAnsi="仿宋" w:eastAsia="仿宋"/>
          <w:sz w:val="32"/>
          <w:szCs w:val="32"/>
        </w:rPr>
        <w:t>公共</w:t>
      </w:r>
      <w:r>
        <w:rPr>
          <w:rFonts w:ascii="仿宋" w:hAnsi="仿宋" w:eastAsia="仿宋"/>
          <w:sz w:val="32"/>
          <w:szCs w:val="32"/>
        </w:rPr>
        <w:t>服务支出</w:t>
      </w:r>
      <w:r>
        <w:rPr>
          <w:rFonts w:hint="eastAsia" w:ascii="仿宋" w:hAnsi="仿宋" w:eastAsia="仿宋"/>
          <w:sz w:val="32"/>
          <w:szCs w:val="32"/>
          <w:lang w:val="en-US" w:eastAsia="zh-CN"/>
        </w:rPr>
        <w:t>2660.1</w:t>
      </w:r>
      <w:r>
        <w:rPr>
          <w:rFonts w:hint="eastAsia" w:ascii="仿宋" w:hAnsi="仿宋" w:eastAsia="仿宋"/>
          <w:sz w:val="32"/>
          <w:szCs w:val="32"/>
        </w:rPr>
        <w:t>万</w:t>
      </w:r>
      <w:r>
        <w:rPr>
          <w:rFonts w:ascii="仿宋" w:hAnsi="仿宋" w:eastAsia="仿宋"/>
          <w:sz w:val="32"/>
          <w:szCs w:val="32"/>
        </w:rPr>
        <w:t>元，国防支出</w:t>
      </w:r>
      <w:r>
        <w:rPr>
          <w:rFonts w:hint="eastAsia" w:ascii="仿宋" w:hAnsi="仿宋" w:eastAsia="仿宋"/>
          <w:sz w:val="32"/>
          <w:szCs w:val="32"/>
          <w:lang w:val="en-US" w:eastAsia="zh-CN"/>
        </w:rPr>
        <w:t>15</w:t>
      </w:r>
      <w:r>
        <w:rPr>
          <w:rFonts w:hint="eastAsia" w:ascii="仿宋" w:hAnsi="仿宋" w:eastAsia="仿宋"/>
          <w:sz w:val="32"/>
          <w:szCs w:val="32"/>
        </w:rPr>
        <w:t>万</w:t>
      </w:r>
      <w:r>
        <w:rPr>
          <w:rFonts w:ascii="仿宋" w:hAnsi="仿宋" w:eastAsia="仿宋"/>
          <w:sz w:val="32"/>
          <w:szCs w:val="32"/>
        </w:rPr>
        <w:t>元，公共安全支出</w:t>
      </w:r>
      <w:r>
        <w:rPr>
          <w:rFonts w:hint="eastAsia" w:ascii="仿宋" w:hAnsi="仿宋" w:eastAsia="仿宋"/>
          <w:sz w:val="32"/>
          <w:szCs w:val="32"/>
          <w:lang w:val="en-US" w:eastAsia="zh-CN"/>
        </w:rPr>
        <w:t>197.7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社会保障和就业支出</w:t>
      </w:r>
      <w:r>
        <w:rPr>
          <w:rFonts w:hint="eastAsia" w:ascii="仿宋" w:hAnsi="仿宋" w:eastAsia="仿宋"/>
          <w:sz w:val="32"/>
          <w:szCs w:val="32"/>
          <w:lang w:val="en-US" w:eastAsia="zh-CN"/>
        </w:rPr>
        <w:t>1854.4</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卫生健康</w:t>
      </w:r>
      <w:r>
        <w:rPr>
          <w:rFonts w:ascii="仿宋" w:hAnsi="仿宋" w:eastAsia="仿宋"/>
          <w:sz w:val="32"/>
          <w:szCs w:val="32"/>
        </w:rPr>
        <w:t>支出</w:t>
      </w:r>
      <w:r>
        <w:rPr>
          <w:rFonts w:hint="eastAsia" w:ascii="仿宋" w:hAnsi="仿宋" w:eastAsia="仿宋"/>
          <w:sz w:val="32"/>
          <w:szCs w:val="32"/>
          <w:lang w:val="en-US" w:eastAsia="zh-CN"/>
        </w:rPr>
        <w:t>89.8</w:t>
      </w:r>
      <w:r>
        <w:rPr>
          <w:rFonts w:hint="eastAsia" w:ascii="仿宋" w:hAnsi="仿宋" w:eastAsia="仿宋"/>
          <w:sz w:val="32"/>
          <w:szCs w:val="32"/>
        </w:rPr>
        <w:t>万元</w:t>
      </w:r>
      <w:r>
        <w:rPr>
          <w:rFonts w:ascii="仿宋" w:hAnsi="仿宋" w:eastAsia="仿宋"/>
          <w:sz w:val="32"/>
          <w:szCs w:val="32"/>
        </w:rPr>
        <w:t>，城乡社区支出</w:t>
      </w:r>
      <w:r>
        <w:rPr>
          <w:rFonts w:hint="eastAsia" w:ascii="仿宋" w:hAnsi="仿宋" w:eastAsia="仿宋"/>
          <w:sz w:val="32"/>
          <w:szCs w:val="32"/>
          <w:lang w:val="en-US" w:eastAsia="zh-CN"/>
        </w:rPr>
        <w:t>4542.2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灾害防治及应急管理</w:t>
      </w:r>
      <w:r>
        <w:rPr>
          <w:rFonts w:hint="eastAsia" w:ascii="仿宋" w:hAnsi="仿宋" w:eastAsia="仿宋"/>
          <w:sz w:val="32"/>
          <w:szCs w:val="32"/>
        </w:rPr>
        <w:t>支出</w:t>
      </w:r>
      <w:r>
        <w:rPr>
          <w:rFonts w:hint="eastAsia" w:ascii="仿宋" w:hAnsi="仿宋" w:eastAsia="仿宋"/>
          <w:sz w:val="32"/>
          <w:szCs w:val="32"/>
          <w:lang w:val="en-US" w:eastAsia="zh-CN"/>
        </w:rPr>
        <w:t>4</w:t>
      </w:r>
      <w:r>
        <w:rPr>
          <w:rFonts w:hint="eastAsia" w:ascii="仿宋" w:hAnsi="仿宋" w:eastAsia="仿宋"/>
          <w:sz w:val="32"/>
          <w:szCs w:val="32"/>
        </w:rPr>
        <w:t>万元</w:t>
      </w:r>
      <w:r>
        <w:rPr>
          <w:rFonts w:ascii="仿宋" w:hAnsi="仿宋" w:eastAsia="仿宋"/>
          <w:sz w:val="32"/>
          <w:szCs w:val="32"/>
        </w:rPr>
        <w:t>。</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3、主要内容及范围</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人</w:t>
      </w:r>
      <w:r>
        <w:rPr>
          <w:rFonts w:ascii="仿宋" w:hAnsi="仿宋" w:eastAsia="仿宋"/>
          <w:sz w:val="32"/>
          <w:szCs w:val="32"/>
        </w:rPr>
        <w:t>员经</w:t>
      </w:r>
      <w:r>
        <w:rPr>
          <w:rFonts w:hint="eastAsia" w:ascii="仿宋" w:hAnsi="仿宋" w:eastAsia="仿宋"/>
          <w:sz w:val="32"/>
          <w:szCs w:val="32"/>
        </w:rPr>
        <w:t>费</w:t>
      </w:r>
      <w:r>
        <w:rPr>
          <w:rFonts w:hint="eastAsia" w:ascii="仿宋" w:hAnsi="仿宋" w:eastAsia="仿宋"/>
          <w:sz w:val="32"/>
          <w:szCs w:val="32"/>
          <w:lang w:val="en-US" w:eastAsia="zh-CN"/>
        </w:rPr>
        <w:t>1750.5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日常</w:t>
      </w:r>
      <w:r>
        <w:rPr>
          <w:rFonts w:ascii="仿宋" w:hAnsi="仿宋" w:eastAsia="仿宋"/>
          <w:sz w:val="32"/>
          <w:szCs w:val="32"/>
        </w:rPr>
        <w:t>公用经费</w:t>
      </w:r>
      <w:r>
        <w:rPr>
          <w:rFonts w:hint="eastAsia" w:ascii="仿宋" w:hAnsi="仿宋" w:eastAsia="仿宋"/>
          <w:sz w:val="32"/>
          <w:szCs w:val="32"/>
          <w:lang w:val="en-US" w:eastAsia="zh-CN"/>
        </w:rPr>
        <w:t>141.2</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行政</w:t>
      </w:r>
      <w:r>
        <w:rPr>
          <w:rFonts w:ascii="仿宋" w:hAnsi="仿宋" w:eastAsia="仿宋"/>
          <w:sz w:val="32"/>
          <w:szCs w:val="32"/>
        </w:rPr>
        <w:t>事业类项目经费</w:t>
      </w:r>
      <w:r>
        <w:rPr>
          <w:rFonts w:hint="eastAsia" w:ascii="仿宋" w:hAnsi="仿宋" w:eastAsia="仿宋"/>
          <w:sz w:val="32"/>
          <w:szCs w:val="32"/>
          <w:lang w:val="en-US" w:eastAsia="zh-CN"/>
        </w:rPr>
        <w:t>7471.6</w:t>
      </w:r>
      <w:r>
        <w:rPr>
          <w:rFonts w:hint="eastAsia" w:ascii="仿宋" w:hAnsi="仿宋" w:eastAsia="仿宋"/>
          <w:sz w:val="32"/>
          <w:szCs w:val="32"/>
        </w:rPr>
        <w:t>万元</w:t>
      </w:r>
      <w:r>
        <w:rPr>
          <w:rFonts w:ascii="仿宋" w:hAnsi="仿宋" w:eastAsia="仿宋"/>
          <w:sz w:val="32"/>
          <w:szCs w:val="32"/>
        </w:rPr>
        <w:t>。</w:t>
      </w:r>
    </w:p>
    <w:p>
      <w:pPr>
        <w:keepNext w:val="0"/>
        <w:keepLines w:val="0"/>
        <w:pageBreakBefore w:val="0"/>
        <w:kinsoku/>
        <w:wordWrap/>
        <w:overflowPunct/>
        <w:topLinePunct w:val="0"/>
        <w:autoSpaceDE/>
        <w:autoSpaceDN/>
        <w:bidi w:val="0"/>
        <w:adjustRightInd/>
        <w:spacing w:line="560" w:lineRule="exact"/>
        <w:ind w:firstLine="753" w:firstLineChars="250"/>
        <w:textAlignment w:val="auto"/>
        <w:rPr>
          <w:rFonts w:hint="eastAsia" w:ascii="仿宋_GB2312" w:eastAsia="仿宋_GB2312"/>
          <w:b/>
          <w:sz w:val="30"/>
          <w:szCs w:val="30"/>
        </w:rPr>
      </w:pPr>
      <w:r>
        <w:rPr>
          <w:rFonts w:hint="eastAsia" w:ascii="仿宋_GB2312" w:eastAsia="仿宋_GB2312"/>
          <w:b/>
          <w:sz w:val="30"/>
          <w:szCs w:val="30"/>
        </w:rPr>
        <w:t xml:space="preserve">二、部门整体支出管理及使用情况 </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eastAsia" w:ascii="楷体" w:hAnsi="楷体" w:eastAsia="楷体"/>
          <w:sz w:val="32"/>
          <w:szCs w:val="32"/>
        </w:rPr>
      </w:pPr>
      <w:r>
        <w:rPr>
          <w:rFonts w:hint="eastAsia" w:ascii="楷体" w:hAnsi="楷体" w:eastAsia="楷体"/>
          <w:sz w:val="32"/>
          <w:szCs w:val="32"/>
        </w:rPr>
        <w:t>（一）基本支出</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基本支出的主要用途：在职在编人员工资、奖金及津补贴、政策性增资、机关养老、职业年金、住房公积金、公务用车参改人员交通补贴、公务员过渡性医疗补助；合同聘用人员工资、社保、年终各类奖金；机关退休人员及自筹退休人员退休费、生活补贴、各项补助；机关运行办公费、水电邮电费、会议培训费、公车运行维修、报刊费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基本支出的范围：一般公共服务支出-政府办公厅（室）及相关机构事务-行政运行、一般公共服务支出-政府办公厅（室）及相关机构事务-一般行政管理事务、</w:t>
      </w:r>
      <w:r>
        <w:rPr>
          <w:rFonts w:hint="eastAsia" w:ascii="仿宋" w:hAnsi="仿宋" w:eastAsia="仿宋"/>
          <w:sz w:val="32"/>
          <w:szCs w:val="32"/>
          <w:lang w:eastAsia="zh-CN"/>
        </w:rPr>
        <w:t>社会保障和就业支出</w:t>
      </w:r>
      <w:r>
        <w:rPr>
          <w:rFonts w:hint="eastAsia" w:ascii="仿宋" w:hAnsi="仿宋" w:eastAsia="仿宋"/>
          <w:sz w:val="32"/>
          <w:szCs w:val="32"/>
          <w:lang w:val="en-US" w:eastAsia="zh-CN"/>
        </w:rPr>
        <w:t>-人力资源和社会保障管理事务支出，</w:t>
      </w:r>
      <w:r>
        <w:rPr>
          <w:rFonts w:hint="eastAsia" w:ascii="仿宋" w:hAnsi="仿宋" w:eastAsia="仿宋"/>
          <w:sz w:val="32"/>
          <w:szCs w:val="32"/>
        </w:rPr>
        <w:t>行政事业单位离退休-机关事业单位基本养老保险缴费支出。</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基本支出资金的管理情况：年初对基本支出资金制定使用进度计划，领导审核批准具体使用范围和额度，严格按预算内容和资金限额管理使用资金。</w:t>
      </w:r>
    </w:p>
    <w:p>
      <w:pPr>
        <w:keepNext w:val="0"/>
        <w:keepLines w:val="0"/>
        <w:pageBreakBefore w:val="0"/>
        <w:kinsoku/>
        <w:wordWrap/>
        <w:overflowPunct/>
        <w:topLinePunct w:val="0"/>
        <w:autoSpaceDE/>
        <w:autoSpaceDN/>
        <w:bidi w:val="0"/>
        <w:adjustRightInd/>
        <w:spacing w:line="560" w:lineRule="exact"/>
        <w:ind w:firstLine="160" w:firstLineChars="50"/>
        <w:textAlignment w:val="auto"/>
        <w:rPr>
          <w:rFonts w:hint="eastAsia" w:ascii="仿宋" w:hAnsi="仿宋" w:eastAsia="仿宋"/>
          <w:sz w:val="32"/>
          <w:szCs w:val="32"/>
        </w:rPr>
      </w:pPr>
      <w:r>
        <w:rPr>
          <w:rFonts w:hint="eastAsia" w:ascii="仿宋" w:hAnsi="仿宋" w:eastAsia="仿宋"/>
          <w:sz w:val="32"/>
          <w:szCs w:val="32"/>
        </w:rPr>
        <w:t>　“三公”经费的使用和管理情况：201</w:t>
      </w:r>
      <w:r>
        <w:rPr>
          <w:rFonts w:hint="eastAsia" w:ascii="仿宋" w:hAnsi="仿宋" w:eastAsia="仿宋"/>
          <w:sz w:val="32"/>
          <w:szCs w:val="32"/>
          <w:lang w:val="en-US" w:eastAsia="zh-CN"/>
        </w:rPr>
        <w:t>9</w:t>
      </w:r>
      <w:r>
        <w:rPr>
          <w:rFonts w:hint="eastAsia" w:ascii="仿宋" w:hAnsi="仿宋" w:eastAsia="仿宋"/>
          <w:sz w:val="32"/>
          <w:szCs w:val="32"/>
        </w:rPr>
        <w:t>年未发生因公出国（境）费用和公务接待费，发生少量公务用车运行维护费</w:t>
      </w:r>
      <w:r>
        <w:rPr>
          <w:rFonts w:hint="eastAsia" w:ascii="仿宋" w:hAnsi="仿宋" w:eastAsia="仿宋"/>
          <w:sz w:val="32"/>
          <w:szCs w:val="32"/>
          <w:lang w:val="en-US" w:eastAsia="zh-CN"/>
        </w:rPr>
        <w:t>5.7万元</w:t>
      </w:r>
      <w:r>
        <w:rPr>
          <w:rFonts w:hint="eastAsia" w:ascii="仿宋" w:hAnsi="仿宋" w:eastAsia="仿宋"/>
          <w:sz w:val="32"/>
          <w:szCs w:val="32"/>
        </w:rPr>
        <w:t>。我街道已实行公务用车改革，201</w:t>
      </w:r>
      <w:r>
        <w:rPr>
          <w:rFonts w:hint="eastAsia" w:ascii="仿宋" w:hAnsi="仿宋" w:eastAsia="仿宋"/>
          <w:sz w:val="32"/>
          <w:szCs w:val="32"/>
          <w:lang w:val="en-US" w:eastAsia="zh-CN"/>
        </w:rPr>
        <w:t>9</w:t>
      </w:r>
      <w:r>
        <w:rPr>
          <w:rFonts w:hint="eastAsia" w:ascii="仿宋" w:hAnsi="仿宋" w:eastAsia="仿宋"/>
          <w:sz w:val="32"/>
          <w:szCs w:val="32"/>
        </w:rPr>
        <w:t>年我街公车保用量2台，严格按公车管理使用要求，严格执行节假日公务车辆存备案等制度；严格按照中央、省、市、区公务接待和因公出国（境）费用的要求，采取严格审批控制，对务接待和因公出国（境）费用进行了全面的控制和规范。</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（二）专项支出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1、专项资金安排落实情况及总投入情况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高桥街道专项资金安排落实及时</w:t>
      </w:r>
      <w:r>
        <w:rPr>
          <w:rFonts w:hint="eastAsia" w:ascii="仿宋" w:hAnsi="仿宋" w:eastAsia="仿宋"/>
          <w:sz w:val="32"/>
          <w:szCs w:val="32"/>
          <w:lang w:eastAsia="zh-CN"/>
        </w:rPr>
        <w:t>。</w:t>
      </w:r>
      <w:r>
        <w:rPr>
          <w:rFonts w:hint="eastAsia" w:ascii="仿宋" w:hAnsi="仿宋" w:eastAsia="仿宋"/>
          <w:sz w:val="32"/>
          <w:szCs w:val="32"/>
        </w:rPr>
        <w:t>街道立即根据预算要求对全年指标进行计划安排并按进度落实计划安排，合理使用专项资金；专项预算外资金也在事后201</w:t>
      </w:r>
      <w:r>
        <w:rPr>
          <w:rFonts w:hint="eastAsia" w:ascii="仿宋" w:hAnsi="仿宋" w:eastAsia="仿宋"/>
          <w:sz w:val="32"/>
          <w:szCs w:val="32"/>
          <w:lang w:val="en-US" w:eastAsia="zh-CN"/>
        </w:rPr>
        <w:t>9</w:t>
      </w:r>
      <w:r>
        <w:rPr>
          <w:rFonts w:hint="eastAsia" w:ascii="仿宋" w:hAnsi="仿宋" w:eastAsia="仿宋"/>
          <w:sz w:val="32"/>
          <w:szCs w:val="32"/>
        </w:rPr>
        <w:t>年底前基本下达并大部分安排落实。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sz w:val="32"/>
          <w:szCs w:val="32"/>
        </w:rPr>
      </w:pPr>
      <w:r>
        <w:rPr>
          <w:rFonts w:hint="eastAsia" w:ascii="仿宋_GB2312" w:eastAsia="仿宋_GB2312"/>
          <w:sz w:val="32"/>
          <w:szCs w:val="32"/>
        </w:rPr>
        <w:t>专项财政预算资金比</w:t>
      </w:r>
      <w:r>
        <w:rPr>
          <w:rFonts w:hint="eastAsia" w:ascii="仿宋" w:hAnsi="仿宋" w:eastAsia="仿宋"/>
          <w:sz w:val="32"/>
          <w:szCs w:val="32"/>
        </w:rPr>
        <w:t>例分布较为合理，基本保证了街道各个专项业务的有序开展。</w:t>
      </w:r>
    </w:p>
    <w:p>
      <w:pPr>
        <w:keepNext w:val="0"/>
        <w:keepLines w:val="0"/>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 xml:space="preserve">专项资金（主要指财政资金）实际使用情况。 </w:t>
      </w:r>
    </w:p>
    <w:p>
      <w:pPr>
        <w:keepNext w:val="0"/>
        <w:keepLines w:val="0"/>
        <w:pageBreakBefore w:val="0"/>
        <w:kinsoku/>
        <w:wordWrap/>
        <w:overflowPunct/>
        <w:topLinePunct w:val="0"/>
        <w:autoSpaceDE/>
        <w:autoSpaceDN/>
        <w:bidi w:val="0"/>
        <w:adjustRightInd/>
        <w:spacing w:line="560" w:lineRule="exact"/>
        <w:ind w:firstLine="630"/>
        <w:textAlignment w:val="auto"/>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般</w:t>
      </w:r>
      <w:r>
        <w:rPr>
          <w:rFonts w:hint="eastAsia" w:ascii="仿宋" w:hAnsi="仿宋" w:eastAsia="仿宋"/>
          <w:sz w:val="32"/>
          <w:szCs w:val="32"/>
        </w:rPr>
        <w:t>公共</w:t>
      </w:r>
      <w:r>
        <w:rPr>
          <w:rFonts w:ascii="仿宋" w:hAnsi="仿宋" w:eastAsia="仿宋"/>
          <w:sz w:val="32"/>
          <w:szCs w:val="32"/>
        </w:rPr>
        <w:t>服务支出</w:t>
      </w:r>
      <w:r>
        <w:rPr>
          <w:rFonts w:hint="eastAsia" w:ascii="仿宋" w:hAnsi="仿宋" w:eastAsia="仿宋"/>
          <w:sz w:val="32"/>
          <w:szCs w:val="32"/>
          <w:lang w:val="en-US" w:eastAsia="zh-CN"/>
        </w:rPr>
        <w:t>918.3</w:t>
      </w:r>
      <w:r>
        <w:rPr>
          <w:rFonts w:hint="eastAsia" w:ascii="仿宋" w:hAnsi="仿宋" w:eastAsia="仿宋"/>
          <w:sz w:val="32"/>
          <w:szCs w:val="32"/>
        </w:rPr>
        <w:t>万</w:t>
      </w:r>
      <w:r>
        <w:rPr>
          <w:rFonts w:ascii="仿宋" w:hAnsi="仿宋" w:eastAsia="仿宋"/>
          <w:sz w:val="32"/>
          <w:szCs w:val="32"/>
        </w:rPr>
        <w:t>元，国防支出</w:t>
      </w:r>
      <w:r>
        <w:rPr>
          <w:rFonts w:hint="eastAsia" w:ascii="仿宋" w:hAnsi="仿宋" w:eastAsia="仿宋"/>
          <w:sz w:val="32"/>
          <w:szCs w:val="32"/>
          <w:lang w:val="en-US" w:eastAsia="zh-CN"/>
        </w:rPr>
        <w:t>15</w:t>
      </w:r>
      <w:r>
        <w:rPr>
          <w:rFonts w:hint="eastAsia" w:ascii="仿宋" w:hAnsi="仿宋" w:eastAsia="仿宋"/>
          <w:sz w:val="32"/>
          <w:szCs w:val="32"/>
        </w:rPr>
        <w:t>万</w:t>
      </w:r>
      <w:r>
        <w:rPr>
          <w:rFonts w:ascii="仿宋" w:hAnsi="仿宋" w:eastAsia="仿宋"/>
          <w:sz w:val="32"/>
          <w:szCs w:val="32"/>
        </w:rPr>
        <w:t>元，公共安全支出</w:t>
      </w:r>
      <w:r>
        <w:rPr>
          <w:rFonts w:hint="eastAsia" w:ascii="仿宋" w:hAnsi="仿宋" w:eastAsia="仿宋"/>
          <w:sz w:val="32"/>
          <w:szCs w:val="32"/>
          <w:lang w:val="en-US" w:eastAsia="zh-CN"/>
        </w:rPr>
        <w:t>197.7</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社会保障和就业支出</w:t>
      </w:r>
      <w:r>
        <w:rPr>
          <w:rFonts w:hint="eastAsia" w:ascii="仿宋" w:hAnsi="仿宋" w:eastAsia="仿宋"/>
          <w:sz w:val="32"/>
          <w:szCs w:val="32"/>
          <w:lang w:val="en-US" w:eastAsia="zh-CN"/>
        </w:rPr>
        <w:t>1704.5</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卫生健康</w:t>
      </w:r>
      <w:r>
        <w:rPr>
          <w:rFonts w:ascii="仿宋" w:hAnsi="仿宋" w:eastAsia="仿宋"/>
          <w:sz w:val="32"/>
          <w:szCs w:val="32"/>
        </w:rPr>
        <w:t>支出</w:t>
      </w:r>
      <w:r>
        <w:rPr>
          <w:rFonts w:hint="eastAsia" w:ascii="仿宋" w:hAnsi="仿宋" w:eastAsia="仿宋"/>
          <w:sz w:val="32"/>
          <w:szCs w:val="32"/>
          <w:lang w:val="en-US" w:eastAsia="zh-CN"/>
        </w:rPr>
        <w:t>17</w:t>
      </w:r>
      <w:r>
        <w:rPr>
          <w:rFonts w:hint="eastAsia" w:ascii="仿宋" w:hAnsi="仿宋" w:eastAsia="仿宋"/>
          <w:sz w:val="32"/>
          <w:szCs w:val="32"/>
        </w:rPr>
        <w:t>万元</w:t>
      </w:r>
      <w:r>
        <w:rPr>
          <w:rFonts w:ascii="仿宋" w:hAnsi="仿宋" w:eastAsia="仿宋"/>
          <w:sz w:val="32"/>
          <w:szCs w:val="32"/>
        </w:rPr>
        <w:t>，城乡社区支出</w:t>
      </w:r>
      <w:r>
        <w:rPr>
          <w:rFonts w:hint="eastAsia" w:ascii="仿宋" w:hAnsi="仿宋" w:eastAsia="仿宋"/>
          <w:sz w:val="32"/>
          <w:szCs w:val="32"/>
          <w:lang w:val="en-US" w:eastAsia="zh-CN"/>
        </w:rPr>
        <w:t>1882.1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lang w:eastAsia="zh-CN"/>
        </w:rPr>
        <w:t>灾害防治及应急管理</w:t>
      </w:r>
      <w:r>
        <w:rPr>
          <w:rFonts w:hint="eastAsia" w:ascii="仿宋" w:hAnsi="仿宋" w:eastAsia="仿宋"/>
          <w:sz w:val="32"/>
          <w:szCs w:val="32"/>
        </w:rPr>
        <w:t>支出</w:t>
      </w:r>
      <w:r>
        <w:rPr>
          <w:rFonts w:hint="eastAsia" w:ascii="仿宋" w:hAnsi="仿宋" w:eastAsia="仿宋"/>
          <w:sz w:val="32"/>
          <w:szCs w:val="32"/>
          <w:lang w:val="en-US" w:eastAsia="zh-CN"/>
        </w:rPr>
        <w:t>4</w:t>
      </w:r>
      <w:r>
        <w:rPr>
          <w:rFonts w:hint="eastAsia" w:ascii="仿宋" w:hAnsi="仿宋" w:eastAsia="仿宋"/>
          <w:sz w:val="32"/>
          <w:szCs w:val="32"/>
        </w:rPr>
        <w:t>万元</w:t>
      </w:r>
      <w:r>
        <w:rPr>
          <w:rFonts w:ascii="仿宋" w:hAnsi="仿宋" w:eastAsia="仿宋"/>
          <w:sz w:val="32"/>
          <w:szCs w:val="32"/>
        </w:rPr>
        <w:t>。</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3、</w:t>
      </w:r>
      <w:r>
        <w:rPr>
          <w:rFonts w:hint="eastAsia" w:ascii="仿宋" w:hAnsi="仿宋" w:eastAsia="仿宋"/>
          <w:sz w:val="32"/>
          <w:szCs w:val="32"/>
        </w:rPr>
        <w:t>高桥街道结合各</w:t>
      </w:r>
      <w:r>
        <w:rPr>
          <w:rFonts w:hint="eastAsia" w:ascii="仿宋" w:hAnsi="仿宋" w:eastAsia="仿宋"/>
          <w:sz w:val="32"/>
          <w:szCs w:val="32"/>
          <w:lang w:eastAsia="zh-CN"/>
        </w:rPr>
        <w:t>个</w:t>
      </w:r>
      <w:r>
        <w:rPr>
          <w:rFonts w:hint="eastAsia" w:ascii="仿宋" w:hAnsi="仿宋" w:eastAsia="仿宋"/>
          <w:sz w:val="32"/>
          <w:szCs w:val="32"/>
        </w:rPr>
        <w:t>业务主管部门制定</w:t>
      </w:r>
      <w:r>
        <w:rPr>
          <w:rFonts w:hint="eastAsia" w:ascii="仿宋" w:hAnsi="仿宋" w:eastAsia="仿宋"/>
          <w:sz w:val="32"/>
          <w:szCs w:val="32"/>
          <w:lang w:eastAsia="zh-CN"/>
        </w:rPr>
        <w:t>的</w:t>
      </w:r>
      <w:r>
        <w:rPr>
          <w:rFonts w:hint="eastAsia" w:ascii="仿宋" w:hAnsi="仿宋" w:eastAsia="仿宋"/>
          <w:sz w:val="32"/>
          <w:szCs w:val="32"/>
        </w:rPr>
        <w:t>专项管理制度和办法，采取了更适合我街街情和更具操作性的具体措施，并按要求严格执行。</w:t>
      </w:r>
    </w:p>
    <w:p>
      <w:pPr>
        <w:keepNext w:val="0"/>
        <w:keepLines w:val="0"/>
        <w:pageBreakBefore w:val="0"/>
        <w:kinsoku/>
        <w:wordWrap/>
        <w:overflowPunct/>
        <w:topLinePunct w:val="0"/>
        <w:autoSpaceDE/>
        <w:autoSpaceDN/>
        <w:bidi w:val="0"/>
        <w:adjustRightInd/>
        <w:spacing w:line="560" w:lineRule="exact"/>
        <w:ind w:firstLine="753" w:firstLineChars="250"/>
        <w:textAlignment w:val="auto"/>
        <w:rPr>
          <w:rFonts w:hint="eastAsia" w:ascii="仿宋_GB2312" w:eastAsia="仿宋_GB2312"/>
          <w:b/>
          <w:sz w:val="30"/>
          <w:szCs w:val="30"/>
        </w:rPr>
      </w:pPr>
      <w:r>
        <w:rPr>
          <w:rFonts w:hint="eastAsia" w:ascii="仿宋_GB2312" w:eastAsia="仿宋_GB2312"/>
          <w:b/>
          <w:sz w:val="30"/>
          <w:szCs w:val="30"/>
        </w:rPr>
        <w:t xml:space="preserve">三、部门专项组织实施情况 </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 xml:space="preserve">（一）专项组织情况分析，主要包括项目招投标、调整、 竣工验收等情况。 </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eastAsia" w:ascii="楷体" w:hAnsi="楷体" w:eastAsia="楷体"/>
          <w:sz w:val="32"/>
          <w:szCs w:val="32"/>
        </w:rPr>
      </w:pPr>
      <w:r>
        <w:rPr>
          <w:rFonts w:hint="eastAsia" w:ascii="楷体" w:hAnsi="楷体" w:eastAsia="楷体"/>
          <w:sz w:val="32"/>
          <w:szCs w:val="32"/>
        </w:rPr>
        <w:t>（二）专项管理情况</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街道针对各类专项业务进一步加强了项目管理制度建设、日常检查监督管理。如社区惠民资金项目，街道针对惠民项目资金的使用集中组织各社区书记、主任及报账员进行认真学习，对文件中的要求规范进行逐条分析解疑。同时，对社区惠民资金项目，街道采取项目分管领导把握支出范围及程序，各相关条线分管领导联合控制的模式，对日常的项目资金的使用进行严格控制监督。</w:t>
      </w:r>
    </w:p>
    <w:p>
      <w:pPr>
        <w:keepNext w:val="0"/>
        <w:keepLines w:val="0"/>
        <w:pageBreakBefore w:val="0"/>
        <w:kinsoku/>
        <w:wordWrap/>
        <w:overflowPunct/>
        <w:topLinePunct w:val="0"/>
        <w:autoSpaceDE/>
        <w:autoSpaceDN/>
        <w:bidi w:val="0"/>
        <w:adjustRightInd/>
        <w:spacing w:line="560" w:lineRule="exact"/>
        <w:ind w:firstLine="753" w:firstLineChars="250"/>
        <w:textAlignment w:val="auto"/>
        <w:rPr>
          <w:rFonts w:hint="eastAsia" w:ascii="仿宋_GB2312" w:eastAsia="仿宋_GB2312"/>
          <w:b/>
          <w:sz w:val="30"/>
          <w:szCs w:val="30"/>
        </w:rPr>
      </w:pPr>
      <w:r>
        <w:rPr>
          <w:rFonts w:hint="eastAsia" w:ascii="仿宋_GB2312" w:eastAsia="仿宋_GB2312"/>
          <w:b/>
          <w:sz w:val="30"/>
          <w:szCs w:val="30"/>
        </w:rPr>
        <w:t xml:space="preserve">四、资产管理情况 </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ascii="仿宋_GB2312" w:eastAsia="仿宋_GB2312"/>
          <w:sz w:val="32"/>
          <w:szCs w:val="32"/>
        </w:rPr>
      </w:pPr>
      <w:r>
        <w:rPr>
          <w:rFonts w:hint="eastAsia" w:ascii="仿宋_GB2312" w:eastAsia="仿宋_GB2312"/>
          <w:sz w:val="32"/>
          <w:szCs w:val="32"/>
          <w:lang w:eastAsia="zh-CN"/>
        </w:rPr>
        <w:t>高桥街道</w:t>
      </w:r>
      <w:r>
        <w:rPr>
          <w:rFonts w:hint="eastAsia" w:ascii="仿宋_GB2312" w:eastAsia="仿宋_GB2312"/>
          <w:sz w:val="32"/>
          <w:szCs w:val="32"/>
        </w:rPr>
        <w:t>固定资产</w:t>
      </w:r>
      <w:r>
        <w:rPr>
          <w:rFonts w:hint="eastAsia" w:ascii="仿宋_GB2312" w:eastAsia="仿宋_GB2312"/>
          <w:sz w:val="32"/>
          <w:szCs w:val="32"/>
          <w:lang w:eastAsia="zh-CN"/>
        </w:rPr>
        <w:t>原值为</w:t>
      </w:r>
      <w:r>
        <w:rPr>
          <w:rFonts w:hint="eastAsia" w:ascii="仿宋_GB2312" w:eastAsia="仿宋_GB2312"/>
          <w:sz w:val="32"/>
          <w:szCs w:val="32"/>
        </w:rPr>
        <w:t>152</w:t>
      </w:r>
      <w:r>
        <w:rPr>
          <w:rFonts w:hint="eastAsia" w:ascii="仿宋_GB2312" w:eastAsia="仿宋_GB2312"/>
          <w:sz w:val="32"/>
          <w:szCs w:val="32"/>
          <w:lang w:val="en-US" w:eastAsia="zh-CN"/>
        </w:rPr>
        <w:t>4</w:t>
      </w:r>
      <w:r>
        <w:rPr>
          <w:rFonts w:hint="eastAsia" w:ascii="仿宋_GB2312" w:eastAsia="仿宋_GB2312"/>
          <w:sz w:val="32"/>
          <w:szCs w:val="32"/>
          <w:lang w:eastAsia="zh-CN"/>
        </w:rPr>
        <w:t>万元，其中房屋构筑物占</w:t>
      </w:r>
      <w:r>
        <w:rPr>
          <w:rFonts w:hint="eastAsia" w:ascii="仿宋_GB2312" w:eastAsia="仿宋_GB2312"/>
          <w:sz w:val="32"/>
          <w:szCs w:val="32"/>
          <w:lang w:val="en-US" w:eastAsia="zh-CN"/>
        </w:rPr>
        <w:t>57.91%，通用设备占30.81%，无</w:t>
      </w:r>
      <w:r>
        <w:rPr>
          <w:rFonts w:hint="eastAsia" w:ascii="仿宋_GB2312" w:eastAsia="仿宋_GB2312"/>
          <w:sz w:val="32"/>
          <w:szCs w:val="32"/>
        </w:rPr>
        <w:t>50万元以上通用设备、100万元以上专用设备</w:t>
      </w:r>
      <w:r>
        <w:rPr>
          <w:rFonts w:hint="eastAsia" w:ascii="仿宋_GB2312" w:eastAsia="仿宋_GB2312"/>
          <w:sz w:val="32"/>
          <w:szCs w:val="32"/>
          <w:lang w:eastAsia="zh-CN"/>
        </w:rPr>
        <w:t>，通用设备中车辆占固定资产总额的</w:t>
      </w:r>
      <w:r>
        <w:rPr>
          <w:rFonts w:hint="eastAsia" w:ascii="仿宋_GB2312" w:eastAsia="仿宋_GB2312"/>
          <w:sz w:val="32"/>
          <w:szCs w:val="32"/>
          <w:lang w:val="en-US" w:eastAsia="zh-CN"/>
        </w:rPr>
        <w:t>3%，</w:t>
      </w:r>
      <w:r>
        <w:rPr>
          <w:rFonts w:hint="eastAsia" w:ascii="仿宋_GB2312" w:eastAsia="仿宋_GB2312"/>
          <w:sz w:val="32"/>
          <w:szCs w:val="32"/>
        </w:rPr>
        <w:t>固定资产增长率</w:t>
      </w:r>
      <w:r>
        <w:rPr>
          <w:rFonts w:hint="eastAsia" w:ascii="仿宋_GB2312" w:eastAsia="仿宋_GB2312"/>
          <w:sz w:val="32"/>
          <w:szCs w:val="32"/>
          <w:lang w:eastAsia="zh-CN"/>
        </w:rPr>
        <w:t>为</w:t>
      </w:r>
      <w:r>
        <w:rPr>
          <w:rFonts w:hint="eastAsia" w:ascii="仿宋_GB2312" w:eastAsia="仿宋_GB2312"/>
          <w:sz w:val="32"/>
          <w:szCs w:val="32"/>
          <w:lang w:val="en-US" w:eastAsia="zh-CN"/>
        </w:rPr>
        <w:t>2%</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pacing w:line="560" w:lineRule="exact"/>
        <w:ind w:firstLine="720" w:firstLineChars="22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年度新增固定资产70.1万元，（含上级调拨的轿车13万元），其他的主要为配置给新增派出所新疆务工人员服务站及神农茶都白茶街的通用设备，处置固定资产391926.21元，残值收入3226元，全部上缴雨花区财政局非税账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sz w:val="30"/>
          <w:szCs w:val="30"/>
        </w:rPr>
      </w:pPr>
      <w:r>
        <w:rPr>
          <w:rFonts w:hint="eastAsia" w:ascii="仿宋_GB2312" w:hAnsi="楷体" w:eastAsia="仿宋_GB2312"/>
          <w:kern w:val="0"/>
          <w:sz w:val="32"/>
          <w:szCs w:val="32"/>
          <w:lang w:val="en-US" w:eastAsia="zh-CN"/>
        </w:rPr>
        <w:t>2019年街道</w:t>
      </w:r>
      <w:r>
        <w:rPr>
          <w:rFonts w:hint="eastAsia" w:ascii="仿宋_GB2312" w:hAnsi="楷体" w:eastAsia="仿宋_GB2312"/>
          <w:kern w:val="0"/>
          <w:sz w:val="32"/>
          <w:szCs w:val="32"/>
        </w:rPr>
        <w:t>及时开展了国有资产清查工作</w:t>
      </w:r>
      <w:r>
        <w:rPr>
          <w:rFonts w:hint="eastAsia" w:ascii="仿宋_GB2312" w:hAnsi="楷体" w:eastAsia="仿宋_GB2312"/>
          <w:kern w:val="0"/>
          <w:sz w:val="32"/>
          <w:szCs w:val="32"/>
          <w:lang w:eastAsia="zh-CN"/>
        </w:rPr>
        <w:t>，外聘事务所对街道的所有国有资产进行专项清点和盘查，清晰掌握了国有资产存量、分布、结构及使用情况，及时输入固定资产管理软件，充分运用平台对总站的国有资产进行动态管理，加强新增资产配置登记配置工作，规范资产处置程序，确保资产高效使用。</w:t>
      </w:r>
    </w:p>
    <w:p>
      <w:pPr>
        <w:keepNext w:val="0"/>
        <w:keepLines w:val="0"/>
        <w:pageBreakBefore w:val="0"/>
        <w:numPr>
          <w:ilvl w:val="0"/>
          <w:numId w:val="3"/>
        </w:numPr>
        <w:kinsoku/>
        <w:wordWrap/>
        <w:overflowPunct/>
        <w:topLinePunct w:val="0"/>
        <w:autoSpaceDE/>
        <w:autoSpaceDN/>
        <w:bidi w:val="0"/>
        <w:adjustRightInd/>
        <w:spacing w:line="560" w:lineRule="exact"/>
        <w:ind w:firstLine="602" w:firstLineChars="200"/>
        <w:textAlignment w:val="auto"/>
        <w:rPr>
          <w:rFonts w:hint="eastAsia" w:ascii="仿宋_GB2312" w:eastAsia="仿宋_GB2312"/>
          <w:b/>
          <w:sz w:val="30"/>
          <w:szCs w:val="30"/>
        </w:rPr>
      </w:pPr>
      <w:r>
        <w:rPr>
          <w:rFonts w:hint="eastAsia" w:ascii="仿宋_GB2312" w:eastAsia="仿宋_GB2312"/>
          <w:b/>
          <w:sz w:val="30"/>
          <w:szCs w:val="30"/>
        </w:rPr>
        <w:t xml:space="preserve">部门整体支出绩效情况 </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eastAsia" w:ascii="楷体" w:hAnsi="楷体" w:eastAsia="楷体"/>
          <w:sz w:val="32"/>
          <w:szCs w:val="32"/>
        </w:rPr>
      </w:pPr>
      <w:r>
        <w:rPr>
          <w:rFonts w:hint="eastAsia" w:ascii="楷体" w:hAnsi="楷体" w:eastAsia="楷体"/>
          <w:sz w:val="32"/>
          <w:szCs w:val="32"/>
        </w:rPr>
        <w:t>（一）经济性分析</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eastAsia" w:ascii="仿宋" w:hAnsi="仿宋" w:eastAsia="仿宋"/>
          <w:sz w:val="32"/>
          <w:szCs w:val="32"/>
          <w:highlight w:val="none"/>
        </w:rPr>
      </w:pPr>
      <w:r>
        <w:rPr>
          <w:rFonts w:hint="eastAsia" w:ascii="仿宋" w:hAnsi="仿宋" w:eastAsia="仿宋"/>
          <w:sz w:val="32"/>
          <w:szCs w:val="32"/>
        </w:rPr>
        <w:t>　街道严格控制预算支出，不断强化管理，严格执行了预决算公开。本年对社区的资金拨付均已及时进行支付或完成预算指标文件的下达，不存在截留或滞留专项资金情况；本年街道充分节约使用经费，基本支出较好的控制在预算额度内，</w:t>
      </w:r>
      <w:r>
        <w:rPr>
          <w:rFonts w:hint="eastAsia" w:ascii="仿宋" w:hAnsi="仿宋" w:eastAsia="仿宋"/>
          <w:sz w:val="32"/>
          <w:szCs w:val="32"/>
          <w:lang w:eastAsia="zh-CN"/>
        </w:rPr>
        <w:t>其中</w:t>
      </w:r>
      <w:r>
        <w:rPr>
          <w:rFonts w:hint="eastAsia" w:ascii="仿宋" w:hAnsi="仿宋" w:eastAsia="仿宋"/>
          <w:sz w:val="32"/>
          <w:szCs w:val="32"/>
        </w:rPr>
        <w:t>人员经费严格按标准支出，办公经费</w:t>
      </w:r>
      <w:r>
        <w:rPr>
          <w:rFonts w:hint="eastAsia" w:ascii="仿宋" w:hAnsi="仿宋" w:eastAsia="仿宋"/>
          <w:sz w:val="32"/>
          <w:szCs w:val="32"/>
          <w:lang w:eastAsia="zh-CN"/>
        </w:rPr>
        <w:t>较上年减少</w:t>
      </w:r>
      <w:r>
        <w:rPr>
          <w:rFonts w:hint="eastAsia" w:ascii="仿宋" w:hAnsi="仿宋" w:eastAsia="仿宋"/>
          <w:sz w:val="32"/>
          <w:szCs w:val="32"/>
          <w:lang w:val="en-US" w:eastAsia="zh-CN"/>
        </w:rPr>
        <w:t>10万元</w:t>
      </w:r>
      <w:r>
        <w:rPr>
          <w:rFonts w:hint="eastAsia" w:ascii="仿宋" w:hAnsi="仿宋" w:eastAsia="仿宋"/>
          <w:sz w:val="32"/>
          <w:szCs w:val="32"/>
        </w:rPr>
        <w:t>；三公经费使用控制较好，其中公务接待费结余2万</w:t>
      </w:r>
      <w:r>
        <w:rPr>
          <w:rFonts w:hint="eastAsia" w:ascii="仿宋" w:hAnsi="仿宋" w:eastAsia="仿宋"/>
          <w:sz w:val="32"/>
          <w:szCs w:val="32"/>
          <w:highlight w:val="none"/>
        </w:rPr>
        <w:t>元，公务车运行维护费结余0.</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万元，三公经费较预算结余2.</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万元，结余达</w:t>
      </w:r>
      <w:r>
        <w:rPr>
          <w:rFonts w:hint="eastAsia" w:ascii="仿宋" w:hAnsi="仿宋" w:eastAsia="仿宋"/>
          <w:sz w:val="32"/>
          <w:szCs w:val="32"/>
          <w:highlight w:val="none"/>
          <w:lang w:val="en-US" w:eastAsia="zh-CN"/>
        </w:rPr>
        <w:t>34</w:t>
      </w:r>
      <w:r>
        <w:rPr>
          <w:rFonts w:hint="eastAsia" w:ascii="仿宋" w:hAnsi="仿宋" w:eastAsia="仿宋"/>
          <w:sz w:val="32"/>
          <w:szCs w:val="32"/>
          <w:highlight w:val="none"/>
        </w:rPr>
        <w:t>%。</w:t>
      </w:r>
    </w:p>
    <w:p>
      <w:pPr>
        <w:keepNext w:val="0"/>
        <w:keepLines w:val="0"/>
        <w:pageBreakBefore w:val="0"/>
        <w:numPr>
          <w:ilvl w:val="0"/>
          <w:numId w:val="4"/>
        </w:numPr>
        <w:kinsoku/>
        <w:wordWrap/>
        <w:overflowPunct/>
        <w:topLinePunct w:val="0"/>
        <w:autoSpaceDE/>
        <w:autoSpaceDN/>
        <w:bidi w:val="0"/>
        <w:adjustRightInd/>
        <w:spacing w:line="560" w:lineRule="exact"/>
        <w:ind w:firstLine="480" w:firstLineChars="150"/>
        <w:textAlignment w:val="auto"/>
        <w:rPr>
          <w:rFonts w:hint="eastAsia" w:ascii="楷体" w:hAnsi="楷体" w:eastAsia="楷体"/>
          <w:sz w:val="32"/>
          <w:szCs w:val="32"/>
          <w:highlight w:val="none"/>
        </w:rPr>
      </w:pPr>
      <w:r>
        <w:rPr>
          <w:rFonts w:hint="eastAsia" w:ascii="楷体" w:hAnsi="楷体" w:eastAsia="楷体"/>
          <w:sz w:val="32"/>
          <w:szCs w:val="32"/>
          <w:highlight w:val="none"/>
        </w:rPr>
        <w:t>效率性分析</w:t>
      </w:r>
    </w:p>
    <w:p>
      <w:pPr>
        <w:keepNext w:val="0"/>
        <w:keepLines w:val="0"/>
        <w:pageBreakBefore w:val="0"/>
        <w:numPr>
          <w:ilvl w:val="0"/>
          <w:numId w:val="5"/>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坚持党建引领，党的建设更富活力。</w:t>
      </w:r>
    </w:p>
    <w:p>
      <w:pPr>
        <w:keepNext w:val="0"/>
        <w:keepLines w:val="0"/>
        <w:pageBreakBefore w:val="0"/>
        <w:numPr>
          <w:ilvl w:val="0"/>
          <w:numId w:val="5"/>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突出项目建设，经济实力更为强劲。</w:t>
      </w:r>
    </w:p>
    <w:p>
      <w:pPr>
        <w:keepNext w:val="0"/>
        <w:keepLines w:val="0"/>
        <w:pageBreakBefore w:val="0"/>
        <w:numPr>
          <w:ilvl w:val="0"/>
          <w:numId w:val="5"/>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创新社会治理，管服模式更加科学。</w:t>
      </w:r>
    </w:p>
    <w:p>
      <w:pPr>
        <w:keepNext w:val="0"/>
        <w:keepLines w:val="0"/>
        <w:pageBreakBefore w:val="0"/>
        <w:numPr>
          <w:ilvl w:val="0"/>
          <w:numId w:val="5"/>
        </w:numPr>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强化精细管理，商居环境更具魅力。</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、抓好政务服务，群众生活更有保障。</w:t>
      </w:r>
    </w:p>
    <w:p>
      <w:pPr>
        <w:keepNext w:val="0"/>
        <w:keepLines w:val="0"/>
        <w:pageBreakBefore w:val="0"/>
        <w:numPr>
          <w:ilvl w:val="0"/>
          <w:numId w:val="4"/>
        </w:numPr>
        <w:kinsoku/>
        <w:wordWrap/>
        <w:overflowPunct/>
        <w:topLinePunct w:val="0"/>
        <w:autoSpaceDE/>
        <w:autoSpaceDN/>
        <w:bidi w:val="0"/>
        <w:adjustRightInd/>
        <w:spacing w:line="560" w:lineRule="exact"/>
        <w:ind w:left="0" w:leftChars="0" w:firstLine="480" w:firstLineChars="150"/>
        <w:textAlignment w:val="auto"/>
        <w:rPr>
          <w:rFonts w:hint="eastAsia" w:ascii="楷体" w:hAnsi="楷体" w:eastAsia="楷体"/>
          <w:sz w:val="32"/>
          <w:szCs w:val="32"/>
          <w:highlight w:val="none"/>
        </w:rPr>
      </w:pPr>
      <w:r>
        <w:rPr>
          <w:rFonts w:hint="eastAsia" w:ascii="楷体" w:hAnsi="楷体" w:eastAsia="楷体"/>
          <w:sz w:val="32"/>
          <w:szCs w:val="32"/>
          <w:highlight w:val="none"/>
        </w:rPr>
        <w:t>有效性分析</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highlight w:val="none"/>
          <w:lang w:val="en-US" w:eastAsia="zh-CN"/>
        </w:rPr>
        <w:t>1</w:t>
      </w:r>
      <w:r>
        <w:rPr>
          <w:rFonts w:hint="eastAsia" w:ascii="楷体_GB2312" w:hAnsi="楷体_GB2312" w:eastAsia="楷体_GB2312" w:cs="楷体_GB2312"/>
          <w:b/>
          <w:bCs/>
          <w:sz w:val="32"/>
          <w:szCs w:val="32"/>
          <w:highlight w:val="none"/>
        </w:rPr>
        <w:t>、</w:t>
      </w:r>
      <w:r>
        <w:rPr>
          <w:rFonts w:hint="eastAsia" w:ascii="仿宋_GB2312" w:hAnsi="仿宋_GB2312" w:eastAsia="仿宋_GB2312" w:cs="仿宋_GB2312"/>
          <w:b/>
          <w:bCs/>
          <w:sz w:val="32"/>
          <w:szCs w:val="32"/>
          <w:highlight w:val="none"/>
        </w:rPr>
        <w:t>强化政治引领，筑牢思想防线。</w:t>
      </w:r>
      <w:r>
        <w:rPr>
          <w:rFonts w:hint="eastAsia" w:ascii="仿宋_GB2312" w:hAnsi="仿宋_GB2312" w:eastAsia="仿宋_GB2312" w:cs="仿宋_GB2312"/>
          <w:bCs/>
          <w:sz w:val="32"/>
          <w:szCs w:val="32"/>
          <w:highlight w:val="none"/>
        </w:rPr>
        <w:t>坚持用党的理论武装头脑，</w:t>
      </w:r>
      <w:r>
        <w:rPr>
          <w:rFonts w:hint="eastAsia" w:ascii="仿宋_GB2312" w:hAnsi="仿宋_GB2312" w:eastAsia="仿宋_GB2312" w:cs="仿宋_GB2312"/>
          <w:sz w:val="32"/>
          <w:szCs w:val="32"/>
          <w:highlight w:val="none"/>
        </w:rPr>
        <w:t>开展党工委中心组（扩大）理论学习12次，按照“规定动作一个不少，自选动作讲求实效”的目标，认真开展</w:t>
      </w:r>
      <w:r>
        <w:rPr>
          <w:rFonts w:hint="eastAsia" w:ascii="仿宋_GB2312" w:hAnsi="仿宋_GB2312" w:eastAsia="仿宋_GB2312" w:cs="仿宋_GB2312"/>
          <w:bCs/>
          <w:sz w:val="32"/>
          <w:szCs w:val="32"/>
          <w:highlight w:val="none"/>
        </w:rPr>
        <w:t>“不忘初心、牢记使命”主题教育。梳理问题清单177条</w:t>
      </w:r>
      <w:r>
        <w:rPr>
          <w:rFonts w:hint="eastAsia" w:ascii="仿宋_GB2312" w:hAnsi="仿宋_GB2312" w:eastAsia="仿宋_GB2312" w:cs="仿宋_GB2312"/>
          <w:bCs/>
          <w:sz w:val="32"/>
          <w:szCs w:val="32"/>
        </w:rPr>
        <w:t>并全部整改到位，解决民生实事38件。认真开展扫黑除恶专项斗争，</w:t>
      </w:r>
      <w:r>
        <w:rPr>
          <w:rFonts w:hint="eastAsia" w:ascii="仿宋_GB2312" w:hAnsi="仿宋_GB2312" w:eastAsia="仿宋_GB2312" w:cs="仿宋_GB2312"/>
          <w:sz w:val="32"/>
          <w:szCs w:val="32"/>
        </w:rPr>
        <w:t>对全街1000余名党员进行违纪违法排查，并对社区（集资委）全体“两委”成员进行约谈，确保基层党组织干净可靠。全街65个党支部“五化”建设达标率80%。</w:t>
      </w:r>
      <w:r>
        <w:rPr>
          <w:rFonts w:hint="eastAsia" w:ascii="仿宋_GB2312" w:hAnsi="仿宋_GB2312" w:eastAsia="仿宋_GB2312" w:cs="仿宋_GB2312"/>
          <w:b/>
          <w:bCs/>
          <w:sz w:val="32"/>
          <w:szCs w:val="32"/>
        </w:rPr>
        <w:t>压实主体责任，增强政治定力。</w:t>
      </w:r>
      <w:r>
        <w:rPr>
          <w:rFonts w:hint="eastAsia" w:ascii="仿宋_GB2312" w:hAnsi="仿宋_GB2312" w:eastAsia="仿宋_GB2312" w:cs="仿宋_GB2312"/>
          <w:sz w:val="32"/>
          <w:szCs w:val="32"/>
        </w:rPr>
        <w:t>发挥党建引领作用，通过“抓书记、书记抓”，压实街、社两级责任，把意识形态工作</w:t>
      </w:r>
      <w:r>
        <w:rPr>
          <w:rFonts w:hint="eastAsia" w:ascii="仿宋_GB2312" w:hAnsi="Calibri" w:eastAsia="仿宋_GB2312"/>
          <w:sz w:val="32"/>
          <w:szCs w:val="32"/>
        </w:rPr>
        <w:t>与中心工作同部署、同推进、同落实。班子成员责任上肩，</w:t>
      </w:r>
      <w:r>
        <w:rPr>
          <w:rFonts w:hint="eastAsia" w:ascii="仿宋_GB2312" w:hAnsi="仿宋_GB2312" w:eastAsia="仿宋_GB2312" w:cs="仿宋_GB2312"/>
          <w:sz w:val="32"/>
          <w:szCs w:val="32"/>
        </w:rPr>
        <w:t>及时了解掌握各分管线和联点社区的社情、民情，建好管好用好舆论宣传阵地，增强意识形态领域的“免疫力”。2019年妥善</w:t>
      </w:r>
      <w:r>
        <w:rPr>
          <w:rFonts w:hint="eastAsia" w:ascii="仿宋_GB2312" w:hAnsi="Calibri" w:eastAsia="仿宋_GB2312"/>
          <w:sz w:val="32"/>
          <w:szCs w:val="32"/>
        </w:rPr>
        <w:t>处置网络舆情舆论8例，办结率达100%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强化廉洁自律，营造良好氛围。</w:t>
      </w:r>
      <w:r>
        <w:rPr>
          <w:rFonts w:hint="eastAsia" w:ascii="仿宋_GB2312" w:hAnsi="仿宋_GB2312" w:eastAsia="仿宋_GB2312" w:cs="仿宋_GB2312"/>
          <w:sz w:val="32"/>
          <w:szCs w:val="32"/>
        </w:rPr>
        <w:t>党政班子成员带头</w:t>
      </w:r>
      <w:r>
        <w:rPr>
          <w:rFonts w:hint="eastAsia" w:ascii="仿宋_GB2312" w:hAnsi="Verdana" w:eastAsia="仿宋_GB2312" w:cs="宋体"/>
          <w:kern w:val="0"/>
          <w:sz w:val="32"/>
          <w:szCs w:val="32"/>
        </w:rPr>
        <w:t>落实省、市、区巡（视）查整改和“一岗双责”工作要求，修身正已，廉洁自律，认真抓好分管部门和联点单位的党风廉政建设，落实提醒谈话、组织生活会等制度，</w:t>
      </w:r>
      <w:r>
        <w:rPr>
          <w:rFonts w:hint="eastAsia" w:ascii="仿宋_GB2312" w:eastAsia="仿宋_GB2312"/>
          <w:sz w:val="32"/>
          <w:szCs w:val="32"/>
        </w:rPr>
        <w:t>让咬耳扯袖、红脸出汗成为常态。</w:t>
      </w:r>
      <w:r>
        <w:rPr>
          <w:rFonts w:hint="eastAsia" w:ascii="仿宋_GB2312" w:hAnsi="Verdana" w:eastAsia="仿宋_GB2312" w:cs="宋体"/>
          <w:kern w:val="0"/>
          <w:sz w:val="32"/>
          <w:szCs w:val="32"/>
        </w:rPr>
        <w:t>班子成员对分管部门和联点社区共计谈话133人次，</w:t>
      </w:r>
      <w:r>
        <w:rPr>
          <w:rFonts w:hint="eastAsia" w:ascii="仿宋_GB2312" w:eastAsia="仿宋_GB2312"/>
          <w:sz w:val="32"/>
          <w:szCs w:val="32"/>
        </w:rPr>
        <w:t>提醒内容涵盖六大纪律共计223项（次）。</w:t>
      </w:r>
      <w:r>
        <w:rPr>
          <w:rFonts w:hint="eastAsia" w:ascii="仿宋_GB2312" w:hAnsi="仿宋_GB2312" w:eastAsia="仿宋_GB2312" w:cs="仿宋_GB2312"/>
          <w:sz w:val="32"/>
          <w:szCs w:val="32"/>
        </w:rPr>
        <w:t>先后开展了“我为党旗添光彩”最美党员志愿者风采展示、“忆党史、守初心”红色之旅等系列活动，进一步增强党员干部的事业心和责任感，大力营造想干事、能干事、干成事的良好工作氛围。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激发项目建设活力。利用区“企业（项目）服务日”集中办公、现场交办，化解项目难题，根据企业需求，采取“一企一策”等措施推进项目建设。先后协助居然之家、广大环球家居广场、尚悦商业广场等项目解决难题。大力帮扶8个重点产业项目，用项目建设带动经济提速。正荣悦玺、碧桂园时代广场和新城新世界四期等3个续建项目进展顺利，部分已经开盘预售；高桥大市场全球贸易中心、宝能公馆和湘林·熙水豪庭3个新建项目取得重大突破。凝聚招商引资合力。面对电商和网络经济的冲击，凝聚多方力量，迎难而上，积极招商引资。组织火焰片区招商团队先后赴湘西地区和福建福鼎市等地开展招商活动，推介优惠政策，回应市场需求，已与多家茶企初步达成合作意向。金鸿宇国际商业广场、华晨双帆、华雅财富等楼宇共引进9家企业，预计去库存24000平方米。增强协税护税腕力。开展税源清查，通过开展行业的集中整顿和评估，预计可新增税收入库300万元；税收属地管理清理工作共清理出税证关系不在我区的企业8家，预计新增税收200万元。2019年重点对5个社区、4家楼宇、170家有影响力的企业进行清查, 清查面积达62086平方米，清查房产272户，面积约35609平方米。挖掘市场贸易潜力。高桥大市场市场采购贸易试点工作顺利推进，成效初显，发展势头良好。从3月19日正式走单，截至12月4日，出口通关7808票，贸易总额6.1亿美元，折合人民币41.5亿元，预计到年底，贸易总额将达6.3亿美元。6月29日，湖南（高桥）非洲商品展销馆正式开馆，在第一届中非经贸博览会期间，该馆接待了24个非洲国家的51个代表团、超过1200余人次的参观考察，现场购物200多万元，达成意向贸易订单约4.8亿美元（其中进口1.95亿美元，出口2.85亿美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构建治安联防体系。以社会治安防控“互联网+群防群治”工程为抓手，构建以专业巡防队伍为主体、保安队伍为补充、平安志愿者队伍为基础、线上线下互动互补的群防群治工作体系。加强街道社区的治安防控能力建设，实现社会治理从“政府管理”向“群众自治”转变，群众自治从“被动执行”向“主动参与”转变。截至目前，高桥街道“星城园丁”注册用户突破5800人，通过APP参与巡逻的群众每天达到300人，巡防力量由线下1000人扩充到线上6000人，治安和刑事案件比2018年同期减少443起。畅通信访投诉渠道。街道班子成员打开大门接访，走近百姓下访，轮流排班实时接访和主动回访，突出做好了</w:t>
      </w:r>
      <w:bookmarkStart w:id="0" w:name="_GoBack"/>
      <w:bookmarkEnd w:id="0"/>
      <w:r>
        <w:rPr>
          <w:rFonts w:hint="eastAsia" w:ascii="仿宋_GB2312" w:hAnsi="仿宋_GB2312" w:eastAsia="仿宋_GB2312" w:cs="仿宋_GB2312"/>
          <w:sz w:val="32"/>
          <w:szCs w:val="32"/>
          <w:lang w:eastAsia="zh-CN"/>
        </w:rPr>
        <w:t>全国两会</w:t>
      </w:r>
      <w:r>
        <w:rPr>
          <w:rFonts w:hint="eastAsia" w:ascii="仿宋_GB2312" w:hAnsi="仿宋_GB2312" w:eastAsia="仿宋_GB2312" w:cs="仿宋_GB2312"/>
          <w:sz w:val="32"/>
          <w:szCs w:val="32"/>
        </w:rPr>
        <w:t>、中非经贸论坛、庆祝中华人民共和国成立70周年等特殊时期的平安稳定工作，先后调处了神农茶都租金拖欠、金鸿宇物业纠纷、地铁6号线民工讨薪等群体性集访和维权，化解矛盾纠纷400余件。</w:t>
      </w: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rPr>
        <w:t>目前，街道共接待群众来访来信132批293人次，其中办理中央扫黑除恶交办件9件，办理省委巡视组交办件9件，信访事项办结率100%。筑牢安全生产防线。始终把安全生产工作抓在手上、扛在肩上，层层压实各级责任，积极运用科学手段加强防范措施，在全街大力推广智慧用电系统等技防手段，街道本级带头安装了智慧用电、智慧烟感等预警系统，下好人防技防“先手棋”。始终坚持每周四开展安全生产“零点行动”，紧盯隐患较大的商场、饭店、网吧等人员密集场所，党政班子成员带队到联点社区开展常态化检查巡查，及时消除隐患和苗头。同时联合各职能部门开展了烟花爆竹、液化气站点、消防设施等专项整治行动。今年以来,共开展大型联合行动11次，检查生产经营单位1837家，下达各类整改文书400余份，查处非法储存危化品1处，转移危化品稀释剂175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城市管理服务日臻完善。以“网格化综合服务中心”的平台为主阵地，把城管队员、巡防队员、环卫保洁员、卫健协管员等8大员铺排到片区，编优配强“5+1”综管站队伍，采取分片负责和机动灵活相结合的处置方式，形成了“平</w:t>
      </w:r>
      <w:r>
        <w:rPr>
          <w:rFonts w:hint="eastAsia" w:ascii="仿宋_GB2312" w:hAnsi="仿宋_GB2312" w:eastAsia="仿宋_GB2312" w:cs="仿宋_GB2312"/>
          <w:kern w:val="0"/>
          <w:sz w:val="32"/>
          <w:szCs w:val="32"/>
        </w:rPr>
        <w:t>台反馈、综管主抓、各线协抓”的服务管理格局。2019年，执法巡查3600余人次，整治问题65起，“12345”热线受理工单1400余件，主动上报网格通案卷26730件，处理市区城管数字化案卷8490条，结案率达100%。</w:t>
      </w:r>
      <w:r>
        <w:rPr>
          <w:rFonts w:hint="eastAsia" w:ascii="仿宋_GB2312" w:hAnsi="仿宋_GB2312" w:eastAsia="仿宋_GB2312" w:cs="仿宋_GB2312"/>
          <w:b/>
          <w:bCs/>
          <w:kern w:val="0"/>
          <w:sz w:val="32"/>
          <w:szCs w:val="32"/>
        </w:rPr>
        <w:t>二是重点民生实事成效明显。</w:t>
      </w:r>
      <w:r>
        <w:rPr>
          <w:rFonts w:hint="eastAsia" w:ascii="仿宋_GB2312" w:hAnsi="仿宋_GB2312" w:eastAsia="仿宋_GB2312" w:cs="仿宋_GB2312"/>
          <w:kern w:val="0"/>
          <w:sz w:val="32"/>
          <w:szCs w:val="32"/>
        </w:rPr>
        <w:t>严格落实“河长制”工作要求，及时发现圭塘河高桥段安全隐患3处，已全部督促整改，并赶在汛期前对防洪大堤进行了抢修；7月份，湘江洪峰过境时，党政班子成员带头轮班24小时值守在圭塘河堤上，确保了</w:t>
      </w:r>
      <w:r>
        <w:rPr>
          <w:rFonts w:hint="eastAsia" w:ascii="仿宋_GB2312" w:hAnsi="仿宋" w:eastAsia="仿宋_GB2312" w:cs="仿宋"/>
          <w:sz w:val="32"/>
          <w:szCs w:val="32"/>
        </w:rPr>
        <w:t>居民群众的生命财产安全</w:t>
      </w:r>
      <w:r>
        <w:rPr>
          <w:rFonts w:hint="eastAsia" w:ascii="Times New Roman" w:hAnsi="Times New Roman" w:eastAsia="仿宋_GB2312"/>
          <w:sz w:val="32"/>
          <w:szCs w:val="32"/>
        </w:rPr>
        <w:t>。</w:t>
      </w:r>
      <w:r>
        <w:rPr>
          <w:rFonts w:hint="eastAsia" w:ascii="仿宋_GB2312" w:hAnsi="仿宋_GB2312" w:eastAsia="仿宋_GB2312" w:cs="仿宋_GB2312"/>
          <w:kern w:val="0"/>
          <w:sz w:val="32"/>
          <w:szCs w:val="32"/>
        </w:rPr>
        <w:t>加大食品安全宣传和打击力度，严把入口关，采取专项整治和随机抽查相结合的方式，</w:t>
      </w:r>
      <w:r>
        <w:rPr>
          <w:rFonts w:hint="eastAsia" w:ascii="仿宋_GB2312" w:hAnsi="仿宋_GB2312" w:eastAsia="仿宋_GB2312" w:cs="仿宋_GB2312"/>
          <w:sz w:val="32"/>
          <w:szCs w:val="32"/>
        </w:rPr>
        <w:t>铁腕整治食品流通链上的隐患，确保居民群众“舌尖上的安全”。全年</w:t>
      </w:r>
      <w:r>
        <w:rPr>
          <w:rFonts w:hint="eastAsia" w:ascii="仿宋_GB2312" w:hAnsi="仿宋_GB2312" w:eastAsia="仿宋_GB2312" w:cs="仿宋_GB2312"/>
          <w:sz w:val="32"/>
          <w:szCs w:val="32"/>
          <w:shd w:val="clear" w:color="auto" w:fill="FFFFFF"/>
        </w:rPr>
        <w:t>处理消费者投诉举报2550件，涉食类投诉举报678件</w:t>
      </w:r>
      <w:r>
        <w:rPr>
          <w:rFonts w:hint="eastAsia" w:ascii="仿宋_GB2312" w:hAnsi="仿宋_GB2312" w:eastAsia="仿宋_GB2312" w:cs="仿宋_GB2312"/>
          <w:sz w:val="32"/>
          <w:szCs w:val="32"/>
        </w:rPr>
        <w:t>。持续打好蓝天保卫战，多措并举处置污水、油烟、扬尘、尾气等棘手问题。</w:t>
      </w:r>
      <w:r>
        <w:rPr>
          <w:rFonts w:hint="eastAsia" w:ascii="仿宋_GB2312" w:hAnsi="仿宋_GB2312" w:eastAsia="仿宋_GB2312" w:cs="仿宋_GB2312"/>
          <w:kern w:val="0"/>
          <w:sz w:val="32"/>
          <w:szCs w:val="32"/>
        </w:rPr>
        <w:t>2019年，在区生态环保督察</w:t>
      </w:r>
      <w:r>
        <w:rPr>
          <w:rFonts w:hint="eastAsia" w:ascii="仿宋_GB2312" w:hAnsi="仿宋_GB2312" w:eastAsia="仿宋_GB2312" w:cs="仿宋_GB2312"/>
          <w:kern w:val="0"/>
          <w:sz w:val="32"/>
          <w:szCs w:val="32"/>
          <w:lang w:val="zh-CN"/>
        </w:rPr>
        <w:t>“天天</w:t>
      </w:r>
      <w:r>
        <w:rPr>
          <w:rFonts w:hint="eastAsia" w:ascii="仿宋_GB2312" w:hAnsi="仿宋_GB2312" w:eastAsia="仿宋_GB2312" w:cs="仿宋_GB2312"/>
          <w:kern w:val="0"/>
          <w:sz w:val="32"/>
          <w:szCs w:val="32"/>
        </w:rPr>
        <w:t>在线”通报的问题清单中，我街道无重点件、重复件、反复件。</w:t>
      </w:r>
      <w:r>
        <w:rPr>
          <w:rFonts w:hint="eastAsia" w:ascii="仿宋_GB2312" w:hAnsi="仿宋_GB2312" w:eastAsia="仿宋_GB2312" w:cs="仿宋_GB2312"/>
          <w:b/>
          <w:bCs/>
          <w:sz w:val="32"/>
          <w:szCs w:val="32"/>
        </w:rPr>
        <w:t>三是垃圾分类工作初具规模。</w:t>
      </w:r>
      <w:r>
        <w:rPr>
          <w:rFonts w:hint="eastAsia" w:ascii="仿宋_GB2312" w:hAnsi="仿宋_GB2312" w:eastAsia="仿宋_GB2312" w:cs="仿宋_GB2312"/>
          <w:sz w:val="32"/>
          <w:szCs w:val="32"/>
        </w:rPr>
        <w:t>全街广泛推行</w:t>
      </w:r>
      <w:r>
        <w:rPr>
          <w:rFonts w:hint="eastAsia" w:ascii="仿宋_GB2312" w:hAnsi="仿宋_GB2312" w:eastAsia="仿宋_GB2312" w:cs="仿宋_GB2312"/>
          <w:sz w:val="32"/>
          <w:szCs w:val="32"/>
          <w:lang w:val="zh-CN"/>
        </w:rPr>
        <w:t>“敲门</w:t>
      </w:r>
      <w:r>
        <w:rPr>
          <w:rFonts w:hint="eastAsia" w:ascii="仿宋_GB2312" w:hAnsi="仿宋_GB2312" w:eastAsia="仿宋_GB2312" w:cs="仿宋_GB2312"/>
          <w:sz w:val="32"/>
          <w:szCs w:val="32"/>
        </w:rPr>
        <w:t>行动”，逐楼栋逐单元入户宣传，做到资料发放到位、政策宣传到位、设备设施摆放到位。在全街</w:t>
      </w:r>
      <w:r>
        <w:rPr>
          <w:rFonts w:hint="eastAsia" w:ascii="仿宋_GB2312" w:hAnsi="仿宋_GB2312" w:eastAsia="仿宋_GB2312" w:cs="仿宋_GB2312"/>
          <w:sz w:val="32"/>
          <w:szCs w:val="32"/>
          <w:lang w:val="zh-CN"/>
        </w:rPr>
        <w:t>“撤桶</w:t>
      </w:r>
      <w:r>
        <w:rPr>
          <w:rFonts w:hint="eastAsia" w:ascii="仿宋_GB2312" w:hAnsi="仿宋_GB2312" w:eastAsia="仿宋_GB2312" w:cs="仿宋_GB2312"/>
          <w:sz w:val="32"/>
          <w:szCs w:val="32"/>
        </w:rPr>
        <w:t>并点”设置1209个干湿垃圾设置点，探索和逐步推广由党员志愿者带头、环卫保洁员参与，协助小区指导居民完成垃圾分类工作模式。目前，干湿垃圾分收分运体系已初步建成，部分小区和农贸市场基本做到干湿垃圾分收分运。我街鑫华社区生活垃圾分类工作在雨花区作典型经验推广。</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w:t>
      </w:r>
      <w:r>
        <w:rPr>
          <w:rFonts w:hint="eastAsia" w:ascii="仿宋_GB2312" w:hAnsi="仿宋_GB2312" w:eastAsia="仿宋_GB2312" w:cs="仿宋_GB2312"/>
          <w:b/>
          <w:bCs/>
          <w:sz w:val="32"/>
          <w:szCs w:val="32"/>
        </w:rPr>
        <w:t>优化政务窗口服务。</w:t>
      </w:r>
      <w:r>
        <w:rPr>
          <w:rFonts w:hint="eastAsia" w:ascii="仿宋_GB2312" w:hAnsi="仿宋_GB2312" w:eastAsia="仿宋_GB2312" w:cs="仿宋_GB2312"/>
          <w:sz w:val="32"/>
          <w:szCs w:val="32"/>
        </w:rPr>
        <w:t>以“最多跑一次”改革为突破，梳理政务权责清单，落实街道社区AB岗制度，通过“一站式”服务，实现群众网上办事一次认证、多点互联、“一网”通办。今年5月在街道政务大厅增设6个市场监督窗口，统一了工装，明确了要求，强化了服务，全年办理各类业务 4500余件，无一起投诉。</w:t>
      </w:r>
      <w:r>
        <w:rPr>
          <w:rFonts w:hint="eastAsia" w:ascii="仿宋_GB2312" w:hAnsi="仿宋_GB2312" w:eastAsia="仿宋_GB2312" w:cs="仿宋_GB2312"/>
          <w:b/>
          <w:bCs/>
          <w:sz w:val="32"/>
          <w:szCs w:val="32"/>
        </w:rPr>
        <w:t>抓实“一圈两场三道”建设。</w:t>
      </w:r>
      <w:r>
        <w:rPr>
          <w:rFonts w:hint="eastAsia" w:ascii="仿宋_GB2312" w:hAnsi="仿宋_GB2312" w:eastAsia="仿宋_GB2312" w:cs="仿宋_GB2312"/>
          <w:sz w:val="32"/>
          <w:szCs w:val="32"/>
        </w:rPr>
        <w:t>全年新建锦湘国际、友兴家园、高石坝3家农贸市场和粮师益油、佳百汇2家社区菜店，经营面积达4200平方米，新增摊位120余个。新配建高福星小区、高石坝小区、商贸城小区等停车场5个，新增停车位2870个，完成停车位建设数在全区占比超过50%,大大缓解停车难问题。</w:t>
      </w:r>
      <w:r>
        <w:rPr>
          <w:rFonts w:hint="eastAsia" w:ascii="仿宋_GB2312" w:hAnsi="仿宋_GB2312" w:eastAsia="仿宋_GB2312" w:cs="仿宋_GB2312"/>
          <w:b/>
          <w:bCs/>
          <w:sz w:val="32"/>
          <w:szCs w:val="32"/>
        </w:rPr>
        <w:t>落实惠民利民举措。</w:t>
      </w:r>
      <w:r>
        <w:rPr>
          <w:rFonts w:hint="eastAsia" w:ascii="仿宋_GB2312" w:hAnsi="仿宋_GB2312" w:eastAsia="仿宋_GB2312" w:cs="仿宋_GB2312"/>
          <w:sz w:val="32"/>
          <w:szCs w:val="32"/>
        </w:rPr>
        <w:t>严格执行“三重一大”和有关财经纪律，全年审核</w:t>
      </w:r>
      <w:r>
        <w:rPr>
          <w:rFonts w:hint="eastAsia" w:ascii="仿宋_GB2312" w:hAnsi="仿宋_GB2312" w:eastAsia="仿宋_GB2312" w:cs="仿宋_GB2312"/>
          <w:spacing w:val="12"/>
          <w:sz w:val="32"/>
          <w:szCs w:val="32"/>
        </w:rPr>
        <w:t>通过了社区惠民资金项目31个共160万元，</w:t>
      </w:r>
      <w:r>
        <w:rPr>
          <w:rFonts w:hint="eastAsia" w:ascii="仿宋_GB2312" w:hAnsi="仿宋_GB2312" w:eastAsia="仿宋_GB2312" w:cs="仿宋_GB2312"/>
          <w:sz w:val="32"/>
          <w:szCs w:val="32"/>
        </w:rPr>
        <w:t>把惠民资金用在“刀刃”上。落实“五帮扶”、慈善和社会救助等政策，全年累计救助164人130余万元。加强流动人口的管理服务，落实包括妇女病普查、老年人体检在内的14项免费国家基本公共卫生服务项目等卫计政策。</w:t>
      </w:r>
      <w:r>
        <w:rPr>
          <w:rFonts w:hint="eastAsia" w:ascii="仿宋_GB2312" w:hAnsi="仿宋_GB2312" w:eastAsia="仿宋_GB2312" w:cs="仿宋_GB2312"/>
          <w:spacing w:val="12"/>
          <w:sz w:val="32"/>
          <w:szCs w:val="32"/>
        </w:rPr>
        <w:t>依托社会组织和各平台，</w:t>
      </w:r>
      <w:r>
        <w:rPr>
          <w:rFonts w:hint="eastAsia" w:ascii="仿宋_GB2312" w:hAnsi="仿宋_GB2312" w:eastAsia="仿宋_GB2312" w:cs="仿宋_GB2312"/>
          <w:sz w:val="32"/>
          <w:szCs w:val="32"/>
        </w:rPr>
        <w:t>积极开展公益救助、关爱保护儿童、居家养老等服务，街道关工委被长沙市评为“五好关工委”。今年</w:t>
      </w:r>
      <w:r>
        <w:rPr>
          <w:rFonts w:hint="eastAsia" w:ascii="仿宋_GB2312" w:hAnsi="仿宋_GB2312" w:eastAsia="仿宋_GB2312" w:cs="仿宋_GB2312"/>
          <w:spacing w:val="12"/>
          <w:sz w:val="32"/>
          <w:szCs w:val="32"/>
        </w:rPr>
        <w:t>6月，时任民政部部长黄树贤一行到我街进行调研，对街道和永祥社区的工作给予了充分肯定。</w:t>
      </w:r>
      <w:r>
        <w:rPr>
          <w:rFonts w:hint="eastAsia" w:ascii="仿宋_GB2312" w:hAnsi="仿宋_GB2312" w:eastAsia="仿宋_GB2312" w:cs="仿宋_GB2312"/>
          <w:sz w:val="32"/>
          <w:szCs w:val="32"/>
        </w:rPr>
        <w:t>与此同时，街道的文明创建、精准扶贫、文体教育、统一战线、党管武装等工作同步推进、扎实开展，并取得较好成绩。</w:t>
      </w:r>
    </w:p>
    <w:p>
      <w:pPr>
        <w:keepNext w:val="0"/>
        <w:keepLines w:val="0"/>
        <w:pageBreakBefore w:val="0"/>
        <w:numPr>
          <w:ilvl w:val="0"/>
          <w:numId w:val="0"/>
        </w:numPr>
        <w:kinsoku/>
        <w:wordWrap/>
        <w:overflowPunct/>
        <w:topLinePunct w:val="0"/>
        <w:autoSpaceDE/>
        <w:autoSpaceDN/>
        <w:bidi w:val="0"/>
        <w:adjustRightInd/>
        <w:spacing w:line="560" w:lineRule="exact"/>
        <w:ind w:leftChars="200"/>
        <w:textAlignment w:val="auto"/>
        <w:rPr>
          <w:rFonts w:hint="eastAsia" w:ascii="仿宋_GB2312" w:eastAsia="仿宋_GB2312"/>
          <w:b/>
          <w:sz w:val="30"/>
          <w:szCs w:val="30"/>
        </w:rPr>
      </w:pPr>
      <w:r>
        <w:rPr>
          <w:rFonts w:hint="eastAsia" w:ascii="仿宋_GB2312" w:eastAsia="仿宋_GB2312"/>
          <w:b/>
          <w:sz w:val="30"/>
          <w:szCs w:val="30"/>
        </w:rPr>
        <w:t>（四）可持续性分析</w:t>
      </w:r>
    </w:p>
    <w:p>
      <w:pPr>
        <w:keepNext w:val="0"/>
        <w:keepLines w:val="0"/>
        <w:pageBreakBefore w:val="0"/>
        <w:kinsoku/>
        <w:wordWrap/>
        <w:overflowPunct/>
        <w:topLinePunct w:val="0"/>
        <w:autoSpaceDE/>
        <w:autoSpaceDN/>
        <w:bidi w:val="0"/>
        <w:adjustRightInd/>
        <w:spacing w:line="560" w:lineRule="exact"/>
        <w:ind w:firstLine="480" w:firstLineChars="150"/>
        <w:textAlignment w:val="auto"/>
        <w:rPr>
          <w:rFonts w:hint="eastAsia" w:ascii="楷体" w:hAnsi="楷体" w:eastAsia="楷体"/>
          <w:sz w:val="32"/>
          <w:szCs w:val="32"/>
        </w:rPr>
      </w:pPr>
      <w:r>
        <w:rPr>
          <w:rFonts w:hint="eastAsia" w:ascii="仿宋_GB2312" w:hAnsi="Verdana" w:eastAsia="仿宋_GB2312" w:cs="宋体"/>
          <w:kern w:val="0"/>
          <w:sz w:val="32"/>
          <w:szCs w:val="32"/>
        </w:rPr>
        <w:t>一年来，通过全街上下的共同努力和团结合作，街域经济社会发展取得了一些成绩，但也面临着财税增收压力大、市场转型任重道远、信访维稳任务艰巨等亟待解决的难题。在今后的工作中，我们将以习近平新时代中国特色社会主义思想为引领，深入贯彻落实中央和省、市、区的决策部署，不忘初心、牢记使命，奋力攻坚，为高质量建设财富品质幸福雨花贡献高桥力量。</w:t>
      </w:r>
    </w:p>
    <w:p>
      <w:pPr>
        <w:keepNext w:val="0"/>
        <w:keepLines w:val="0"/>
        <w:pageBreakBefore w:val="0"/>
        <w:numPr>
          <w:ilvl w:val="0"/>
          <w:numId w:val="3"/>
        </w:numPr>
        <w:kinsoku/>
        <w:wordWrap/>
        <w:overflowPunct/>
        <w:topLinePunct w:val="0"/>
        <w:autoSpaceDE/>
        <w:autoSpaceDN/>
        <w:bidi w:val="0"/>
        <w:adjustRightInd/>
        <w:spacing w:line="560" w:lineRule="exact"/>
        <w:ind w:left="0" w:leftChars="0" w:firstLine="602" w:firstLineChars="200"/>
        <w:textAlignment w:val="auto"/>
        <w:rPr>
          <w:rFonts w:hint="eastAsia" w:ascii="仿宋_GB2312" w:eastAsia="仿宋_GB2312"/>
          <w:b/>
          <w:sz w:val="30"/>
          <w:szCs w:val="30"/>
        </w:rPr>
      </w:pPr>
      <w:r>
        <w:rPr>
          <w:rFonts w:hint="eastAsia" w:ascii="仿宋_GB2312" w:eastAsia="仿宋_GB2312"/>
          <w:b/>
          <w:sz w:val="30"/>
          <w:szCs w:val="30"/>
        </w:rPr>
        <w:t xml:space="preserve">存在的主要问题 </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1、年中有较多预算追加项目下达至街道，致使街道年初时很难对全年的整体支出规模、范围和进度等进行可靠预估及计划安排。</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2、部分专项资金下达时间不明确，导致部分专项资金使用不便，街道综合项目资金缺口加大等问题。</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3、部分条线专项资金下达后上级条线业务主管部门缺乏对专项资金使用方面的指导和规范，导致专项资金使用范围和要求不清晰，一定程度上影响了专项资金的效益。</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4、街道业务繁杂且应急，预算指标过于精细且分散，严重影响街道使用资金的效率和效益。</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黑体" w:hAnsi="黑体" w:eastAsia="仿宋_GB2312"/>
          <w:sz w:val="32"/>
          <w:szCs w:val="32"/>
          <w:lang w:eastAsia="zh-CN"/>
        </w:rPr>
      </w:pPr>
      <w:r>
        <w:rPr>
          <w:rFonts w:hint="eastAsia" w:ascii="仿宋" w:hAnsi="仿宋" w:eastAsia="仿宋"/>
          <w:sz w:val="32"/>
          <w:szCs w:val="32"/>
          <w:lang w:val="en-US" w:eastAsia="zh-CN"/>
        </w:rPr>
        <w:t>5、</w:t>
      </w:r>
      <w:r>
        <w:rPr>
          <w:rFonts w:hint="eastAsia" w:ascii="仿宋_GB2312" w:eastAsia="仿宋_GB2312"/>
          <w:sz w:val="32"/>
          <w:szCs w:val="32"/>
        </w:rPr>
        <w:t>单位资产管理重视不够</w:t>
      </w:r>
      <w:r>
        <w:rPr>
          <w:rFonts w:hint="eastAsia" w:ascii="仿宋_GB2312" w:eastAsia="仿宋_GB2312"/>
          <w:sz w:val="32"/>
          <w:szCs w:val="32"/>
          <w:lang w:eastAsia="zh-CN"/>
        </w:rPr>
        <w:t>，</w:t>
      </w:r>
      <w:r>
        <w:rPr>
          <w:rFonts w:hint="eastAsia" w:ascii="仿宋_GB2312" w:eastAsia="仿宋_GB2312"/>
          <w:sz w:val="32"/>
          <w:szCs w:val="32"/>
        </w:rPr>
        <w:t>由于人员缺乏，在工作分工设置上一人多岗，没有专人管理国有资产，基本上是资金管理与资产管理由单位财务人员一人负责。</w:t>
      </w:r>
    </w:p>
    <w:p>
      <w:pPr>
        <w:keepNext w:val="0"/>
        <w:keepLines w:val="0"/>
        <w:pageBreakBefore w:val="0"/>
        <w:numPr>
          <w:ilvl w:val="0"/>
          <w:numId w:val="0"/>
        </w:numPr>
        <w:kinsoku/>
        <w:wordWrap/>
        <w:overflowPunct/>
        <w:topLinePunct w:val="0"/>
        <w:autoSpaceDE/>
        <w:autoSpaceDN/>
        <w:bidi w:val="0"/>
        <w:adjustRightInd/>
        <w:spacing w:line="560" w:lineRule="exact"/>
        <w:ind w:firstLine="602" w:firstLineChars="200"/>
        <w:textAlignment w:val="auto"/>
        <w:rPr>
          <w:rFonts w:hint="eastAsia" w:ascii="仿宋_GB2312" w:eastAsia="仿宋_GB2312"/>
          <w:b/>
          <w:sz w:val="30"/>
          <w:szCs w:val="30"/>
        </w:rPr>
      </w:pPr>
      <w:r>
        <w:rPr>
          <w:rFonts w:hint="eastAsia" w:ascii="仿宋_GB2312" w:eastAsia="仿宋_GB2312"/>
          <w:b/>
          <w:sz w:val="30"/>
          <w:szCs w:val="30"/>
        </w:rPr>
        <w:t xml:space="preserve">七、改进措施和有关建议 </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1、建议在年初预算安排时，将经常性和可预见性预算追加项目纳入部门年初预算，尽量减少年中预算项目的追加。</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2、建议专项资金明确下达时间，方便街道使用，缓解街道资金压力。</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3、建议条线主管部门多对下拨的专项资金进行专项业务和资金使用指导，并制定专项资金使用规范化手册或文件。</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r>
        <w:rPr>
          <w:rFonts w:hint="eastAsia" w:ascii="仿宋" w:hAnsi="仿宋" w:eastAsia="仿宋"/>
          <w:sz w:val="32"/>
          <w:szCs w:val="32"/>
        </w:rPr>
        <w:t>4、建议预算指标在设置时，考虑街道情况，适当将相关指标统筹合并。</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5、</w:t>
      </w:r>
      <w:r>
        <w:rPr>
          <w:rFonts w:hint="eastAsia" w:ascii="仿宋_GB2312" w:eastAsia="仿宋_GB2312"/>
          <w:sz w:val="32"/>
          <w:szCs w:val="32"/>
        </w:rPr>
        <w:t>应当建立健全行政事业资产管理机构，在现有机构编制条件下明确专门负责资产管理的部门和人员，明确资产管理各岗位的职责，强化职责分工，强化内部控制管理，配备专职人员，充实工作队伍，建立岗位责任制，落实管理责任，避免多头管理、相互推诿扯皮现象</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pacing w:line="560" w:lineRule="exact"/>
        <w:ind w:firstLine="796" w:firstLineChars="249"/>
        <w:jc w:val="center"/>
        <w:textAlignment w:val="auto"/>
        <w:rPr>
          <w:rFonts w:hint="eastAsia" w:ascii="仿宋" w:hAnsi="仿宋" w:eastAsia="仿宋"/>
          <w:sz w:val="32"/>
          <w:szCs w:val="32"/>
        </w:rPr>
      </w:pPr>
      <w:r>
        <w:rPr>
          <w:rFonts w:hint="eastAsia" w:ascii="仿宋" w:hAnsi="仿宋" w:eastAsia="仿宋"/>
          <w:sz w:val="32"/>
          <w:szCs w:val="32"/>
        </w:rPr>
        <w:t xml:space="preserve">              长沙市雨花区高桥街道办事处</w:t>
      </w:r>
    </w:p>
    <w:p>
      <w:pPr>
        <w:keepNext w:val="0"/>
        <w:keepLines w:val="0"/>
        <w:pageBreakBefore w:val="0"/>
        <w:kinsoku/>
        <w:wordWrap/>
        <w:overflowPunct/>
        <w:topLinePunct w:val="0"/>
        <w:autoSpaceDE/>
        <w:autoSpaceDN/>
        <w:bidi w:val="0"/>
        <w:adjustRightInd/>
        <w:spacing w:line="560" w:lineRule="exact"/>
        <w:ind w:firstLine="796" w:firstLineChars="249"/>
        <w:jc w:val="center"/>
        <w:textAlignment w:val="auto"/>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年3月3</w:t>
      </w:r>
      <w:r>
        <w:rPr>
          <w:rFonts w:hint="eastAsia" w:ascii="仿宋" w:hAnsi="仿宋" w:eastAsia="仿宋"/>
          <w:sz w:val="32"/>
          <w:szCs w:val="32"/>
          <w:lang w:val="en-US" w:eastAsia="zh-CN"/>
        </w:rPr>
        <w:t>1</w:t>
      </w:r>
      <w:r>
        <w:rPr>
          <w:rFonts w:hint="eastAsia" w:ascii="仿宋" w:hAnsi="仿宋" w:eastAsia="仿宋"/>
          <w:sz w:val="32"/>
          <w:szCs w:val="32"/>
        </w:rPr>
        <w:t>日</w:t>
      </w:r>
    </w:p>
    <w:p>
      <w:pPr>
        <w:numPr>
          <w:ilvl w:val="0"/>
          <w:numId w:val="0"/>
        </w:numPr>
        <w:ind w:firstLine="602" w:firstLineChars="200"/>
        <w:rPr>
          <w:rFonts w:hint="eastAsia" w:ascii="仿宋_GB2312" w:eastAsia="仿宋_GB2312"/>
          <w:b/>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9</w:t>
    </w:r>
    <w:r>
      <w:fldChar w:fldCharType="end"/>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- 15 -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4DF20"/>
    <w:multiLevelType w:val="singleLevel"/>
    <w:tmpl w:val="AE54DF20"/>
    <w:lvl w:ilvl="0" w:tentative="0">
      <w:start w:val="1"/>
      <w:numFmt w:val="decimal"/>
      <w:suff w:val="nothing"/>
      <w:lvlText w:val="（%1）"/>
      <w:lvlJc w:val="left"/>
    </w:lvl>
  </w:abstractNum>
  <w:abstractNum w:abstractNumId="1">
    <w:nsid w:val="C72DFCEC"/>
    <w:multiLevelType w:val="singleLevel"/>
    <w:tmpl w:val="C72DFCEC"/>
    <w:lvl w:ilvl="0" w:tentative="0">
      <w:start w:val="5"/>
      <w:numFmt w:val="chineseCounting"/>
      <w:suff w:val="nothing"/>
      <w:lvlText w:val="%1、"/>
      <w:lvlJc w:val="left"/>
      <w:rPr>
        <w:rFonts w:hint="eastAsia"/>
      </w:rPr>
    </w:lvl>
  </w:abstractNum>
  <w:abstractNum w:abstractNumId="2">
    <w:nsid w:val="F89F4C16"/>
    <w:multiLevelType w:val="singleLevel"/>
    <w:tmpl w:val="F89F4C16"/>
    <w:lvl w:ilvl="0" w:tentative="0">
      <w:start w:val="2"/>
      <w:numFmt w:val="chineseCounting"/>
      <w:suff w:val="nothing"/>
      <w:lvlText w:val="（%1）"/>
      <w:lvlJc w:val="left"/>
      <w:rPr>
        <w:rFonts w:hint="eastAsia"/>
      </w:rPr>
    </w:lvl>
  </w:abstractNum>
  <w:abstractNum w:abstractNumId="3">
    <w:nsid w:val="0499B5F7"/>
    <w:multiLevelType w:val="singleLevel"/>
    <w:tmpl w:val="0499B5F7"/>
    <w:lvl w:ilvl="0" w:tentative="0">
      <w:start w:val="1"/>
      <w:numFmt w:val="decimal"/>
      <w:suff w:val="nothing"/>
      <w:lvlText w:val="%1、"/>
      <w:lvlJc w:val="left"/>
    </w:lvl>
  </w:abstractNum>
  <w:abstractNum w:abstractNumId="4">
    <w:nsid w:val="54CB28F4"/>
    <w:multiLevelType w:val="singleLevel"/>
    <w:tmpl w:val="54CB28F4"/>
    <w:lvl w:ilvl="0" w:tentative="0">
      <w:start w:val="2"/>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897708B"/>
    <w:rsid w:val="13D730F0"/>
    <w:rsid w:val="2897708B"/>
    <w:rsid w:val="2D5E4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8932</Words>
  <Characters>9437</Characters>
  <Lines>0</Lines>
  <Paragraphs>0</Paragraphs>
  <TotalTime>4</TotalTime>
  <ScaleCrop>false</ScaleCrop>
  <LinksUpToDate>false</LinksUpToDate>
  <CharactersWithSpaces>10022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2021-03-23T02:20:00Z</dcterms:created>
  <dc:creator>Administrator</dc:creator>
  <cp:lastModifiedBy>Administrator</cp:lastModifiedBy>
  <dcterms:modified xsi:type="dcterms:W3CDTF">2023-04-11T08:57:41Z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F2FB580729D743409B96D516A866206C_13</vt:lpwstr>
  </property>
</Properties>
</file>