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长沙市雨花区同升街道办事处</w:t>
      </w:r>
    </w:p>
    <w:tbl>
      <w:tblPr>
        <w:tblStyle w:val="7"/>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53</w:t>
            </w:r>
            <w:r>
              <w:rPr>
                <w:kern w:val="0"/>
                <w:sz w:val="20"/>
                <w:szCs w:val="20"/>
              </w:rPr>
              <w:t>　</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48</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90.5%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4.35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5.87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4.35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5.87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4.35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5.87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w:t>
            </w:r>
            <w:r>
              <w:rPr>
                <w:rFonts w:hint="eastAsia"/>
                <w:kern w:val="0"/>
                <w:sz w:val="20"/>
                <w:szCs w:val="20"/>
              </w:rPr>
              <w:t>宣传教育</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35.94</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15.77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w:t>
            </w:r>
            <w:r>
              <w:rPr>
                <w:rFonts w:hint="eastAsia"/>
                <w:kern w:val="0"/>
                <w:sz w:val="20"/>
                <w:szCs w:val="20"/>
              </w:rPr>
              <w:t>群绩</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34.22</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2.04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ind w:firstLine="300" w:firstLineChars="150"/>
              <w:jc w:val="left"/>
              <w:rPr>
                <w:kern w:val="0"/>
                <w:sz w:val="20"/>
                <w:szCs w:val="20"/>
              </w:rPr>
            </w:pPr>
            <w:r>
              <w:rPr>
                <w:rFonts w:hint="eastAsia"/>
                <w:kern w:val="0"/>
                <w:sz w:val="20"/>
                <w:szCs w:val="20"/>
              </w:rPr>
              <w:t>3、党建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40.13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4、环境整治</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5、城管执法</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6、精准扶贫</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11.7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7、汽车消费节</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100.81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33.7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8、6S街区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9、春季献血</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14.24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7.52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10、武装专项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11、信访专项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7.65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15.75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12、维稳专项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13.68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5.27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13、民兵训练</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2.17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2.33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14、食品安全专项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15、财政所</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13.64</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ind w:firstLine="300" w:firstLineChars="150"/>
              <w:jc w:val="left"/>
              <w:rPr>
                <w:kern w:val="0"/>
                <w:sz w:val="20"/>
                <w:szCs w:val="20"/>
              </w:rPr>
            </w:pPr>
            <w:r>
              <w:rPr>
                <w:rFonts w:hint="eastAsia"/>
                <w:kern w:val="0"/>
                <w:sz w:val="20"/>
                <w:szCs w:val="20"/>
              </w:rPr>
              <w:t>16、综合行政执法大队</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17.94</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19.2</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17、工资</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716.4</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720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717.15</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18、同升湖</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25.89</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70.7</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19、环卫专项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11.85</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20、社区工作经费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849.28</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910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908.97</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21、食堂</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30.25</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14.55</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22、社区提质提档</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133.55</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248</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247.98</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23、岗位补贴</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6</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5.33</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24、绩效考核奖</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30.23</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18.66</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25、新购固定资产</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24.27</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26、绿心地区企业补偿</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810.81</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431</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431</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27、印刷费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9</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8.09</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28、高铁志愿者补助</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3.73</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1.82</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29、文明创建</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126</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125.89</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30、节日物资费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19</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18.94</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31、慰问费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31.52</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29.65</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32、数字化整治</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41.98</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44</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43.78</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33、综合整治</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337.77</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185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184.95</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34、拆控违整治</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12.13</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35、垃圾分类专项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26.33</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12.39</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36、疫情防控</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161.62</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37、群众帮扶</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9</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8.57</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38、三零社区</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73.96</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32</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30.72</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39、人口普查</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6</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5.53</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40、体检费</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7.5</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7.36</w:t>
            </w:r>
          </w:p>
        </w:tc>
      </w:tr>
      <w:tr>
        <w:tblPrEx>
          <w:tblCellMar>
            <w:top w:w="0" w:type="dxa"/>
            <w:left w:w="57" w:type="dxa"/>
            <w:bottom w:w="0" w:type="dxa"/>
            <w:right w:w="57" w:type="dxa"/>
          </w:tblCellMar>
        </w:tblPrEx>
        <w:trPr>
          <w:trHeight w:val="442" w:hRule="atLeast"/>
          <w:jc w:val="center"/>
        </w:trPr>
        <w:tc>
          <w:tcPr>
            <w:tcW w:w="2940" w:type="dxa"/>
            <w:tcBorders>
              <w:top w:val="single" w:color="auto" w:sz="4" w:space="0"/>
              <w:left w:val="single" w:color="auto" w:sz="4" w:space="0"/>
              <w:bottom w:val="single" w:color="auto" w:sz="4" w:space="0"/>
              <w:right w:val="single" w:color="auto" w:sz="4" w:space="0"/>
            </w:tcBorders>
            <w:vAlign w:val="center"/>
          </w:tcPr>
          <w:p>
            <w:pPr>
              <w:widowControl/>
              <w:ind w:firstLine="300" w:firstLineChars="150"/>
              <w:jc w:val="left"/>
              <w:rPr>
                <w:kern w:val="0"/>
                <w:sz w:val="20"/>
                <w:szCs w:val="20"/>
              </w:rPr>
            </w:pPr>
            <w:r>
              <w:rPr>
                <w:rFonts w:hint="eastAsia"/>
                <w:kern w:val="0"/>
                <w:sz w:val="20"/>
                <w:szCs w:val="20"/>
              </w:rPr>
              <w:t>41、同升湖办证</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50</w:t>
            </w:r>
          </w:p>
        </w:tc>
        <w:tc>
          <w:tcPr>
            <w:tcW w:w="19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121.64</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138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136.66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20.37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23.55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28.57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32</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30.22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 xml:space="preserve">  0</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一方面，保工资、保运转、保基本民生放在财政支出的优先位置。另一方面，大力压减一般性支出，严控“三公”经费支出。</w:t>
            </w:r>
            <w:r>
              <w:rPr>
                <w:kern w:val="0"/>
                <w:sz w:val="20"/>
                <w:szCs w:val="20"/>
              </w:rPr>
              <w:t>　</w:t>
            </w:r>
          </w:p>
        </w:tc>
      </w:tr>
    </w:tbl>
    <w:p>
      <w:pPr>
        <w:spacing w:beforeLines="5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beforeLines="50"/>
        <w:rPr>
          <w:rFonts w:eastAsia="楷体_GB2312"/>
          <w:sz w:val="24"/>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7"/>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投入</w:t>
            </w:r>
            <w:r>
              <w:rPr>
                <w:rStyle w:val="10"/>
                <w:sz w:val="20"/>
                <w:szCs w:val="20"/>
              </w:rPr>
              <w:br w:type="textWrapping"/>
            </w:r>
            <w:r>
              <w:rPr>
                <w:rStyle w:val="9"/>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目标</w:t>
            </w:r>
            <w:r>
              <w:rPr>
                <w:rStyle w:val="10"/>
                <w:sz w:val="20"/>
                <w:szCs w:val="20"/>
              </w:rPr>
              <w:br w:type="textWrapping"/>
            </w:r>
            <w:r>
              <w:rPr>
                <w:rStyle w:val="9"/>
                <w:rFonts w:hint="default" w:ascii="Times New Roman" w:hAnsi="Times New Roman" w:cs="Times New Roman"/>
                <w:sz w:val="20"/>
                <w:szCs w:val="20"/>
              </w:rPr>
              <w:t>设定</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6</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绩效目标</w:t>
            </w:r>
            <w:r>
              <w:rPr>
                <w:rStyle w:val="10"/>
                <w:sz w:val="20"/>
                <w:szCs w:val="20"/>
              </w:rPr>
              <w:br w:type="textWrapping"/>
            </w:r>
            <w:r>
              <w:rPr>
                <w:rStyle w:val="9"/>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①是否符合国家法律法规、国民经济和社会发展总体规划；</w:t>
            </w:r>
            <w:r>
              <w:rPr>
                <w:rStyle w:val="10"/>
                <w:sz w:val="20"/>
                <w:szCs w:val="20"/>
              </w:rPr>
              <w:br w:type="textWrapping"/>
            </w:r>
            <w:r>
              <w:rPr>
                <w:rStyle w:val="9"/>
                <w:rFonts w:hint="default" w:ascii="Times New Roman" w:hAnsi="Times New Roman" w:cs="Times New Roman"/>
                <w:sz w:val="20"/>
                <w:szCs w:val="20"/>
              </w:rPr>
              <w:t>②是否符合部门</w:t>
            </w:r>
            <w:r>
              <w:rPr>
                <w:rStyle w:val="10"/>
                <w:sz w:val="20"/>
                <w:szCs w:val="20"/>
              </w:rPr>
              <w:t>“</w:t>
            </w:r>
            <w:r>
              <w:rPr>
                <w:rStyle w:val="9"/>
                <w:rFonts w:hint="default" w:ascii="Times New Roman" w:hAnsi="Times New Roman" w:cs="Times New Roman"/>
                <w:sz w:val="20"/>
                <w:szCs w:val="20"/>
              </w:rPr>
              <w:t>三定</w:t>
            </w:r>
            <w:r>
              <w:rPr>
                <w:rStyle w:val="10"/>
                <w:sz w:val="20"/>
                <w:szCs w:val="20"/>
              </w:rPr>
              <w:t>”</w:t>
            </w:r>
            <w:r>
              <w:rPr>
                <w:rStyle w:val="9"/>
                <w:rFonts w:hint="default" w:ascii="Times New Roman" w:hAnsi="Times New Roman" w:cs="Times New Roman"/>
                <w:sz w:val="20"/>
                <w:szCs w:val="20"/>
              </w:rPr>
              <w:t>方案确定的职责；</w:t>
            </w:r>
            <w:r>
              <w:rPr>
                <w:rStyle w:val="10"/>
                <w:sz w:val="20"/>
                <w:szCs w:val="20"/>
              </w:rPr>
              <w:br w:type="textWrapping"/>
            </w:r>
            <w:r>
              <w:rPr>
                <w:rStyle w:val="9"/>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①符合国家相关法律法规，本</w:t>
            </w:r>
            <w:r>
              <w:rPr>
                <w:rStyle w:val="9"/>
                <w:rFonts w:hint="default" w:cs="Times New Roman"/>
                <w:sz w:val="20"/>
                <w:szCs w:val="20"/>
              </w:rPr>
              <w:t>区</w:t>
            </w:r>
            <w:r>
              <w:rPr>
                <w:rStyle w:val="9"/>
                <w:rFonts w:hint="default" w:ascii="Times New Roman" w:hAnsi="Times New Roman" w:cs="Times New Roman"/>
                <w:sz w:val="20"/>
                <w:szCs w:val="20"/>
              </w:rPr>
              <w:t>国民经济和社会发展规划，计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②与部门（单位）职责密切相关，计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③符合部门制定的发展实施规划，计</w:t>
            </w:r>
            <w:r>
              <w:rPr>
                <w:rStyle w:val="10"/>
                <w:sz w:val="20"/>
                <w:szCs w:val="20"/>
              </w:rPr>
              <w:t>1</w:t>
            </w:r>
            <w:r>
              <w:rPr>
                <w:rStyle w:val="9"/>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绩效指标</w:t>
            </w:r>
            <w:r>
              <w:rPr>
                <w:rStyle w:val="10"/>
                <w:sz w:val="20"/>
                <w:szCs w:val="20"/>
              </w:rPr>
              <w:br w:type="textWrapping"/>
            </w:r>
            <w:r>
              <w:rPr>
                <w:rStyle w:val="9"/>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①是否将部门整体的绩效目标细化分解为具体的工作任务；</w:t>
            </w:r>
            <w:r>
              <w:rPr>
                <w:rStyle w:val="10"/>
                <w:sz w:val="20"/>
                <w:szCs w:val="20"/>
              </w:rPr>
              <w:br w:type="textWrapping"/>
            </w:r>
            <w:r>
              <w:rPr>
                <w:rStyle w:val="9"/>
                <w:rFonts w:hint="default" w:ascii="Times New Roman" w:hAnsi="Times New Roman" w:cs="Times New Roman"/>
                <w:sz w:val="20"/>
                <w:szCs w:val="20"/>
              </w:rPr>
              <w:t>②是否通过清晰、可衡量的指标值予以体现。</w:t>
            </w:r>
            <w:r>
              <w:rPr>
                <w:rStyle w:val="10"/>
                <w:sz w:val="20"/>
                <w:szCs w:val="20"/>
              </w:rPr>
              <w:br w:type="textWrapping"/>
            </w:r>
            <w:r>
              <w:rPr>
                <w:rStyle w:val="9"/>
                <w:rFonts w:hint="default" w:ascii="Times New Roman" w:hAnsi="Times New Roman" w:cs="Times New Roman"/>
                <w:sz w:val="20"/>
                <w:szCs w:val="20"/>
              </w:rPr>
              <w:t>③是否与部门年度的任务数或计划数相对应；</w:t>
            </w:r>
            <w:r>
              <w:rPr>
                <w:rStyle w:val="10"/>
                <w:sz w:val="20"/>
                <w:szCs w:val="20"/>
              </w:rPr>
              <w:br w:type="textWrapping"/>
            </w:r>
            <w:r>
              <w:rPr>
                <w:rStyle w:val="9"/>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①有目标，计1分，否则不得分；</w:t>
            </w:r>
            <w:r>
              <w:rPr>
                <w:rStyle w:val="10"/>
                <w:sz w:val="20"/>
                <w:szCs w:val="20"/>
              </w:rPr>
              <w:br w:type="textWrapping"/>
            </w:r>
            <w:r>
              <w:rPr>
                <w:rStyle w:val="9"/>
                <w:rFonts w:hint="default" w:ascii="Times New Roman" w:hAnsi="Times New Roman" w:cs="Times New Roman"/>
                <w:sz w:val="20"/>
                <w:szCs w:val="20"/>
              </w:rPr>
              <w:t>②目标明确，细化量化良好，个性指标中量化指标超过</w:t>
            </w:r>
            <w:r>
              <w:rPr>
                <w:rStyle w:val="10"/>
                <w:sz w:val="20"/>
                <w:szCs w:val="20"/>
              </w:rPr>
              <w:t>3</w:t>
            </w:r>
            <w:r>
              <w:rPr>
                <w:rStyle w:val="9"/>
                <w:rFonts w:hint="default" w:ascii="Times New Roman" w:hAnsi="Times New Roman" w:cs="Times New Roman"/>
                <w:sz w:val="20"/>
                <w:szCs w:val="20"/>
              </w:rPr>
              <w:t>个，计1分，量化指标为</w:t>
            </w:r>
            <w:r>
              <w:rPr>
                <w:rStyle w:val="10"/>
                <w:sz w:val="20"/>
                <w:szCs w:val="20"/>
              </w:rPr>
              <w:t>2</w:t>
            </w:r>
            <w:r>
              <w:rPr>
                <w:rStyle w:val="9"/>
                <w:rFonts w:hint="default" w:ascii="Times New Roman" w:hAnsi="Times New Roman" w:cs="Times New Roman"/>
                <w:sz w:val="20"/>
                <w:szCs w:val="20"/>
              </w:rPr>
              <w:t>个，计</w:t>
            </w:r>
            <w:r>
              <w:rPr>
                <w:rStyle w:val="10"/>
                <w:sz w:val="20"/>
                <w:szCs w:val="20"/>
              </w:rPr>
              <w:t>0.5</w:t>
            </w:r>
            <w:r>
              <w:rPr>
                <w:rStyle w:val="9"/>
                <w:rFonts w:hint="default" w:ascii="Times New Roman" w:hAnsi="Times New Roman" w:cs="Times New Roman"/>
                <w:sz w:val="20"/>
                <w:szCs w:val="20"/>
              </w:rPr>
              <w:t>分，</w:t>
            </w:r>
            <w:r>
              <w:rPr>
                <w:rStyle w:val="10"/>
                <w:sz w:val="20"/>
                <w:szCs w:val="20"/>
              </w:rPr>
              <w:t>2</w:t>
            </w:r>
            <w:r>
              <w:rPr>
                <w:rStyle w:val="9"/>
                <w:rFonts w:hint="default" w:ascii="Times New Roman" w:hAnsi="Times New Roman" w:cs="Times New Roman"/>
                <w:sz w:val="20"/>
                <w:szCs w:val="20"/>
              </w:rPr>
              <w:t>个以下不得分；</w:t>
            </w:r>
            <w:r>
              <w:rPr>
                <w:rStyle w:val="10"/>
                <w:sz w:val="20"/>
                <w:szCs w:val="20"/>
              </w:rPr>
              <w:br w:type="textWrapping"/>
            </w:r>
            <w:r>
              <w:rPr>
                <w:rStyle w:val="9"/>
                <w:rFonts w:hint="default" w:ascii="Times New Roman" w:hAnsi="Times New Roman" w:cs="Times New Roman"/>
                <w:sz w:val="20"/>
                <w:szCs w:val="20"/>
              </w:rPr>
              <w:t>③与年度任务数或计划数相对应，计1分，低于</w:t>
            </w:r>
            <w:r>
              <w:rPr>
                <w:rStyle w:val="10"/>
                <w:sz w:val="20"/>
                <w:szCs w:val="20"/>
              </w:rPr>
              <w:t>2</w:t>
            </w:r>
            <w:r>
              <w:rPr>
                <w:rStyle w:val="9"/>
                <w:rFonts w:hint="default" w:ascii="Times New Roman" w:hAnsi="Times New Roman" w:cs="Times New Roman"/>
                <w:sz w:val="20"/>
                <w:szCs w:val="20"/>
              </w:rPr>
              <w:t>个，计0.5分，低于</w:t>
            </w:r>
            <w:r>
              <w:rPr>
                <w:rStyle w:val="10"/>
                <w:sz w:val="20"/>
                <w:szCs w:val="20"/>
              </w:rPr>
              <w:t>4</w:t>
            </w:r>
            <w:r>
              <w:rPr>
                <w:rStyle w:val="9"/>
                <w:rFonts w:hint="default" w:ascii="Times New Roman" w:hAnsi="Times New Roman" w:cs="Times New Roman"/>
                <w:sz w:val="20"/>
                <w:szCs w:val="20"/>
              </w:rPr>
              <w:t>个不得分；</w:t>
            </w:r>
            <w:r>
              <w:rPr>
                <w:rStyle w:val="10"/>
                <w:sz w:val="20"/>
                <w:szCs w:val="20"/>
              </w:rPr>
              <w:br w:type="textWrapping"/>
            </w:r>
            <w:r>
              <w:rPr>
                <w:rStyle w:val="9"/>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配置</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在职人员控制率</w:t>
            </w:r>
            <w:r>
              <w:rPr>
                <w:rStyle w:val="10"/>
                <w:sz w:val="20"/>
                <w:szCs w:val="20"/>
              </w:rPr>
              <w:t>=</w:t>
            </w:r>
            <w:r>
              <w:rPr>
                <w:rStyle w:val="9"/>
                <w:rFonts w:hint="default" w:ascii="Times New Roman" w:hAnsi="Times New Roman" w:cs="Times New Roman"/>
                <w:sz w:val="20"/>
                <w:szCs w:val="20"/>
              </w:rPr>
              <w:t>（在职人员数</w:t>
            </w:r>
            <w:r>
              <w:rPr>
                <w:rStyle w:val="10"/>
                <w:sz w:val="20"/>
                <w:szCs w:val="20"/>
              </w:rPr>
              <w:t>/</w:t>
            </w:r>
            <w:r>
              <w:rPr>
                <w:rStyle w:val="9"/>
                <w:rFonts w:hint="default" w:ascii="Times New Roman" w:hAnsi="Times New Roman" w:cs="Times New Roman"/>
                <w:sz w:val="20"/>
                <w:szCs w:val="20"/>
              </w:rPr>
              <w:t>编制数）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聘用人员控制率≦人社和编办共同批复的人数；</w:t>
            </w:r>
            <w:r>
              <w:rPr>
                <w:rStyle w:val="10"/>
                <w:sz w:val="20"/>
                <w:szCs w:val="20"/>
              </w:rPr>
              <w:br w:type="textWrapping"/>
            </w:r>
            <w:r>
              <w:rPr>
                <w:rStyle w:val="9"/>
                <w:rFonts w:hint="default" w:ascii="Times New Roman" w:hAnsi="Times New Roman" w:cs="Times New Roman"/>
                <w:sz w:val="20"/>
                <w:szCs w:val="20"/>
              </w:rPr>
              <w:t>在职人员数：部门（单位）实际在职人数</w:t>
            </w:r>
            <w:r>
              <w:rPr>
                <w:rStyle w:val="10"/>
                <w:sz w:val="20"/>
                <w:szCs w:val="20"/>
              </w:rPr>
              <w:t>，</w:t>
            </w:r>
            <w:r>
              <w:rPr>
                <w:rStyle w:val="9"/>
                <w:rFonts w:hint="default" w:ascii="Times New Roman" w:hAnsi="Times New Roman" w:cs="Times New Roman"/>
                <w:sz w:val="20"/>
                <w:szCs w:val="20"/>
              </w:rPr>
              <w:t>以财政部门确定的部门决算编制口径为准。</w:t>
            </w:r>
            <w:r>
              <w:rPr>
                <w:rStyle w:val="10"/>
                <w:sz w:val="20"/>
                <w:szCs w:val="20"/>
              </w:rPr>
              <w:br w:type="textWrapping"/>
            </w:r>
            <w:r>
              <w:rPr>
                <w:rStyle w:val="9"/>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在职人员控制率≦</w:t>
            </w:r>
            <w:r>
              <w:rPr>
                <w:rStyle w:val="10"/>
                <w:sz w:val="20"/>
                <w:szCs w:val="20"/>
              </w:rPr>
              <w:t>100%</w:t>
            </w:r>
            <w:r>
              <w:rPr>
                <w:rStyle w:val="9"/>
                <w:rFonts w:hint="default" w:ascii="Times New Roman" w:hAnsi="Times New Roman" w:cs="Times New Roman"/>
                <w:sz w:val="20"/>
                <w:szCs w:val="20"/>
              </w:rPr>
              <w:t>计</w:t>
            </w:r>
            <w:r>
              <w:rPr>
                <w:rStyle w:val="10"/>
                <w:sz w:val="20"/>
                <w:szCs w:val="20"/>
              </w:rPr>
              <w:t>2</w:t>
            </w:r>
            <w:r>
              <w:rPr>
                <w:rStyle w:val="9"/>
                <w:rFonts w:hint="default" w:ascii="Times New Roman" w:hAnsi="Times New Roman" w:cs="Times New Roman"/>
                <w:sz w:val="20"/>
                <w:szCs w:val="20"/>
              </w:rPr>
              <w:t>分，每超出</w:t>
            </w:r>
            <w:r>
              <w:rPr>
                <w:rStyle w:val="10"/>
                <w:sz w:val="20"/>
                <w:szCs w:val="20"/>
              </w:rPr>
              <w:t>1%</w:t>
            </w:r>
            <w:r>
              <w:rPr>
                <w:rStyle w:val="9"/>
                <w:rFonts w:hint="default" w:ascii="Times New Roman" w:hAnsi="Times New Roman" w:cs="Times New Roman"/>
                <w:sz w:val="20"/>
                <w:szCs w:val="20"/>
              </w:rPr>
              <w:t>扣</w:t>
            </w:r>
            <w:r>
              <w:rPr>
                <w:rStyle w:val="10"/>
                <w:sz w:val="20"/>
                <w:szCs w:val="20"/>
              </w:rPr>
              <w:t>0.2</w:t>
            </w:r>
            <w:r>
              <w:rPr>
                <w:rStyle w:val="9"/>
                <w:rFonts w:hint="default" w:ascii="Times New Roman" w:hAnsi="Times New Roman" w:cs="Times New Roman"/>
                <w:sz w:val="20"/>
                <w:szCs w:val="20"/>
              </w:rPr>
              <w:t>分，扣完为止。</w:t>
            </w:r>
            <w:r>
              <w:rPr>
                <w:rStyle w:val="10"/>
                <w:sz w:val="20"/>
                <w:szCs w:val="20"/>
              </w:rPr>
              <w:br w:type="textWrapping"/>
            </w:r>
            <w:r>
              <w:rPr>
                <w:rStyle w:val="11"/>
                <w:rFonts w:hint="default" w:ascii="Times New Roman" w:hAnsi="Times New Roman" w:cs="Times New Roman"/>
                <w:color w:val="auto"/>
                <w:sz w:val="20"/>
                <w:szCs w:val="20"/>
              </w:rPr>
              <w:t>聘用人员实际使用数小于等于编办人社部门批复数，计</w:t>
            </w:r>
            <w:r>
              <w:rPr>
                <w:rStyle w:val="12"/>
                <w:color w:val="auto"/>
                <w:sz w:val="20"/>
                <w:szCs w:val="20"/>
              </w:rPr>
              <w:t>2</w:t>
            </w:r>
            <w:r>
              <w:rPr>
                <w:rStyle w:val="11"/>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①预算完成率</w:t>
            </w:r>
            <w:r>
              <w:rPr>
                <w:rStyle w:val="10"/>
                <w:sz w:val="20"/>
                <w:szCs w:val="20"/>
              </w:rPr>
              <w:t>=</w:t>
            </w:r>
            <w:r>
              <w:rPr>
                <w:rStyle w:val="9"/>
                <w:rFonts w:hint="default" w:ascii="Times New Roman" w:hAnsi="Times New Roman" w:cs="Times New Roman"/>
                <w:sz w:val="20"/>
                <w:szCs w:val="20"/>
              </w:rPr>
              <w:t>（预算完成数</w:t>
            </w:r>
            <w:r>
              <w:rPr>
                <w:rStyle w:val="10"/>
                <w:sz w:val="20"/>
                <w:szCs w:val="20"/>
              </w:rPr>
              <w:t>/</w:t>
            </w:r>
            <w:r>
              <w:rPr>
                <w:rStyle w:val="9"/>
                <w:rFonts w:hint="default" w:ascii="Times New Roman" w:hAnsi="Times New Roman" w:cs="Times New Roman"/>
                <w:sz w:val="20"/>
                <w:szCs w:val="20"/>
              </w:rPr>
              <w:t>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预算完成数：部门（单位）本年度实际完成的预算数。</w:t>
            </w:r>
            <w:r>
              <w:rPr>
                <w:rStyle w:val="10"/>
                <w:sz w:val="20"/>
                <w:szCs w:val="20"/>
              </w:rPr>
              <w:br w:type="textWrapping"/>
            </w:r>
            <w:r>
              <w:rPr>
                <w:rStyle w:val="9"/>
                <w:rFonts w:hint="default" w:ascii="Times New Roman" w:hAnsi="Times New Roman" w:cs="Times New Roman"/>
                <w:sz w:val="20"/>
                <w:szCs w:val="20"/>
              </w:rPr>
              <w:t>预算数：财政部门批复的本年度部门（单位）预算数及追加的项目预算数。</w:t>
            </w:r>
            <w:r>
              <w:rPr>
                <w:rStyle w:val="10"/>
                <w:sz w:val="20"/>
                <w:szCs w:val="20"/>
              </w:rPr>
              <w:br w:type="textWrapping"/>
            </w:r>
            <w:r>
              <w:rPr>
                <w:rStyle w:val="9"/>
                <w:rFonts w:hint="default" w:ascii="Times New Roman" w:hAnsi="Times New Roman" w:cs="Times New Roman"/>
                <w:sz w:val="20"/>
                <w:szCs w:val="20"/>
              </w:rPr>
              <w:t>②支付序时进度</w:t>
            </w:r>
            <w:r>
              <w:rPr>
                <w:rStyle w:val="10"/>
                <w:sz w:val="20"/>
                <w:szCs w:val="20"/>
              </w:rPr>
              <w:t>=</w:t>
            </w:r>
            <w:r>
              <w:rPr>
                <w:rStyle w:val="9"/>
                <w:rFonts w:hint="default" w:ascii="Times New Roman" w:hAnsi="Times New Roman" w:cs="Times New Roman"/>
                <w:sz w:val="20"/>
                <w:szCs w:val="20"/>
              </w:rPr>
              <w:t>（序时执行数</w:t>
            </w:r>
            <w:r>
              <w:rPr>
                <w:rStyle w:val="10"/>
                <w:sz w:val="20"/>
                <w:szCs w:val="20"/>
              </w:rPr>
              <w:t>/</w:t>
            </w:r>
            <w:r>
              <w:rPr>
                <w:rStyle w:val="9"/>
                <w:rFonts w:hint="default" w:ascii="Times New Roman" w:hAnsi="Times New Roman" w:cs="Times New Roman"/>
                <w:sz w:val="20"/>
                <w:szCs w:val="20"/>
              </w:rPr>
              <w:t>序时指标下达数）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10"/>
                <w:sz w:val="20"/>
                <w:szCs w:val="20"/>
              </w:rPr>
              <w:br w:type="textWrapping"/>
            </w:r>
            <w:r>
              <w:rPr>
                <w:rStyle w:val="9"/>
                <w:rFonts w:hint="default" w:ascii="Times New Roman" w:hAnsi="Times New Roman" w:cs="Times New Roman"/>
                <w:sz w:val="20"/>
                <w:szCs w:val="20"/>
              </w:rPr>
              <w:t>③部门预算项目支出调剂到</w:t>
            </w:r>
            <w:r>
              <w:rPr>
                <w:rStyle w:val="9"/>
                <w:rFonts w:hint="default" w:cs="Times New Roman"/>
                <w:sz w:val="20"/>
                <w:szCs w:val="20"/>
              </w:rPr>
              <w:t>单位</w:t>
            </w:r>
            <w:r>
              <w:rPr>
                <w:rStyle w:val="9"/>
                <w:rFonts w:hint="default" w:ascii="Times New Roman" w:hAnsi="Times New Roman" w:cs="Times New Roman"/>
                <w:sz w:val="20"/>
                <w:szCs w:val="20"/>
              </w:rPr>
              <w:t>。</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①全年预算完成率</w:t>
            </w:r>
            <w:r>
              <w:rPr>
                <w:rStyle w:val="10"/>
                <w:sz w:val="20"/>
                <w:szCs w:val="20"/>
              </w:rPr>
              <w:t>95%</w:t>
            </w:r>
            <w:r>
              <w:rPr>
                <w:rStyle w:val="9"/>
                <w:rFonts w:hint="default" w:ascii="Times New Roman" w:hAnsi="Times New Roman" w:cs="Times New Roman"/>
                <w:sz w:val="20"/>
                <w:szCs w:val="20"/>
              </w:rPr>
              <w:t>以上计</w:t>
            </w:r>
            <w:r>
              <w:rPr>
                <w:rStyle w:val="10"/>
                <w:sz w:val="20"/>
                <w:szCs w:val="20"/>
              </w:rPr>
              <w:t>2</w:t>
            </w:r>
            <w:r>
              <w:rPr>
                <w:rStyle w:val="9"/>
                <w:rFonts w:hint="default" w:ascii="Times New Roman" w:hAnsi="Times New Roman" w:cs="Times New Roman"/>
                <w:sz w:val="20"/>
                <w:szCs w:val="20"/>
              </w:rPr>
              <w:t>分，</w:t>
            </w:r>
            <w:r>
              <w:rPr>
                <w:rStyle w:val="10"/>
                <w:sz w:val="20"/>
                <w:szCs w:val="20"/>
              </w:rPr>
              <w:t>95-90%</w:t>
            </w:r>
            <w:r>
              <w:rPr>
                <w:rStyle w:val="9"/>
                <w:rFonts w:hint="default" w:ascii="Times New Roman" w:hAnsi="Times New Roman" w:cs="Times New Roman"/>
                <w:sz w:val="20"/>
                <w:szCs w:val="20"/>
              </w:rPr>
              <w:t>（含），计</w:t>
            </w:r>
            <w:r>
              <w:rPr>
                <w:rStyle w:val="10"/>
                <w:sz w:val="20"/>
                <w:szCs w:val="20"/>
              </w:rPr>
              <w:t>1.5</w:t>
            </w:r>
            <w:r>
              <w:rPr>
                <w:rStyle w:val="9"/>
                <w:rFonts w:hint="default" w:ascii="Times New Roman" w:hAnsi="Times New Roman" w:cs="Times New Roman"/>
                <w:sz w:val="20"/>
                <w:szCs w:val="20"/>
              </w:rPr>
              <w:t>分，</w:t>
            </w:r>
            <w:r>
              <w:rPr>
                <w:rStyle w:val="10"/>
                <w:sz w:val="20"/>
                <w:szCs w:val="20"/>
              </w:rPr>
              <w:t>90-80%</w:t>
            </w:r>
            <w:r>
              <w:rPr>
                <w:rStyle w:val="9"/>
                <w:rFonts w:hint="default" w:ascii="Times New Roman" w:hAnsi="Times New Roman" w:cs="Times New Roman"/>
                <w:sz w:val="20"/>
                <w:szCs w:val="20"/>
              </w:rPr>
              <w:t>（含），计</w:t>
            </w:r>
            <w:r>
              <w:rPr>
                <w:rStyle w:val="10"/>
                <w:sz w:val="20"/>
                <w:szCs w:val="20"/>
              </w:rPr>
              <w:t>1</w:t>
            </w:r>
            <w:r>
              <w:rPr>
                <w:rStyle w:val="9"/>
                <w:rFonts w:hint="default" w:ascii="Times New Roman" w:hAnsi="Times New Roman" w:cs="Times New Roman"/>
                <w:sz w:val="20"/>
                <w:szCs w:val="20"/>
              </w:rPr>
              <w:t>分，小于</w:t>
            </w:r>
            <w:r>
              <w:rPr>
                <w:rStyle w:val="10"/>
                <w:sz w:val="20"/>
                <w:szCs w:val="20"/>
              </w:rPr>
              <w:t>80%</w:t>
            </w:r>
            <w:r>
              <w:rPr>
                <w:rStyle w:val="9"/>
                <w:rFonts w:hint="default" w:ascii="Times New Roman" w:hAnsi="Times New Roman" w:cs="Times New Roman"/>
                <w:sz w:val="20"/>
                <w:szCs w:val="20"/>
              </w:rPr>
              <w:t>不得分；</w:t>
            </w:r>
            <w:r>
              <w:rPr>
                <w:rStyle w:val="10"/>
                <w:sz w:val="20"/>
                <w:szCs w:val="20"/>
              </w:rPr>
              <w:br w:type="textWrapping"/>
            </w:r>
            <w:r>
              <w:rPr>
                <w:rStyle w:val="9"/>
                <w:rFonts w:hint="default" w:ascii="Times New Roman" w:hAnsi="Times New Roman" w:cs="Times New Roman"/>
                <w:sz w:val="20"/>
                <w:szCs w:val="20"/>
              </w:rPr>
              <w:t>②一、二、三季度末支付序时进度分别达到</w:t>
            </w:r>
            <w:r>
              <w:rPr>
                <w:rStyle w:val="10"/>
                <w:sz w:val="20"/>
                <w:szCs w:val="20"/>
              </w:rPr>
              <w:t>20%</w:t>
            </w:r>
            <w:r>
              <w:rPr>
                <w:rStyle w:val="9"/>
                <w:rFonts w:hint="default" w:ascii="Times New Roman" w:hAnsi="Times New Roman" w:cs="Times New Roman"/>
                <w:sz w:val="20"/>
                <w:szCs w:val="20"/>
              </w:rPr>
              <w:t>、</w:t>
            </w:r>
            <w:r>
              <w:rPr>
                <w:rStyle w:val="10"/>
                <w:sz w:val="20"/>
                <w:szCs w:val="20"/>
              </w:rPr>
              <w:t>50%</w:t>
            </w:r>
            <w:r>
              <w:rPr>
                <w:rStyle w:val="9"/>
                <w:rFonts w:hint="default" w:ascii="Times New Roman" w:hAnsi="Times New Roman" w:cs="Times New Roman"/>
                <w:sz w:val="20"/>
                <w:szCs w:val="20"/>
              </w:rPr>
              <w:t>、</w:t>
            </w:r>
            <w:r>
              <w:rPr>
                <w:rStyle w:val="10"/>
                <w:sz w:val="20"/>
                <w:szCs w:val="20"/>
              </w:rPr>
              <w:t>80%</w:t>
            </w:r>
            <w:r>
              <w:rPr>
                <w:rStyle w:val="9"/>
                <w:rFonts w:hint="default" w:ascii="Times New Roman" w:hAnsi="Times New Roman" w:cs="Times New Roman"/>
                <w:sz w:val="20"/>
                <w:szCs w:val="20"/>
              </w:rPr>
              <w:t>（含）以上计</w:t>
            </w:r>
            <w:r>
              <w:rPr>
                <w:rStyle w:val="10"/>
                <w:sz w:val="20"/>
                <w:szCs w:val="20"/>
              </w:rPr>
              <w:t>2</w:t>
            </w:r>
            <w:r>
              <w:rPr>
                <w:rStyle w:val="9"/>
                <w:rFonts w:hint="default" w:ascii="Times New Roman" w:hAnsi="Times New Roman" w:cs="Times New Roman"/>
                <w:sz w:val="20"/>
                <w:szCs w:val="20"/>
              </w:rPr>
              <w:t>分，每低</w:t>
            </w:r>
            <w:r>
              <w:rPr>
                <w:rStyle w:val="10"/>
                <w:sz w:val="20"/>
                <w:szCs w:val="20"/>
              </w:rPr>
              <w:t>1</w:t>
            </w:r>
            <w:r>
              <w:rPr>
                <w:rStyle w:val="9"/>
                <w:rFonts w:hint="default" w:ascii="Times New Roman" w:hAnsi="Times New Roman" w:cs="Times New Roman"/>
                <w:sz w:val="20"/>
                <w:szCs w:val="20"/>
              </w:rPr>
              <w:t>个百分点扣</w:t>
            </w:r>
            <w:r>
              <w:rPr>
                <w:rStyle w:val="10"/>
                <w:sz w:val="20"/>
                <w:szCs w:val="20"/>
              </w:rPr>
              <w:t>0.2</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③部门预算项目支出调剂</w:t>
            </w:r>
            <w:r>
              <w:rPr>
                <w:rStyle w:val="9"/>
                <w:rFonts w:hint="default" w:ascii="Times New Roman" w:hAnsi="Times New Roman" w:cs="Times New Roman"/>
                <w:color w:val="auto"/>
                <w:sz w:val="20"/>
                <w:szCs w:val="20"/>
              </w:rPr>
              <w:t>到</w:t>
            </w:r>
            <w:r>
              <w:rPr>
                <w:rStyle w:val="9"/>
                <w:rFonts w:hint="default" w:cs="Times New Roman"/>
                <w:color w:val="auto"/>
                <w:sz w:val="20"/>
                <w:szCs w:val="20"/>
              </w:rPr>
              <w:t>单位</w:t>
            </w:r>
            <w:r>
              <w:rPr>
                <w:rStyle w:val="9"/>
                <w:rFonts w:hint="default" w:ascii="Times New Roman" w:hAnsi="Times New Roman" w:cs="Times New Roman"/>
                <w:sz w:val="20"/>
                <w:szCs w:val="20"/>
              </w:rPr>
              <w:t>小于等于项目支出</w:t>
            </w:r>
            <w:r>
              <w:rPr>
                <w:rStyle w:val="10"/>
                <w:sz w:val="20"/>
                <w:szCs w:val="20"/>
              </w:rPr>
              <w:t>2%</w:t>
            </w:r>
            <w:r>
              <w:rPr>
                <w:rStyle w:val="9"/>
                <w:rFonts w:hint="default" w:ascii="Times New Roman" w:hAnsi="Times New Roman" w:cs="Times New Roman"/>
                <w:sz w:val="20"/>
                <w:szCs w:val="20"/>
              </w:rPr>
              <w:t>，计</w:t>
            </w:r>
            <w:r>
              <w:rPr>
                <w:rStyle w:val="10"/>
                <w:sz w:val="20"/>
                <w:szCs w:val="20"/>
              </w:rPr>
              <w:t>2</w:t>
            </w:r>
            <w:r>
              <w:rPr>
                <w:rStyle w:val="9"/>
                <w:rFonts w:hint="default" w:ascii="Times New Roman" w:hAnsi="Times New Roman" w:cs="Times New Roman"/>
                <w:sz w:val="20"/>
                <w:szCs w:val="20"/>
              </w:rPr>
              <w:t>分；大于</w:t>
            </w:r>
            <w:r>
              <w:rPr>
                <w:rStyle w:val="10"/>
                <w:sz w:val="20"/>
                <w:szCs w:val="20"/>
              </w:rPr>
              <w:t>2%</w:t>
            </w:r>
            <w:r>
              <w:rPr>
                <w:rStyle w:val="9"/>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预算调整率</w:t>
            </w:r>
            <w:r>
              <w:rPr>
                <w:rStyle w:val="10"/>
                <w:sz w:val="20"/>
                <w:szCs w:val="20"/>
              </w:rPr>
              <w:t>=</w:t>
            </w:r>
            <w:r>
              <w:rPr>
                <w:rStyle w:val="9"/>
                <w:rFonts w:hint="default" w:ascii="Times New Roman" w:hAnsi="Times New Roman" w:cs="Times New Roman"/>
                <w:sz w:val="20"/>
                <w:szCs w:val="20"/>
              </w:rPr>
              <w:t>（预算调整数</w:t>
            </w:r>
            <w:r>
              <w:rPr>
                <w:rStyle w:val="10"/>
                <w:sz w:val="20"/>
                <w:szCs w:val="20"/>
              </w:rPr>
              <w:t>/</w:t>
            </w:r>
            <w:r>
              <w:rPr>
                <w:rStyle w:val="9"/>
                <w:rFonts w:hint="default" w:ascii="Times New Roman" w:hAnsi="Times New Roman" w:cs="Times New Roman"/>
                <w:sz w:val="20"/>
                <w:szCs w:val="20"/>
              </w:rPr>
              <w:t>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预算调整率</w:t>
            </w:r>
            <w:r>
              <w:rPr>
                <w:rStyle w:val="10"/>
                <w:sz w:val="20"/>
                <w:szCs w:val="20"/>
              </w:rPr>
              <w:t>&lt;5%</w:t>
            </w:r>
            <w:r>
              <w:rPr>
                <w:rStyle w:val="9"/>
                <w:rFonts w:hint="default" w:ascii="Times New Roman" w:hAnsi="Times New Roman" w:cs="Times New Roman"/>
                <w:sz w:val="20"/>
                <w:szCs w:val="20"/>
              </w:rPr>
              <w:t>，计</w:t>
            </w:r>
            <w:r>
              <w:rPr>
                <w:rStyle w:val="10"/>
                <w:sz w:val="20"/>
                <w:szCs w:val="20"/>
              </w:rPr>
              <w:t>3</w:t>
            </w:r>
            <w:r>
              <w:rPr>
                <w:rStyle w:val="9"/>
                <w:rFonts w:hint="default" w:ascii="Times New Roman" w:hAnsi="Times New Roman" w:cs="Times New Roman"/>
                <w:sz w:val="20"/>
                <w:szCs w:val="20"/>
              </w:rPr>
              <w:t>分；</w:t>
            </w:r>
            <w:r>
              <w:rPr>
                <w:rStyle w:val="10"/>
                <w:sz w:val="20"/>
                <w:szCs w:val="20"/>
              </w:rPr>
              <w:t>5-10%</w:t>
            </w:r>
            <w:r>
              <w:rPr>
                <w:rStyle w:val="9"/>
                <w:rFonts w:hint="default" w:ascii="Times New Roman" w:hAnsi="Times New Roman" w:cs="Times New Roman"/>
                <w:sz w:val="20"/>
                <w:szCs w:val="20"/>
              </w:rPr>
              <w:t>（含），计</w:t>
            </w:r>
            <w:r>
              <w:rPr>
                <w:rStyle w:val="10"/>
                <w:sz w:val="20"/>
                <w:szCs w:val="20"/>
              </w:rPr>
              <w:t>1.5</w:t>
            </w:r>
            <w:r>
              <w:rPr>
                <w:rStyle w:val="9"/>
                <w:rFonts w:hint="default" w:ascii="Times New Roman" w:hAnsi="Times New Roman" w:cs="Times New Roman"/>
                <w:sz w:val="20"/>
                <w:szCs w:val="20"/>
              </w:rPr>
              <w:t>分；大于</w:t>
            </w:r>
            <w:r>
              <w:rPr>
                <w:rStyle w:val="10"/>
                <w:sz w:val="20"/>
                <w:szCs w:val="20"/>
              </w:rPr>
              <w:t>10%</w:t>
            </w:r>
            <w:r>
              <w:rPr>
                <w:rStyle w:val="9"/>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rPr>
              <w:t>区</w:t>
            </w:r>
            <w:r>
              <w:rPr>
                <w:color w:val="000000"/>
                <w:kern w:val="0"/>
                <w:sz w:val="20"/>
                <w:szCs w:val="20"/>
              </w:rPr>
              <w:t>政府文件规定，预算单位年度安排的</w:t>
            </w:r>
            <w:r>
              <w:rPr>
                <w:rFonts w:hint="eastAsia"/>
                <w:color w:val="000000"/>
                <w:kern w:val="0"/>
                <w:sz w:val="20"/>
                <w:szCs w:val="20"/>
              </w:rPr>
              <w:t>区</w:t>
            </w:r>
            <w:r>
              <w:rPr>
                <w:color w:val="000000"/>
                <w:kern w:val="0"/>
                <w:sz w:val="20"/>
                <w:szCs w:val="20"/>
              </w:rPr>
              <w:t>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rPr>
              <w:t>区</w:t>
            </w:r>
            <w:r>
              <w:rPr>
                <w:color w:val="000000"/>
                <w:kern w:val="0"/>
                <w:sz w:val="20"/>
                <w:szCs w:val="20"/>
              </w:rPr>
              <w:t>本级资金无结转，计2分；有结转，不计分；</w:t>
            </w:r>
          </w:p>
        </w:tc>
        <w:tc>
          <w:tcPr>
            <w:tcW w:w="477" w:type="pct"/>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10"/>
                <w:sz w:val="20"/>
                <w:szCs w:val="20"/>
              </w:rPr>
              <w:t>“</w:t>
            </w:r>
            <w:r>
              <w:rPr>
                <w:rStyle w:val="9"/>
                <w:rFonts w:hint="default" w:ascii="Times New Roman" w:hAnsi="Times New Roman" w:cs="Times New Roman"/>
                <w:sz w:val="20"/>
                <w:szCs w:val="20"/>
              </w:rPr>
              <w:t>三公</w:t>
            </w:r>
          </w:p>
          <w:p>
            <w:pPr>
              <w:widowControl/>
              <w:spacing w:line="260" w:lineRule="exact"/>
              <w:jc w:val="center"/>
              <w:textAlignment w:val="center"/>
              <w:rPr>
                <w:rStyle w:val="10"/>
                <w:sz w:val="20"/>
                <w:szCs w:val="20"/>
              </w:rPr>
            </w:pPr>
            <w:r>
              <w:rPr>
                <w:rStyle w:val="9"/>
                <w:rFonts w:hint="default" w:ascii="Times New Roman" w:hAnsi="Times New Roman" w:cs="Times New Roman"/>
                <w:sz w:val="20"/>
                <w:szCs w:val="20"/>
              </w:rPr>
              <w:t>经费</w:t>
            </w:r>
            <w:r>
              <w:rPr>
                <w:rStyle w:val="10"/>
                <w:sz w:val="20"/>
                <w:szCs w:val="20"/>
              </w:rPr>
              <w:t>”</w:t>
            </w:r>
          </w:p>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控制率</w:t>
            </w:r>
            <w:r>
              <w:rPr>
                <w:rStyle w:val="10"/>
                <w:sz w:val="20"/>
                <w:szCs w:val="20"/>
              </w:rPr>
              <w:t>=</w:t>
            </w:r>
            <w:r>
              <w:rPr>
                <w:rStyle w:val="9"/>
                <w:rFonts w:hint="default" w:ascii="Times New Roman" w:hAnsi="Times New Roman" w:cs="Times New Roman"/>
                <w:sz w:val="20"/>
                <w:szCs w:val="20"/>
              </w:rPr>
              <w:t>（</w:t>
            </w: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实际支出数</w:t>
            </w: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预算安排数）</w:t>
            </w:r>
            <w:r>
              <w:rPr>
                <w:rStyle w:val="10"/>
                <w:sz w:val="20"/>
                <w:szCs w:val="20"/>
              </w:rPr>
              <w:t>×100%</w:t>
            </w:r>
            <w:r>
              <w:rPr>
                <w:rStyle w:val="9"/>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控制率</w:t>
            </w:r>
            <w:r>
              <w:rPr>
                <w:rStyle w:val="10"/>
                <w:sz w:val="20"/>
                <w:szCs w:val="20"/>
              </w:rPr>
              <w:t>100%</w:t>
            </w:r>
            <w:r>
              <w:rPr>
                <w:rStyle w:val="9"/>
                <w:rFonts w:hint="default" w:ascii="Times New Roman" w:hAnsi="Times New Roman" w:cs="Times New Roman"/>
                <w:sz w:val="20"/>
                <w:szCs w:val="20"/>
              </w:rPr>
              <w:t>以下（含）计</w:t>
            </w:r>
            <w:r>
              <w:rPr>
                <w:rStyle w:val="10"/>
                <w:sz w:val="20"/>
                <w:szCs w:val="20"/>
              </w:rPr>
              <w:t>2</w:t>
            </w:r>
            <w:r>
              <w:rPr>
                <w:rStyle w:val="9"/>
                <w:rFonts w:hint="default" w:ascii="Times New Roman" w:hAnsi="Times New Roman" w:cs="Times New Roman"/>
                <w:sz w:val="20"/>
                <w:szCs w:val="20"/>
              </w:rPr>
              <w:t>分，每超出</w:t>
            </w:r>
            <w:r>
              <w:rPr>
                <w:rStyle w:val="10"/>
                <w:sz w:val="20"/>
                <w:szCs w:val="20"/>
              </w:rPr>
              <w:t>1%</w:t>
            </w:r>
            <w:r>
              <w:rPr>
                <w:rStyle w:val="9"/>
                <w:rFonts w:hint="default" w:ascii="Times New Roman" w:hAnsi="Times New Roman" w:cs="Times New Roman"/>
                <w:sz w:val="20"/>
                <w:szCs w:val="20"/>
              </w:rPr>
              <w:t>扣</w:t>
            </w:r>
            <w:r>
              <w:rPr>
                <w:rStyle w:val="10"/>
                <w:sz w:val="20"/>
                <w:szCs w:val="20"/>
              </w:rPr>
              <w:t>0.15</w:t>
            </w:r>
            <w:r>
              <w:rPr>
                <w:rStyle w:val="9"/>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jc w:val="center"/>
              <w:textAlignment w:val="center"/>
              <w:rPr>
                <w:rStyle w:val="10"/>
                <w:sz w:val="20"/>
                <w:szCs w:val="20"/>
              </w:rPr>
            </w:pPr>
            <w:r>
              <w:rPr>
                <w:rStyle w:val="10"/>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政府采购执行率</w:t>
            </w:r>
            <w:r>
              <w:rPr>
                <w:rStyle w:val="10"/>
                <w:sz w:val="20"/>
                <w:szCs w:val="20"/>
              </w:rPr>
              <w:t>=</w:t>
            </w:r>
            <w:r>
              <w:rPr>
                <w:rStyle w:val="9"/>
                <w:rFonts w:hint="default" w:ascii="Times New Roman" w:hAnsi="Times New Roman" w:cs="Times New Roman"/>
                <w:sz w:val="20"/>
                <w:szCs w:val="20"/>
              </w:rPr>
              <w:t>（实际政府采购金额</w:t>
            </w:r>
            <w:r>
              <w:rPr>
                <w:rStyle w:val="10"/>
                <w:sz w:val="20"/>
                <w:szCs w:val="20"/>
              </w:rPr>
              <w:t>/</w:t>
            </w:r>
            <w:r>
              <w:rPr>
                <w:rStyle w:val="9"/>
                <w:rFonts w:hint="default" w:ascii="Times New Roman" w:hAnsi="Times New Roman" w:cs="Times New Roman"/>
                <w:sz w:val="20"/>
                <w:szCs w:val="20"/>
              </w:rPr>
              <w:t>政府采购预算数）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预算单位严格执行《</w:t>
            </w:r>
            <w:r>
              <w:rPr>
                <w:rStyle w:val="9"/>
                <w:rFonts w:hint="eastAsia" w:cs="Times New Roman"/>
                <w:sz w:val="20"/>
                <w:szCs w:val="20"/>
                <w:lang w:eastAsia="zh-CN"/>
              </w:rPr>
              <w:t>中华人民共和国</w:t>
            </w:r>
            <w:r>
              <w:rPr>
                <w:rStyle w:val="9"/>
                <w:rFonts w:hint="default" w:ascii="Times New Roman" w:hAnsi="Times New Roman" w:cs="Times New Roman"/>
                <w:sz w:val="20"/>
                <w:szCs w:val="20"/>
              </w:rPr>
              <w:t>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政府采购执行率</w:t>
            </w:r>
            <w:r>
              <w:rPr>
                <w:rStyle w:val="10"/>
                <w:sz w:val="20"/>
                <w:szCs w:val="20"/>
              </w:rPr>
              <w:t>100%</w:t>
            </w:r>
            <w:r>
              <w:rPr>
                <w:rStyle w:val="9"/>
                <w:rFonts w:hint="default" w:ascii="Times New Roman" w:hAnsi="Times New Roman" w:cs="Times New Roman"/>
                <w:sz w:val="20"/>
                <w:szCs w:val="20"/>
              </w:rPr>
              <w:t>计</w:t>
            </w:r>
            <w:r>
              <w:rPr>
                <w:rStyle w:val="10"/>
                <w:sz w:val="20"/>
                <w:szCs w:val="20"/>
              </w:rPr>
              <w:t>1</w:t>
            </w:r>
            <w:r>
              <w:rPr>
                <w:rStyle w:val="9"/>
                <w:rFonts w:hint="default" w:ascii="Times New Roman" w:hAnsi="Times New Roman" w:cs="Times New Roman"/>
                <w:sz w:val="20"/>
                <w:szCs w:val="20"/>
              </w:rPr>
              <w:t>分，每超过（降低）</w:t>
            </w:r>
            <w:r>
              <w:rPr>
                <w:rStyle w:val="10"/>
                <w:sz w:val="20"/>
                <w:szCs w:val="20"/>
              </w:rPr>
              <w:t>1%</w:t>
            </w:r>
            <w:r>
              <w:rPr>
                <w:rStyle w:val="9"/>
                <w:rFonts w:hint="default" w:ascii="Times New Roman" w:hAnsi="Times New Roman" w:cs="Times New Roman"/>
                <w:sz w:val="20"/>
                <w:szCs w:val="20"/>
              </w:rPr>
              <w:t>扣</w:t>
            </w:r>
            <w:r>
              <w:rPr>
                <w:rStyle w:val="10"/>
                <w:sz w:val="20"/>
                <w:szCs w:val="20"/>
              </w:rPr>
              <w:t>0.1</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20</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管理制度</w:t>
            </w:r>
            <w:r>
              <w:rPr>
                <w:rStyle w:val="10"/>
                <w:sz w:val="20"/>
                <w:szCs w:val="20"/>
              </w:rPr>
              <w:br w:type="textWrapping"/>
            </w:r>
            <w:r>
              <w:rPr>
                <w:rStyle w:val="9"/>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①部门（单位）内控制度、内部财务管理制度和会计核算制度是否健全；</w:t>
            </w:r>
            <w:r>
              <w:rPr>
                <w:rStyle w:val="10"/>
                <w:sz w:val="20"/>
                <w:szCs w:val="20"/>
              </w:rPr>
              <w:br w:type="textWrapping"/>
            </w:r>
            <w:r>
              <w:rPr>
                <w:rStyle w:val="9"/>
                <w:rFonts w:hint="default" w:ascii="Times New Roman" w:hAnsi="Times New Roman" w:cs="Times New Roman"/>
                <w:sz w:val="20"/>
                <w:szCs w:val="20"/>
              </w:rPr>
              <w:t>②相关管理制度是否合法、合规、完整；</w:t>
            </w:r>
            <w:r>
              <w:rPr>
                <w:rStyle w:val="10"/>
                <w:sz w:val="20"/>
                <w:szCs w:val="20"/>
              </w:rPr>
              <w:br w:type="textWrapping"/>
            </w:r>
            <w:r>
              <w:rPr>
                <w:rStyle w:val="9"/>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①部门（单位）内控制度、内部财务管理制度和会计核算制度健全，计</w:t>
            </w:r>
            <w:r>
              <w:rPr>
                <w:rStyle w:val="10"/>
                <w:sz w:val="20"/>
                <w:szCs w:val="20"/>
              </w:rPr>
              <w:t>1</w:t>
            </w:r>
            <w:r>
              <w:rPr>
                <w:rStyle w:val="9"/>
                <w:rFonts w:hint="default" w:ascii="Times New Roman" w:hAnsi="Times New Roman" w:cs="Times New Roman"/>
                <w:sz w:val="20"/>
                <w:szCs w:val="20"/>
              </w:rPr>
              <w:t>分，否则酌情扣分；</w:t>
            </w:r>
            <w:r>
              <w:rPr>
                <w:rStyle w:val="10"/>
                <w:sz w:val="20"/>
                <w:szCs w:val="20"/>
              </w:rPr>
              <w:br w:type="textWrapping"/>
            </w:r>
            <w:r>
              <w:rPr>
                <w:rStyle w:val="9"/>
                <w:rFonts w:hint="default" w:ascii="Times New Roman" w:hAnsi="Times New Roman" w:cs="Times New Roman"/>
                <w:sz w:val="20"/>
                <w:szCs w:val="20"/>
              </w:rPr>
              <w:t>②管理制度合法、合规、完整，计</w:t>
            </w:r>
            <w:r>
              <w:rPr>
                <w:rStyle w:val="10"/>
                <w:sz w:val="20"/>
                <w:szCs w:val="20"/>
              </w:rPr>
              <w:t>1</w:t>
            </w:r>
            <w:r>
              <w:rPr>
                <w:rStyle w:val="9"/>
                <w:rFonts w:hint="default" w:ascii="Times New Roman" w:hAnsi="Times New Roman" w:cs="Times New Roman"/>
                <w:sz w:val="20"/>
                <w:szCs w:val="20"/>
              </w:rPr>
              <w:t>分，否则酌情扣分；</w:t>
            </w:r>
            <w:r>
              <w:rPr>
                <w:rStyle w:val="10"/>
                <w:sz w:val="20"/>
                <w:szCs w:val="20"/>
              </w:rPr>
              <w:br w:type="textWrapping"/>
            </w:r>
            <w:r>
              <w:rPr>
                <w:rStyle w:val="9"/>
                <w:rFonts w:hint="default" w:ascii="Times New Roman" w:hAnsi="Times New Roman" w:cs="Times New Roman"/>
                <w:sz w:val="20"/>
                <w:szCs w:val="20"/>
              </w:rPr>
              <w:t>③管理制度得到有效执行，计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资金使用</w:t>
            </w:r>
            <w:r>
              <w:rPr>
                <w:rStyle w:val="10"/>
                <w:sz w:val="20"/>
                <w:szCs w:val="20"/>
              </w:rPr>
              <w:br w:type="textWrapping"/>
            </w:r>
            <w:r>
              <w:rPr>
                <w:rStyle w:val="9"/>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①是否符合国家财经法规和财务管理制度以及有关专项资金管理办法的规定；</w:t>
            </w:r>
            <w:r>
              <w:rPr>
                <w:rStyle w:val="10"/>
                <w:sz w:val="20"/>
                <w:szCs w:val="20"/>
              </w:rPr>
              <w:br w:type="textWrapping"/>
            </w:r>
            <w:r>
              <w:rPr>
                <w:rStyle w:val="9"/>
                <w:rFonts w:hint="default" w:ascii="Times New Roman" w:hAnsi="Times New Roman" w:cs="Times New Roman"/>
                <w:sz w:val="20"/>
                <w:szCs w:val="20"/>
              </w:rPr>
              <w:t>②资金的支付是否有完整的审批程序和手续；</w:t>
            </w:r>
            <w:r>
              <w:rPr>
                <w:rStyle w:val="10"/>
                <w:sz w:val="20"/>
                <w:szCs w:val="20"/>
              </w:rPr>
              <w:br w:type="textWrapping"/>
            </w:r>
            <w:r>
              <w:rPr>
                <w:rStyle w:val="9"/>
                <w:rFonts w:hint="default" w:ascii="Times New Roman" w:hAnsi="Times New Roman" w:cs="Times New Roman"/>
                <w:sz w:val="20"/>
                <w:szCs w:val="20"/>
              </w:rPr>
              <w:t>③重大项目开支和大额资金使用是否经单位党组集体研究决策；</w:t>
            </w:r>
            <w:r>
              <w:rPr>
                <w:rStyle w:val="10"/>
                <w:sz w:val="20"/>
                <w:szCs w:val="20"/>
              </w:rPr>
              <w:br w:type="textWrapping"/>
            </w:r>
            <w:r>
              <w:rPr>
                <w:rStyle w:val="9"/>
                <w:rFonts w:hint="default" w:ascii="Times New Roman" w:hAnsi="Times New Roman" w:cs="Times New Roman"/>
                <w:sz w:val="20"/>
                <w:szCs w:val="20"/>
              </w:rPr>
              <w:t>④是否符合项目预算批复或合同规定的用途；</w:t>
            </w:r>
            <w:r>
              <w:rPr>
                <w:rStyle w:val="10"/>
                <w:sz w:val="20"/>
                <w:szCs w:val="20"/>
              </w:rPr>
              <w:br w:type="textWrapping"/>
            </w:r>
            <w:r>
              <w:rPr>
                <w:rStyle w:val="9"/>
                <w:rFonts w:hint="default" w:ascii="Times New Roman" w:hAnsi="Times New Roman" w:cs="Times New Roman"/>
                <w:sz w:val="20"/>
                <w:szCs w:val="20"/>
              </w:rPr>
              <w:t>⑤是否存在截留、挤占、挪用、虚列支出等情况；</w:t>
            </w:r>
            <w:r>
              <w:rPr>
                <w:rStyle w:val="10"/>
                <w:sz w:val="20"/>
                <w:szCs w:val="20"/>
              </w:rPr>
              <w:br w:type="textWrapping"/>
            </w:r>
            <w:r>
              <w:rPr>
                <w:rStyle w:val="9"/>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①符合国家财经法规和财务管理制度以及有关专项资金管理办法的规定，计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②资金的支付有完整的审批程序和手续，计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③重大项目开支和大额资金使用经过单位党组集体研究决策，计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④符合项目预算批复或合同规定的用途，计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⑤不存在截留、挤占、挪用、虚列支出等情况，计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例不符合本指标</w:t>
            </w:r>
            <w:r>
              <w:rPr>
                <w:rStyle w:val="10"/>
                <w:sz w:val="20"/>
                <w:szCs w:val="20"/>
              </w:rPr>
              <w:t>6</w:t>
            </w:r>
            <w:r>
              <w:rPr>
                <w:rStyle w:val="9"/>
                <w:rFonts w:hint="default" w:ascii="Times New Roman" w:hAnsi="Times New Roman" w:cs="Times New Roman"/>
                <w:sz w:val="20"/>
                <w:szCs w:val="20"/>
              </w:rPr>
              <w:t>分全扣；</w:t>
            </w:r>
            <w:r>
              <w:rPr>
                <w:rStyle w:val="10"/>
                <w:sz w:val="20"/>
                <w:szCs w:val="20"/>
              </w:rPr>
              <w:br w:type="textWrapping"/>
            </w:r>
            <w:r>
              <w:rPr>
                <w:rStyle w:val="9"/>
                <w:rFonts w:hint="default" w:ascii="Times New Roman" w:hAnsi="Times New Roman" w:cs="Times New Roman"/>
                <w:sz w:val="20"/>
                <w:szCs w:val="20"/>
              </w:rPr>
              <w:t>⑥</w:t>
            </w:r>
            <w:r>
              <w:rPr>
                <w:rStyle w:val="9"/>
                <w:rFonts w:hint="default" w:ascii="Times New Roman" w:hAnsi="Times New Roman" w:cs="Times New Roman"/>
                <w:spacing w:val="-6"/>
                <w:sz w:val="20"/>
                <w:szCs w:val="20"/>
              </w:rPr>
              <w:t>不存在重复申报项目、虚报冒领资金，计</w:t>
            </w:r>
            <w:r>
              <w:rPr>
                <w:rStyle w:val="10"/>
                <w:spacing w:val="-6"/>
                <w:sz w:val="20"/>
                <w:szCs w:val="20"/>
              </w:rPr>
              <w:t>1</w:t>
            </w:r>
            <w:r>
              <w:rPr>
                <w:rStyle w:val="9"/>
                <w:rFonts w:hint="default" w:ascii="Times New Roman" w:hAnsi="Times New Roman" w:cs="Times New Roman"/>
                <w:spacing w:val="-6"/>
                <w:sz w:val="20"/>
                <w:szCs w:val="20"/>
              </w:rPr>
              <w:t>分，</w:t>
            </w:r>
            <w:r>
              <w:rPr>
                <w:rStyle w:val="10"/>
                <w:spacing w:val="-6"/>
                <w:sz w:val="20"/>
                <w:szCs w:val="20"/>
              </w:rPr>
              <w:t>1</w:t>
            </w:r>
            <w:r>
              <w:rPr>
                <w:rStyle w:val="9"/>
                <w:rFonts w:hint="default" w:ascii="Times New Roman" w:hAnsi="Times New Roman" w:cs="Times New Roman"/>
                <w:spacing w:val="-6"/>
                <w:sz w:val="20"/>
                <w:szCs w:val="20"/>
              </w:rPr>
              <w:t>例不符合本指标6分全扣；</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20</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①预算单位按规定及时、准确、完整的公开预决算和绩效管理信息；</w:t>
            </w:r>
            <w:r>
              <w:rPr>
                <w:rStyle w:val="10"/>
                <w:sz w:val="20"/>
                <w:szCs w:val="20"/>
              </w:rPr>
              <w:br w:type="textWrapping"/>
            </w:r>
            <w:r>
              <w:rPr>
                <w:rStyle w:val="9"/>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①、②各计</w:t>
            </w:r>
            <w:r>
              <w:rPr>
                <w:rStyle w:val="10"/>
                <w:sz w:val="20"/>
                <w:szCs w:val="20"/>
              </w:rPr>
              <w:t>1</w:t>
            </w:r>
            <w:r>
              <w:rPr>
                <w:rStyle w:val="9"/>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绩效自评</w:t>
            </w:r>
            <w:r>
              <w:rPr>
                <w:rStyle w:val="10"/>
                <w:sz w:val="20"/>
                <w:szCs w:val="20"/>
              </w:rPr>
              <w:br w:type="textWrapping"/>
            </w:r>
            <w:r>
              <w:rPr>
                <w:rStyle w:val="9"/>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根据</w:t>
            </w:r>
            <w:r>
              <w:rPr>
                <w:rStyle w:val="9"/>
                <w:rFonts w:hint="default" w:cs="Times New Roman"/>
                <w:sz w:val="20"/>
                <w:szCs w:val="20"/>
              </w:rPr>
              <w:t>区</w:t>
            </w:r>
            <w:r>
              <w:rPr>
                <w:rStyle w:val="9"/>
                <w:rFonts w:hint="default" w:ascii="Times New Roman" w:hAnsi="Times New Roman" w:cs="Times New Roman"/>
                <w:sz w:val="20"/>
                <w:szCs w:val="20"/>
              </w:rPr>
              <w:t>财政局2020年考核结果，评审为优，计</w:t>
            </w:r>
            <w:r>
              <w:rPr>
                <w:rStyle w:val="10"/>
                <w:sz w:val="20"/>
                <w:szCs w:val="20"/>
              </w:rPr>
              <w:t>4</w:t>
            </w:r>
            <w:r>
              <w:rPr>
                <w:rStyle w:val="9"/>
                <w:rFonts w:hint="default" w:ascii="Times New Roman" w:hAnsi="Times New Roman" w:cs="Times New Roman"/>
                <w:sz w:val="20"/>
                <w:szCs w:val="20"/>
              </w:rPr>
              <w:t>分；评审为良，计</w:t>
            </w:r>
            <w:r>
              <w:rPr>
                <w:rStyle w:val="10"/>
                <w:sz w:val="20"/>
                <w:szCs w:val="20"/>
              </w:rPr>
              <w:t>3</w:t>
            </w:r>
            <w:r>
              <w:rPr>
                <w:rStyle w:val="9"/>
                <w:rFonts w:hint="default" w:ascii="Times New Roman" w:hAnsi="Times New Roman" w:cs="Times New Roman"/>
                <w:sz w:val="20"/>
                <w:szCs w:val="20"/>
              </w:rPr>
              <w:t>分；评审为中，计</w:t>
            </w:r>
            <w:r>
              <w:rPr>
                <w:rStyle w:val="10"/>
                <w:sz w:val="20"/>
                <w:szCs w:val="20"/>
              </w:rPr>
              <w:t>2</w:t>
            </w:r>
            <w:r>
              <w:rPr>
                <w:rStyle w:val="9"/>
                <w:rFonts w:hint="default" w:ascii="Times New Roman" w:hAnsi="Times New Roman" w:cs="Times New Roman"/>
                <w:sz w:val="20"/>
                <w:szCs w:val="20"/>
              </w:rPr>
              <w:t>分；评审为低，计</w:t>
            </w:r>
            <w:r>
              <w:rPr>
                <w:rStyle w:val="10"/>
                <w:sz w:val="20"/>
                <w:szCs w:val="20"/>
              </w:rPr>
              <w:t>1</w:t>
            </w:r>
            <w:r>
              <w:rPr>
                <w:rStyle w:val="9"/>
                <w:rFonts w:hint="default" w:ascii="Times New Roman" w:hAnsi="Times New Roman" w:cs="Times New Roman"/>
                <w:sz w:val="20"/>
                <w:szCs w:val="20"/>
              </w:rPr>
              <w:t>分；评审为差，计</w:t>
            </w:r>
            <w:r>
              <w:rPr>
                <w:rStyle w:val="10"/>
                <w:sz w:val="20"/>
                <w:szCs w:val="20"/>
              </w:rPr>
              <w:t>0</w:t>
            </w:r>
            <w:r>
              <w:rPr>
                <w:rStyle w:val="9"/>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2019年重点评价问题全部整改，计</w:t>
            </w:r>
            <w:r>
              <w:rPr>
                <w:rStyle w:val="10"/>
                <w:sz w:val="20"/>
                <w:szCs w:val="20"/>
              </w:rPr>
              <w:t>5</w:t>
            </w:r>
            <w:r>
              <w:rPr>
                <w:rStyle w:val="9"/>
                <w:rFonts w:hint="default" w:ascii="Times New Roman" w:hAnsi="Times New Roman" w:cs="Times New Roman"/>
                <w:sz w:val="20"/>
                <w:szCs w:val="20"/>
              </w:rPr>
              <w:t>分；2019年重点评价问题部分整改，计</w:t>
            </w:r>
            <w:r>
              <w:rPr>
                <w:rStyle w:val="10"/>
                <w:sz w:val="20"/>
                <w:szCs w:val="20"/>
              </w:rPr>
              <w:t>3</w:t>
            </w:r>
            <w:r>
              <w:rPr>
                <w:rStyle w:val="9"/>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资产</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5</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资产</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①是否已制定合法、合规、完整的资产管理制度；</w:t>
            </w:r>
            <w:r>
              <w:rPr>
                <w:rStyle w:val="10"/>
                <w:sz w:val="20"/>
                <w:szCs w:val="20"/>
              </w:rPr>
              <w:br w:type="textWrapping"/>
            </w:r>
            <w:r>
              <w:rPr>
                <w:rStyle w:val="9"/>
                <w:rFonts w:hint="default" w:ascii="Times New Roman" w:hAnsi="Times New Roman" w:cs="Times New Roman"/>
                <w:sz w:val="20"/>
                <w:szCs w:val="20"/>
              </w:rPr>
              <w:t>②相关资产管理制度是否得到有效执行；</w:t>
            </w:r>
            <w:r>
              <w:rPr>
                <w:rStyle w:val="10"/>
                <w:sz w:val="20"/>
                <w:szCs w:val="20"/>
              </w:rPr>
              <w:br w:type="textWrapping"/>
            </w:r>
            <w:r>
              <w:rPr>
                <w:rStyle w:val="9"/>
                <w:rFonts w:hint="default" w:ascii="Times New Roman" w:hAnsi="Times New Roman" w:cs="Times New Roman"/>
                <w:sz w:val="20"/>
                <w:szCs w:val="20"/>
              </w:rPr>
              <w:t>③资产配置是否编制年度预算；</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①已制定合法、合规、完整的资产管理制度，计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②相关资产管理制度得到有效执行，计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③资产管理编制年度预算，计</w:t>
            </w:r>
            <w:r>
              <w:rPr>
                <w:rStyle w:val="10"/>
                <w:sz w:val="20"/>
                <w:szCs w:val="20"/>
              </w:rPr>
              <w:t>0.5</w:t>
            </w:r>
            <w:r>
              <w:rPr>
                <w:rStyle w:val="9"/>
                <w:rFonts w:hint="default" w:ascii="Times New Roman" w:hAnsi="Times New Roman" w:cs="Times New Roman"/>
                <w:sz w:val="20"/>
                <w:szCs w:val="20"/>
              </w:rPr>
              <w:t>分，未编制不得分。</w:t>
            </w:r>
            <w:r>
              <w:rPr>
                <w:rStyle w:val="10"/>
                <w:sz w:val="20"/>
                <w:szCs w:val="20"/>
              </w:rPr>
              <w:br w:type="textWrapping"/>
            </w:r>
            <w:r>
              <w:rPr>
                <w:rStyle w:val="9"/>
                <w:rFonts w:hint="default" w:ascii="Times New Roman" w:hAnsi="Times New Roman" w:cs="Times New Roman"/>
                <w:sz w:val="20"/>
                <w:szCs w:val="20"/>
              </w:rPr>
              <w:t>④资产配置预算实际执行情况未超年度预算（按程序审批除外），计</w:t>
            </w:r>
            <w:r>
              <w:rPr>
                <w:rStyle w:val="10"/>
                <w:sz w:val="20"/>
                <w:szCs w:val="20"/>
              </w:rPr>
              <w:t>0.5</w:t>
            </w:r>
            <w:r>
              <w:rPr>
                <w:rStyle w:val="9"/>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资产管理</w:t>
            </w:r>
            <w:r>
              <w:rPr>
                <w:rStyle w:val="10"/>
                <w:sz w:val="20"/>
                <w:szCs w:val="20"/>
              </w:rPr>
              <w:br w:type="textWrapping"/>
            </w:r>
            <w:r>
              <w:rPr>
                <w:rStyle w:val="9"/>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①资产保存是否完整并有台账；</w:t>
            </w:r>
            <w:r>
              <w:rPr>
                <w:rStyle w:val="10"/>
                <w:sz w:val="20"/>
                <w:szCs w:val="20"/>
              </w:rPr>
              <w:br w:type="textWrapping"/>
            </w:r>
            <w:r>
              <w:rPr>
                <w:rStyle w:val="9"/>
                <w:rFonts w:hint="default" w:ascii="Times New Roman" w:hAnsi="Times New Roman" w:cs="Times New Roman"/>
                <w:sz w:val="20"/>
                <w:szCs w:val="20"/>
              </w:rPr>
              <w:t>②资产配置是否合理；</w:t>
            </w:r>
            <w:r>
              <w:rPr>
                <w:rStyle w:val="10"/>
                <w:sz w:val="20"/>
                <w:szCs w:val="20"/>
              </w:rPr>
              <w:br w:type="textWrapping"/>
            </w:r>
            <w:r>
              <w:rPr>
                <w:rStyle w:val="9"/>
                <w:rFonts w:hint="default" w:ascii="Times New Roman" w:hAnsi="Times New Roman" w:cs="Times New Roman"/>
                <w:sz w:val="20"/>
                <w:szCs w:val="20"/>
              </w:rPr>
              <w:t>③资产处置是否规范；</w:t>
            </w:r>
            <w:r>
              <w:rPr>
                <w:rStyle w:val="10"/>
                <w:sz w:val="20"/>
                <w:szCs w:val="20"/>
              </w:rPr>
              <w:br w:type="textWrapping"/>
            </w:r>
            <w:r>
              <w:rPr>
                <w:rStyle w:val="9"/>
                <w:rFonts w:hint="default" w:ascii="Times New Roman" w:hAnsi="Times New Roman" w:cs="Times New Roman"/>
                <w:sz w:val="20"/>
                <w:szCs w:val="20"/>
              </w:rPr>
              <w:t>④资产账务管理是否合规，是否</w:t>
            </w:r>
            <w:r>
              <w:rPr>
                <w:rStyle w:val="9"/>
                <w:rFonts w:hint="eastAsia" w:cs="Times New Roman"/>
                <w:sz w:val="20"/>
                <w:szCs w:val="20"/>
                <w:lang w:eastAsia="zh-CN"/>
              </w:rPr>
              <w:t>账</w:t>
            </w:r>
            <w:r>
              <w:rPr>
                <w:rStyle w:val="9"/>
                <w:rFonts w:hint="default" w:ascii="Times New Roman" w:hAnsi="Times New Roman" w:cs="Times New Roman"/>
                <w:sz w:val="20"/>
                <w:szCs w:val="20"/>
              </w:rPr>
              <w:t>实相符；</w:t>
            </w:r>
            <w:r>
              <w:rPr>
                <w:rStyle w:val="10"/>
                <w:sz w:val="20"/>
                <w:szCs w:val="20"/>
              </w:rPr>
              <w:br w:type="textWrapping"/>
            </w:r>
            <w:r>
              <w:rPr>
                <w:rStyle w:val="9"/>
                <w:rFonts w:hint="default" w:ascii="Times New Roman" w:hAnsi="Times New Roman" w:cs="Times New Roman"/>
                <w:sz w:val="20"/>
                <w:szCs w:val="20"/>
              </w:rPr>
              <w:t>⑤资产是否有偿使用或处置</w:t>
            </w:r>
            <w:bookmarkStart w:id="0" w:name="_GoBack"/>
            <w:bookmarkEnd w:id="0"/>
            <w:r>
              <w:rPr>
                <w:rStyle w:val="9"/>
                <w:rFonts w:hint="default" w:ascii="Times New Roman" w:hAnsi="Times New Roman" w:cs="Times New Roman"/>
                <w:sz w:val="20"/>
                <w:szCs w:val="20"/>
              </w:rPr>
              <w:t>收入及时足额上缴；</w:t>
            </w:r>
            <w:r>
              <w:rPr>
                <w:rStyle w:val="10"/>
                <w:sz w:val="20"/>
                <w:szCs w:val="20"/>
              </w:rPr>
              <w:br w:type="textWrapping"/>
            </w:r>
            <w:r>
              <w:rPr>
                <w:rStyle w:val="9"/>
                <w:rFonts w:hint="default" w:ascii="Times New Roman" w:hAnsi="Times New Roman" w:cs="Times New Roman"/>
                <w:sz w:val="20"/>
                <w:szCs w:val="20"/>
              </w:rPr>
              <w:t>⑥相关资产购置是否履行政府采购手续；</w:t>
            </w:r>
            <w:r>
              <w:rPr>
                <w:rStyle w:val="10"/>
                <w:sz w:val="20"/>
                <w:szCs w:val="20"/>
              </w:rPr>
              <w:br w:type="textWrapping"/>
            </w:r>
            <w:r>
              <w:rPr>
                <w:rStyle w:val="9"/>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①资产配置合理符合标准、保管完整，账务管理规范，定期盘点并有台账，账实相符的，计</w:t>
            </w:r>
            <w:r>
              <w:rPr>
                <w:rStyle w:val="10"/>
                <w:sz w:val="20"/>
                <w:szCs w:val="20"/>
              </w:rPr>
              <w:t>0.5</w:t>
            </w:r>
            <w:r>
              <w:rPr>
                <w:rStyle w:val="9"/>
                <w:rFonts w:hint="default" w:ascii="Times New Roman" w:hAnsi="Times New Roman" w:cs="Times New Roman"/>
                <w:sz w:val="20"/>
                <w:szCs w:val="20"/>
              </w:rPr>
              <w:t>分，发现一例不符，扣</w:t>
            </w:r>
            <w:r>
              <w:rPr>
                <w:rStyle w:val="10"/>
                <w:sz w:val="20"/>
                <w:szCs w:val="20"/>
              </w:rPr>
              <w:t>0.1</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②资产处置规范，计0.5分，发现一例不符，扣0.1分，扣完为止；</w:t>
            </w:r>
            <w:r>
              <w:rPr>
                <w:rStyle w:val="10"/>
                <w:sz w:val="20"/>
                <w:szCs w:val="20"/>
              </w:rPr>
              <w:br w:type="textWrapping"/>
            </w:r>
            <w:r>
              <w:rPr>
                <w:rStyle w:val="9"/>
                <w:rFonts w:hint="default" w:ascii="Times New Roman" w:hAnsi="Times New Roman" w:cs="Times New Roman"/>
                <w:sz w:val="20"/>
                <w:szCs w:val="20"/>
              </w:rPr>
              <w:t>③资产有偿使用或处置收入及时足额上缴，计0.5分，发现未上缴，本项不得分；</w:t>
            </w:r>
            <w:r>
              <w:rPr>
                <w:rStyle w:val="10"/>
                <w:sz w:val="20"/>
                <w:szCs w:val="20"/>
              </w:rPr>
              <w:br w:type="textWrapping"/>
            </w:r>
            <w:r>
              <w:rPr>
                <w:rStyle w:val="9"/>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固定资产</w:t>
            </w:r>
            <w:r>
              <w:rPr>
                <w:rStyle w:val="10"/>
                <w:sz w:val="20"/>
                <w:szCs w:val="20"/>
              </w:rPr>
              <w:br w:type="textWrapping"/>
            </w:r>
            <w:r>
              <w:rPr>
                <w:rStyle w:val="9"/>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实际</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完成</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质量</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89</w:t>
            </w:r>
          </w:p>
        </w:tc>
      </w:tr>
    </w:tbl>
    <w:p/>
    <w:p/>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2020年度长沙市雨花区同升街道办事处部门整体支出预算绩效自评报告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长沙市雨花区同升街道办事处</w:t>
      </w:r>
    </w:p>
    <w:p>
      <w:pPr>
        <w:jc w:val="center"/>
        <w:rPr>
          <w:rFonts w:eastAsia="黑体"/>
          <w:sz w:val="36"/>
          <w:szCs w:val="36"/>
        </w:rPr>
      </w:pPr>
    </w:p>
    <w:p>
      <w:pPr>
        <w:jc w:val="center"/>
        <w:rPr>
          <w:rFonts w:eastAsia="黑体"/>
          <w:sz w:val="32"/>
          <w:szCs w:val="32"/>
        </w:rPr>
      </w:pPr>
    </w:p>
    <w:p>
      <w:pPr>
        <w:rPr>
          <w:rFonts w:eastAsia="黑体"/>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widowControl/>
        <w:spacing w:line="5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ind w:firstLine="675"/>
        <w:rPr>
          <w:rFonts w:eastAsia="仿宋_GB2312"/>
          <w:sz w:val="32"/>
          <w:szCs w:val="32"/>
        </w:rPr>
      </w:pPr>
      <w:r>
        <w:rPr>
          <w:rFonts w:hint="eastAsia" w:ascii="仿宋_GB2312" w:hAnsi="楷体" w:eastAsia="仿宋_GB2312"/>
          <w:sz w:val="32"/>
          <w:szCs w:val="32"/>
        </w:rPr>
        <w:t>同升街道办事处于2012年从长沙市雨花区洞井街道办事处析置成立，属于长沙市雨花区政府派出机关，由区财政拨款，通过区财政国库集中支付系统进行预算支出管理，街道按要求严格执行政单位会计制度，单位基本性质为财政全额拨款单位。街道根据要求设置党政综合办公室、基层党建办公室、城市管理办公室、公共服务办公室、公共安全办公室、政务服务中心、网格化综合服务中心、纪检监察室、财政所、综合行政执法队。单位在编人员48人，转业士官4人，挂编学生1人，雇员42人，其他雇员13人，两保人员9人，八大员67人，巡防队员40人，环卫下移人员32人，共计257人。</w:t>
      </w:r>
    </w:p>
    <w:p>
      <w:pPr>
        <w:pStyle w:val="13"/>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w:t>
      </w:r>
    </w:p>
    <w:p>
      <w:pPr>
        <w:pStyle w:val="13"/>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ind w:firstLine="600" w:firstLineChars="200"/>
        <w:jc w:val="left"/>
        <w:rPr>
          <w:rFonts w:ascii="仿宋_GB2312" w:eastAsia="仿宋_GB2312"/>
          <w:sz w:val="30"/>
          <w:szCs w:val="30"/>
        </w:rPr>
      </w:pPr>
      <w:r>
        <w:rPr>
          <w:rFonts w:hint="eastAsia" w:ascii="仿宋_GB2312" w:eastAsia="仿宋_GB2312"/>
          <w:sz w:val="30"/>
          <w:szCs w:val="30"/>
        </w:rPr>
        <w:t>2020年全年支出5376.53万元，基本支出1956.37万元，占全年总支出36.39%。其中，基本工资、津补贴、社会保险费等工资福利支出1726.12万元，占基本支出的88.23%；办公费、水电费、印刷费等日常行政运行经费136.66万元，占基本支出的6.98%； 对个人和家庭补助93.59万元，占基本支出的4.79%。</w:t>
      </w:r>
    </w:p>
    <w:p>
      <w:pPr>
        <w:ind w:firstLine="600" w:firstLineChars="200"/>
        <w:jc w:val="left"/>
        <w:rPr>
          <w:rFonts w:ascii="仿宋_GB2312" w:hAnsi="仿宋_GB2312" w:eastAsia="仿宋_GB2312" w:cs="仿宋_GB2312"/>
          <w:b/>
          <w:bCs/>
          <w:sz w:val="32"/>
          <w:szCs w:val="32"/>
        </w:rPr>
      </w:pPr>
      <w:r>
        <w:rPr>
          <w:rFonts w:hint="eastAsia" w:ascii="仿宋_GB2312" w:eastAsia="仿宋_GB2312"/>
          <w:sz w:val="30"/>
          <w:szCs w:val="30"/>
        </w:rPr>
        <w:t>2020年三公经费预算5.94万元，实际支出5.87万元，其中，公务用车运行维护费5.87万元；2019年三公经费预算6.6万元，实际支出4.35万元，其中，公务用车运行维护费4.35万元。2020年三公经费较上年增加34.9%，为街道两台公务用车使用年限已久，导致维修费用增加，系合理维修支出。</w:t>
      </w:r>
    </w:p>
    <w:p>
      <w:pPr>
        <w:pStyle w:val="13"/>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pStyle w:val="13"/>
        <w:widowControl/>
        <w:spacing w:line="520" w:lineRule="exact"/>
        <w:ind w:left="640" w:firstLine="0" w:firstLineChars="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2020年项目支出3420.16万元，占全年总支出63.61%。</w:t>
      </w:r>
    </w:p>
    <w:p>
      <w:pPr>
        <w:widowControl/>
        <w:spacing w:line="52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工资福利支出749.89万元，商品和服务支出1019.55万元，对个人和家庭的补助支出196.12万元，资本性支出24.27万元，对企业补助支出16万元，其他支出1414.33万元。按项目分类，宣传教育15.77万元、党建34.9万元、环境整治7万元、精准扶贫11.7万元、汽车消费节33.7万元、6S街区60万元、春季献血7.52万元、武装专项16.8万元、信访专项15.75万元、维稳专项5.27万元、民兵训练2.33万元、食品安全专项10.92万元、财政所13.64万元、综合行政执法大队19.2万元、工资717.15万元、同升湖70.7万元、环卫专项11.85万元、社区工作经费908.97万元、食堂14.55万元、社区提质提档247.98万元、绩效考核奖18.66万元、新购固定资产24.27万元、绿心地区企业补偿431万元、印刷费8.09万元、文明创建125.89万元、节日物资费18.94万元、慰问费29.65万元、数字化整治43.78万元、综合整治184.95万元、拆控违专项12.13万元，垃圾分类专项12.39万元、疫情防控专项161.62万元、群众帮扶8.57万元、三零社区30.72万元、人口普查5.53万元、体检费7.36万元、同升湖办证50万元。</w:t>
      </w:r>
    </w:p>
    <w:p>
      <w:pPr>
        <w:widowControl/>
        <w:spacing w:line="52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专项资金支出实行报账制，资金拨付一律转账结算，杜绝现金支付。资金拨付本着专款专用的原则，严格执行项目资金批准的使用计划和项目批复内容，不准擅自调项、扩项、缩项，更不准拆借、挪用、挤占和随意扣压；资金拨付动向，按不同专项资金的要求执行，不准任意改变；特殊情况，必须请示。严格专项资金初审、审核制度，不准缺项和越程序办理手续，各类专项资金审批程序，以该专项资金审批表所列内容和文件要求为准。专项资金报账要附真实、有效、合法的凭证。加强审计监督，实行单项工程决算审计，整体项目验收审计。对专项资金要定期或不定期进行督查，确保项目资金专款专用，要全程参与项目验收和采购项目接交。对工程类项目专项资金，负责资金结算的工作人员，必须到现场签字认可。</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pStyle w:val="6"/>
        <w:spacing w:line="540" w:lineRule="exact"/>
        <w:ind w:firstLine="640" w:firstLineChars="200"/>
        <w:jc w:val="both"/>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2020年，在区委、区政府的坚强领导下，街道班子紧扣“聚焦发展、奋力攻坚”工作主题，克服新冠肺炎疫情和经济下行带来的诸多挑战，</w:t>
      </w:r>
      <w:r>
        <w:rPr>
          <w:rFonts w:hint="eastAsia" w:ascii="仿宋_GB2312" w:hAnsi="仿宋_GB2312" w:eastAsia="仿宋_GB2312" w:cs="仿宋_GB2312"/>
          <w:color w:val="000000"/>
          <w:kern w:val="2"/>
          <w:sz w:val="32"/>
          <w:szCs w:val="32"/>
        </w:rPr>
        <w:t>取得了优异的成绩。</w:t>
      </w:r>
      <w:r>
        <w:rPr>
          <w:rFonts w:ascii="仿宋_GB2312" w:hAnsi="仿宋_GB2312" w:eastAsia="仿宋_GB2312" w:cs="仿宋_GB2312"/>
          <w:color w:val="000000"/>
          <w:kern w:val="2"/>
          <w:sz w:val="32"/>
          <w:szCs w:val="32"/>
        </w:rPr>
        <w:t>圆满完成社（筹）党组织换届选举，41名新一届社区（筹）党组织委员会书记、副书记、委员高票当选，选优配强了社区班子。</w:t>
      </w:r>
      <w:r>
        <w:rPr>
          <w:rFonts w:hint="eastAsia" w:ascii="仿宋_GB2312" w:hAnsi="仿宋_GB2312" w:eastAsia="仿宋_GB2312" w:cs="仿宋_GB2312"/>
          <w:color w:val="000000"/>
          <w:kern w:val="2"/>
          <w:sz w:val="32"/>
          <w:szCs w:val="32"/>
        </w:rPr>
        <w:t>超额完成“三零”社（筹）创建目标</w:t>
      </w:r>
      <w:r>
        <w:rPr>
          <w:rFonts w:ascii="仿宋_GB2312" w:hAnsi="仿宋_GB2312" w:eastAsia="仿宋_GB2312" w:cs="仿宋_GB2312"/>
          <w:color w:val="000000"/>
          <w:kern w:val="2"/>
          <w:sz w:val="32"/>
          <w:szCs w:val="32"/>
        </w:rPr>
        <w:t>，40个党支部全部实现“五化”达标。经济指标超额完成，其中社会消费品零售总额达54.3亿元，同比增长12.35%；固定资产投资完成26.27亿元；营利性服务业增速6.81%，成功引进世界500强企业1家（北京航天控制仪器研究所）并入驻康庭园。新增月营业收入首次破亿元企业2家，新增特一级建筑业、规模服务业10家。全力开展</w:t>
      </w:r>
      <w:r>
        <w:rPr>
          <w:rFonts w:hint="eastAsia" w:ascii="仿宋_GB2312" w:hAnsi="仿宋_GB2312" w:eastAsia="仿宋_GB2312" w:cs="仿宋_GB2312"/>
          <w:color w:val="000000"/>
          <w:kern w:val="2"/>
          <w:sz w:val="32"/>
          <w:szCs w:val="32"/>
        </w:rPr>
        <w:t>“</w:t>
      </w:r>
      <w:r>
        <w:rPr>
          <w:rFonts w:ascii="仿宋_GB2312" w:hAnsi="仿宋_GB2312" w:eastAsia="仿宋_GB2312" w:cs="仿宋_GB2312"/>
          <w:color w:val="000000"/>
          <w:kern w:val="2"/>
          <w:sz w:val="32"/>
          <w:szCs w:val="32"/>
        </w:rPr>
        <w:t>百日竞赛</w:t>
      </w:r>
      <w:r>
        <w:rPr>
          <w:rFonts w:hint="eastAsia" w:ascii="仿宋_GB2312" w:hAnsi="仿宋_GB2312" w:eastAsia="仿宋_GB2312" w:cs="仿宋_GB2312"/>
          <w:color w:val="000000"/>
          <w:kern w:val="2"/>
          <w:sz w:val="32"/>
          <w:szCs w:val="32"/>
        </w:rPr>
        <w:t>”</w:t>
      </w:r>
      <w:r>
        <w:rPr>
          <w:rFonts w:ascii="仿宋_GB2312" w:hAnsi="仿宋_GB2312" w:eastAsia="仿宋_GB2312" w:cs="仿宋_GB2312"/>
          <w:color w:val="000000"/>
          <w:kern w:val="2"/>
          <w:sz w:val="32"/>
          <w:szCs w:val="32"/>
        </w:rPr>
        <w:t>活动，排名全区一类。成功举办“约惠春天·嗨购雨花”第七届雨花区黄谷路汽车消费节，推出六大主题活动，吸引24家汽车4S店参与，销售总金额15.17亿元，拉动了汽车消费。开展垃圾分类源头提质、设施提标、管理提档、法制提效，全街厨余垃圾进场准确率达95%，可回收物达约6642吨，占生活垃圾总量的19%，分类效果明显。建立常态化疫情防控机制，加强冷冻冷链食品监管，严防输入性疫情，发放告居民书、宣传海报等30万余份，动态摸排出租屋4万余套、酒店宾馆80余家，健康码推广使用达12万余人次，排查大数据近5000人次，集中隔离443人，居家隔离1651人，核酸检测11100余人次，对货物、食品、环境进行核酸检测1300余次，截至目前，全街未出现本地确诊病例。成立同升湖房产办证专班，带着责任、带着感情推进办证工作，圆满完成第一批国有土地上68户房产办证工作，目前在市、区直各部门的支持下，正全力推进第二批305户统征地和划拨地、第三批集体土地上61户房屋办证堵点、难点，力争以最快的速度、最好的效果完成办证任务。</w:t>
      </w:r>
    </w:p>
    <w:p>
      <w:pPr>
        <w:pStyle w:val="13"/>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1、资产管理工作有待加强，部分固定资产使用年限已久，尤其是电脑使用年限已久，因没有处理，还一直在用，严重影响工作效率。</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2、其他应收款和其他应付款较多，需进行往来账的清理，避免长期挂账。</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3、资金存在缺口，因人员超编以及工资待遇机制与区工资预算机制不统一，导致人员资金缺口较大。</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1、加强国有资产管理，确保资产账实相符。建立固定资产动态管理制度，对固定资产购入及报废进行记录，对问题资产进行整改；对于使用已久的电脑等，进行及时报废清理。</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2、及时进行对账，对于三角账及应收应付可以抵销的及时核对清楚，并进行调账处理。</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3、对于工资待遇机制不同的情况与区财政局进行及时沟通；在人员安置时考虑街道实际情况，逐年缩小与区财政预算的差距。</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六、绩效自评结果拟应用和公开情况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单位按区财政局的要求及时进行预算公开和决算公开，在预算公开中同时公开绩效目标申报表，在决算公开中同时公开绩效自评结果，三公经费进行单独公开。</w:t>
      </w:r>
    </w:p>
    <w:p/>
    <w:p/>
    <w:p/>
    <w:p/>
    <w:p>
      <w:pPr>
        <w:widowControl/>
        <w:spacing w:line="600" w:lineRule="exact"/>
        <w:rPr>
          <w:rFonts w:eastAsia="黑体"/>
          <w:kern w:val="0"/>
          <w:sz w:val="32"/>
          <w:szCs w:val="32"/>
        </w:rPr>
      </w:pPr>
    </w:p>
    <w:p>
      <w:pPr>
        <w:widowControl/>
        <w:spacing w:line="600" w:lineRule="exact"/>
        <w:rPr>
          <w:rFonts w:eastAsia="黑体"/>
          <w:kern w:val="0"/>
          <w:sz w:val="32"/>
          <w:szCs w:val="32"/>
        </w:rPr>
      </w:pPr>
    </w:p>
    <w:sectPr>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05329"/>
    <w:rsid w:val="00047806"/>
    <w:rsid w:val="00061427"/>
    <w:rsid w:val="000953C0"/>
    <w:rsid w:val="000C6AF4"/>
    <w:rsid w:val="001607DB"/>
    <w:rsid w:val="00192C04"/>
    <w:rsid w:val="0022406F"/>
    <w:rsid w:val="00267B3D"/>
    <w:rsid w:val="002C5A85"/>
    <w:rsid w:val="00327351"/>
    <w:rsid w:val="0035084A"/>
    <w:rsid w:val="003728F3"/>
    <w:rsid w:val="0039458A"/>
    <w:rsid w:val="003A76B0"/>
    <w:rsid w:val="003B688C"/>
    <w:rsid w:val="00434BED"/>
    <w:rsid w:val="00450A50"/>
    <w:rsid w:val="00451252"/>
    <w:rsid w:val="00482B44"/>
    <w:rsid w:val="004B3B8B"/>
    <w:rsid w:val="004F169E"/>
    <w:rsid w:val="005300C5"/>
    <w:rsid w:val="00534594"/>
    <w:rsid w:val="00573F3B"/>
    <w:rsid w:val="005B51F2"/>
    <w:rsid w:val="005C6AE2"/>
    <w:rsid w:val="0060076F"/>
    <w:rsid w:val="0062326C"/>
    <w:rsid w:val="006845FB"/>
    <w:rsid w:val="006949E9"/>
    <w:rsid w:val="006A3863"/>
    <w:rsid w:val="006B5536"/>
    <w:rsid w:val="007126B6"/>
    <w:rsid w:val="007D761D"/>
    <w:rsid w:val="007F4AEF"/>
    <w:rsid w:val="008165AB"/>
    <w:rsid w:val="00821ABB"/>
    <w:rsid w:val="00845BE0"/>
    <w:rsid w:val="008824FE"/>
    <w:rsid w:val="00883929"/>
    <w:rsid w:val="008C2177"/>
    <w:rsid w:val="008E643C"/>
    <w:rsid w:val="009211FE"/>
    <w:rsid w:val="00966A68"/>
    <w:rsid w:val="00AC698B"/>
    <w:rsid w:val="00BD541E"/>
    <w:rsid w:val="00C004C6"/>
    <w:rsid w:val="00C347B1"/>
    <w:rsid w:val="00C52FD2"/>
    <w:rsid w:val="00C60C3C"/>
    <w:rsid w:val="00C824BF"/>
    <w:rsid w:val="00CF7E9D"/>
    <w:rsid w:val="00D250E6"/>
    <w:rsid w:val="00D3505F"/>
    <w:rsid w:val="00D42A7A"/>
    <w:rsid w:val="00D72C2D"/>
    <w:rsid w:val="00DD0BE7"/>
    <w:rsid w:val="00DD6A30"/>
    <w:rsid w:val="00DE4F97"/>
    <w:rsid w:val="00E2562D"/>
    <w:rsid w:val="00E43CFE"/>
    <w:rsid w:val="00E56306"/>
    <w:rsid w:val="00F0233C"/>
    <w:rsid w:val="00FD2DED"/>
    <w:rsid w:val="00FD43FF"/>
    <w:rsid w:val="2BE10696"/>
    <w:rsid w:val="2F7D712F"/>
    <w:rsid w:val="3BB321DB"/>
    <w:rsid w:val="41E06EDA"/>
    <w:rsid w:val="4ABA2B6C"/>
    <w:rsid w:val="532C3051"/>
    <w:rsid w:val="6094253D"/>
    <w:rsid w:val="64DD09ED"/>
    <w:rsid w:val="67692399"/>
    <w:rsid w:val="6D1D02EE"/>
    <w:rsid w:val="79781D3D"/>
    <w:rsid w:val="7C31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0"/>
    <w:pPr>
      <w:spacing w:line="560" w:lineRule="exact"/>
    </w:pPr>
    <w:rPr>
      <w:rFonts w:eastAsia="仿宋_GB2312"/>
      <w:sz w:val="32"/>
    </w:rPr>
  </w:style>
  <w:style w:type="paragraph" w:styleId="3">
    <w:name w:val="Body Text First Indent"/>
    <w:basedOn w:val="2"/>
    <w:link w:val="16"/>
    <w:qFormat/>
    <w:uiPriority w:val="0"/>
    <w:pPr>
      <w:spacing w:after="120" w:line="240" w:lineRule="auto"/>
      <w:ind w:firstLine="420" w:firstLineChars="100"/>
    </w:pPr>
    <w:rPr>
      <w:rFonts w:eastAsia="宋体"/>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rPr>
  </w:style>
  <w:style w:type="character" w:customStyle="1" w:styleId="9">
    <w:name w:val="font41"/>
    <w:basedOn w:val="8"/>
    <w:qFormat/>
    <w:uiPriority w:val="0"/>
    <w:rPr>
      <w:rFonts w:hint="eastAsia" w:ascii="宋体" w:hAnsi="宋体" w:eastAsia="宋体" w:cs="宋体"/>
      <w:color w:val="000000"/>
      <w:sz w:val="18"/>
      <w:szCs w:val="18"/>
      <w:u w:val="none"/>
    </w:rPr>
  </w:style>
  <w:style w:type="character" w:customStyle="1" w:styleId="10">
    <w:name w:val="font31"/>
    <w:basedOn w:val="8"/>
    <w:qFormat/>
    <w:uiPriority w:val="0"/>
    <w:rPr>
      <w:rFonts w:hint="default" w:ascii="Times New Roman" w:hAnsi="Times New Roman" w:cs="Times New Roman"/>
      <w:color w:val="000000"/>
      <w:sz w:val="18"/>
      <w:szCs w:val="18"/>
      <w:u w:val="none"/>
    </w:rPr>
  </w:style>
  <w:style w:type="character" w:customStyle="1" w:styleId="11">
    <w:name w:val="font21"/>
    <w:basedOn w:val="8"/>
    <w:qFormat/>
    <w:uiPriority w:val="0"/>
    <w:rPr>
      <w:rFonts w:hint="eastAsia" w:ascii="宋体" w:hAnsi="宋体" w:eastAsia="宋体" w:cs="宋体"/>
      <w:color w:val="FF0000"/>
      <w:sz w:val="18"/>
      <w:szCs w:val="18"/>
      <w:u w:val="none"/>
    </w:rPr>
  </w:style>
  <w:style w:type="character" w:customStyle="1" w:styleId="12">
    <w:name w:val="font11"/>
    <w:basedOn w:val="8"/>
    <w:qFormat/>
    <w:uiPriority w:val="0"/>
    <w:rPr>
      <w:rFonts w:hint="default" w:ascii="Times New Roman" w:hAnsi="Times New Roman" w:cs="Times New Roman"/>
      <w:color w:val="FF0000"/>
      <w:sz w:val="18"/>
      <w:szCs w:val="18"/>
      <w:u w:val="none"/>
    </w:rPr>
  </w:style>
  <w:style w:type="paragraph" w:styleId="13">
    <w:name w:val="List Paragraph"/>
    <w:basedOn w:val="1"/>
    <w:qFormat/>
    <w:uiPriority w:val="99"/>
    <w:pPr>
      <w:ind w:firstLine="420" w:firstLineChars="200"/>
    </w:pPr>
    <w:rPr>
      <w:rFonts w:ascii="Calibri" w:hAnsi="Calibri"/>
      <w:szCs w:val="22"/>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2"/>
    <w:qFormat/>
    <w:uiPriority w:val="0"/>
    <w:rPr>
      <w:rFonts w:eastAsia="仿宋_GB2312"/>
      <w:kern w:val="2"/>
      <w:sz w:val="32"/>
      <w:szCs w:val="24"/>
    </w:rPr>
  </w:style>
  <w:style w:type="character" w:customStyle="1" w:styleId="16">
    <w:name w:val="正文首行缩进 Char"/>
    <w:basedOn w:val="15"/>
    <w:link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67059C-C86A-4664-B588-3A4B92E62FE3}">
  <ds:schemaRefs/>
</ds:datastoreItem>
</file>

<file path=docProps/app.xml><?xml version="1.0" encoding="utf-8"?>
<Properties xmlns="http://schemas.openxmlformats.org/officeDocument/2006/extended-properties" xmlns:vt="http://schemas.openxmlformats.org/officeDocument/2006/docPropsVTypes">
  <Template>Normal</Template>
  <Pages>13</Pages>
  <Words>6954</Words>
  <Characters>7834</Characters>
  <Lines>62</Lines>
  <Paragraphs>17</Paragraphs>
  <TotalTime>623</TotalTime>
  <ScaleCrop>false</ScaleCrop>
  <LinksUpToDate>false</LinksUpToDate>
  <CharactersWithSpaces>8057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2023-12-07T03:48:59Z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E81786E40A4A46E0B010051B51ACB782_13</vt:lpwstr>
  </property>
</Properties>
</file>