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5"/>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　</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　</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bl>
    <w:p>
      <w:pPr>
        <w:rPr>
          <w:rFonts w:ascii="黑体" w:eastAsia="黑体"/>
          <w:sz w:val="28"/>
          <w:szCs w:val="28"/>
        </w:rPr>
      </w:pPr>
    </w:p>
    <w:p>
      <w:pPr>
        <w:jc w:val="center"/>
        <w:rPr>
          <w:rFonts w:hint="eastAsia"/>
          <w:b/>
          <w:sz w:val="32"/>
          <w:szCs w:val="32"/>
        </w:rPr>
      </w:pPr>
      <w:r>
        <w:rPr>
          <w:rFonts w:ascii="黑体" w:eastAsia="黑体"/>
          <w:sz w:val="28"/>
          <w:szCs w:val="28"/>
        </w:rPr>
        <w:br w:type="page"/>
      </w: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 xml:space="preserve">部门整体支出绩效报告 </w:t>
      </w:r>
    </w:p>
    <w:p>
      <w:pPr>
        <w:ind w:firstLine="750" w:firstLineChars="250"/>
        <w:rPr>
          <w:sz w:val="30"/>
          <w:szCs w:val="30"/>
        </w:rPr>
      </w:pPr>
    </w:p>
    <w:p>
      <w:pPr>
        <w:ind w:firstLine="753" w:firstLineChars="250"/>
        <w:rPr>
          <w:rFonts w:ascii="仿宋_GB2312" w:eastAsia="仿宋_GB2312"/>
          <w:b/>
          <w:sz w:val="30"/>
          <w:szCs w:val="30"/>
        </w:rPr>
      </w:pPr>
      <w:r>
        <w:rPr>
          <w:rFonts w:hint="eastAsia" w:ascii="仿宋_GB2312" w:eastAsia="仿宋_GB2312"/>
          <w:b/>
          <w:sz w:val="30"/>
          <w:szCs w:val="30"/>
        </w:rPr>
        <w:t xml:space="preserve">一、部门概况 </w:t>
      </w:r>
    </w:p>
    <w:p>
      <w:pPr>
        <w:ind w:firstLine="600" w:firstLineChars="200"/>
        <w:rPr>
          <w:rFonts w:ascii="仿宋_GB2312" w:eastAsia="仿宋_GB2312"/>
          <w:sz w:val="30"/>
          <w:szCs w:val="30"/>
        </w:rPr>
      </w:pPr>
      <w:r>
        <w:rPr>
          <w:rFonts w:hint="eastAsia" w:ascii="仿宋_GB2312" w:eastAsia="仿宋_GB2312"/>
          <w:sz w:val="30"/>
          <w:szCs w:val="30"/>
        </w:rPr>
        <w:t>（一）部门基本情况</w:t>
      </w:r>
    </w:p>
    <w:p>
      <w:pPr>
        <w:pStyle w:val="4"/>
        <w:spacing w:before="0" w:beforeAutospacing="0" w:after="0" w:afterAutospacing="0" w:line="600" w:lineRule="exact"/>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1、贯彻执行党的路线、方针、政策和国家的法律、法规、对居民群众进行思想政治教育和法制教育。</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2、指导、支持社区居民委员会工作，加强社区的组织建设、制度建设。发挥社区居民委员会自我教育、自我管理、自我服务的能力。</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3、加强社区服务建设，组织开展便民利民的社区服务，兴办社会福利事业，做好有关社会保障工作。</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4、开展社会治安综合治理，做好法制宣传教育、人民调解、治安防范工作，保护残疾人、老年人、妇女、青少年儿童的合法权益，维护辖区社会稳定。</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5、协调、指导抓好街道经济工作，促进街道经济发展。</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6、抓好辖区内爱国卫生、环境卫生管理工作，美化、绿化、净化城市环境。</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7、依法做好计划生育工作。</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8、参与检查、督促新建、改建住宅的公共配套设施的落实，指导、监督住宅小区物业管理工作，配合做好暂住人口管理、防火救灾、安全生产等工作。</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9、向区人民政府和有关部门反映居民的意见和要求，处理群众来访事项。</w:t>
      </w:r>
    </w:p>
    <w:p>
      <w:pPr>
        <w:pStyle w:val="4"/>
        <w:spacing w:before="0" w:beforeAutospacing="0" w:after="0" w:afterAutospacing="0" w:line="600" w:lineRule="exact"/>
        <w:textAlignment w:val="baseline"/>
        <w:rPr>
          <w:rFonts w:ascii="仿宋_GB2312" w:eastAsia="仿宋_GB2312"/>
          <w:color w:val="000000"/>
          <w:sz w:val="32"/>
          <w:szCs w:val="32"/>
        </w:rPr>
      </w:pPr>
      <w:r>
        <w:rPr>
          <w:rFonts w:hint="eastAsia" w:ascii="仿宋_GB2312" w:eastAsia="仿宋_GB2312"/>
          <w:color w:val="000000"/>
          <w:sz w:val="32"/>
          <w:szCs w:val="32"/>
        </w:rPr>
        <w:t>　　10、办理区人民政府交办的其他事项。</w:t>
      </w:r>
    </w:p>
    <w:p>
      <w:pPr>
        <w:ind w:firstLine="600" w:firstLineChars="200"/>
        <w:rPr>
          <w:rFonts w:ascii="仿宋_GB2312" w:eastAsia="仿宋_GB2312"/>
          <w:sz w:val="30"/>
          <w:szCs w:val="30"/>
        </w:rPr>
      </w:pPr>
      <w:r>
        <w:rPr>
          <w:rFonts w:hint="eastAsia" w:ascii="仿宋_GB2312" w:eastAsia="仿宋_GB2312"/>
          <w:sz w:val="30"/>
          <w:szCs w:val="30"/>
        </w:rPr>
        <w:t>（二）、机构设置及人员情况</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黑体" w:eastAsia="仿宋_GB2312"/>
          <w:sz w:val="32"/>
          <w:szCs w:val="32"/>
        </w:rPr>
        <w:t>1、</w:t>
      </w:r>
      <w:r>
        <w:rPr>
          <w:rFonts w:hint="eastAsia" w:ascii="仿宋_GB2312" w:hAnsi="宋体" w:eastAsia="仿宋_GB2312" w:cs="宋体"/>
          <w:color w:val="000000"/>
          <w:kern w:val="0"/>
          <w:sz w:val="32"/>
          <w:szCs w:val="32"/>
        </w:rPr>
        <w:t>机构设置情况</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长沙市雨花区井湾子街道办事是长沙市雨花区人民政府的派出机构，为正科级。街道内设机构为：党政综合办公室、基层党建办公室、城市管理办公室（区域建设服务办公室）、公共服务办公室（行政审批服务办公室、优化营商环境服务办公室）、公共安全办公室、纪检监察办公室、财政所。</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街道所属公益一类事业单位：街道政务服务中心（街道党群服务中心）、街道网格化综合服务中心、退役军人服务站。</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2、人员情况</w:t>
      </w:r>
    </w:p>
    <w:p>
      <w:pPr>
        <w:spacing w:line="600" w:lineRule="exact"/>
        <w:ind w:firstLine="640" w:firstLineChars="200"/>
        <w:rPr>
          <w:rFonts w:hint="eastAsia" w:ascii="仿宋_GB2312" w:eastAsia="仿宋_GB2312"/>
          <w:sz w:val="30"/>
          <w:szCs w:val="30"/>
          <w:lang w:eastAsia="zh-CN"/>
        </w:rPr>
      </w:pPr>
      <w:r>
        <w:rPr>
          <w:rFonts w:hint="eastAsia" w:ascii="仿宋_GB2312" w:hAnsi="宋体" w:eastAsia="仿宋_GB2312" w:cs="宋体"/>
          <w:color w:val="000000"/>
          <w:kern w:val="0"/>
          <w:sz w:val="32"/>
          <w:szCs w:val="32"/>
        </w:rPr>
        <w:t>机构编制共有53人，年末实有人数40人，实有编制人数40人，其中行政编制人数16人，事业编制人数23 人，随军家属1人，另退休人员7人，政府雇员43人</w:t>
      </w:r>
      <w:r>
        <w:rPr>
          <w:rFonts w:hint="eastAsia" w:ascii="仿宋_GB2312" w:hAnsi="宋体" w:eastAsia="仿宋_GB2312" w:cs="宋体"/>
          <w:color w:val="000000"/>
          <w:kern w:val="0"/>
          <w:sz w:val="32"/>
          <w:szCs w:val="32"/>
          <w:lang w:eastAsia="zh-CN"/>
        </w:rPr>
        <w:t>。</w:t>
      </w:r>
    </w:p>
    <w:p>
      <w:pPr>
        <w:ind w:firstLine="600" w:firstLineChars="200"/>
        <w:rPr>
          <w:rFonts w:ascii="仿宋_GB2312" w:eastAsia="仿宋_GB2312"/>
          <w:sz w:val="30"/>
          <w:szCs w:val="30"/>
        </w:rPr>
      </w:pPr>
      <w:r>
        <w:rPr>
          <w:rFonts w:hint="eastAsia" w:ascii="仿宋_GB2312" w:eastAsia="仿宋_GB2312"/>
          <w:sz w:val="30"/>
          <w:szCs w:val="30"/>
        </w:rPr>
        <w:t xml:space="preserve">（三）部门整体支出 </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支出预算，2019年年初预算数3370万元，基本支出1755万元，项目支出1615万元，主要用于人员经费、社区经费、城市管理专项、公共服务专项、综合治理专项支出等，无政府性基金预算支出。</w:t>
      </w:r>
    </w:p>
    <w:p>
      <w:pPr>
        <w:ind w:firstLine="602" w:firstLineChars="200"/>
        <w:rPr>
          <w:rFonts w:ascii="仿宋_GB2312" w:eastAsia="仿宋_GB2312"/>
          <w:b/>
          <w:sz w:val="30"/>
          <w:szCs w:val="30"/>
        </w:rPr>
      </w:pPr>
      <w:r>
        <w:rPr>
          <w:rFonts w:hint="eastAsia" w:ascii="仿宋_GB2312" w:eastAsia="仿宋_GB2312"/>
          <w:b/>
          <w:sz w:val="30"/>
          <w:szCs w:val="30"/>
        </w:rPr>
        <w:t xml:space="preserve">二、部门整体支出管理及使用情况 </w:t>
      </w:r>
    </w:p>
    <w:p>
      <w:pPr>
        <w:ind w:firstLine="600" w:firstLineChars="200"/>
        <w:rPr>
          <w:rFonts w:ascii="仿宋_GB2312" w:eastAsia="仿宋_GB2312"/>
          <w:sz w:val="30"/>
          <w:szCs w:val="30"/>
        </w:rPr>
      </w:pPr>
      <w:r>
        <w:rPr>
          <w:rFonts w:hint="eastAsia" w:ascii="仿宋_GB2312" w:eastAsia="仿宋_GB2312"/>
          <w:sz w:val="30"/>
          <w:szCs w:val="30"/>
        </w:rPr>
        <w:t xml:space="preserve">（一）基本支出 </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2019年度基本支出决算数1943.78万，占支出总额17.55%；主要包含2019年度人员工资福利支出、公用办公经费支出、党建支出、工会经费支出等。</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其中“三公”经费支出情况：我单位共有公务用车2台，公务用车运行维护费年初预算6.6万，实际支出4.68万，主要是按照厉行节约原则，减少相关开支。</w:t>
      </w:r>
    </w:p>
    <w:p>
      <w:pPr>
        <w:ind w:firstLine="600" w:firstLineChars="200"/>
        <w:rPr>
          <w:rFonts w:ascii="仿宋_GB2312" w:eastAsia="仿宋_GB2312"/>
          <w:sz w:val="30"/>
          <w:szCs w:val="30"/>
        </w:rPr>
      </w:pPr>
      <w:r>
        <w:rPr>
          <w:rFonts w:hint="eastAsia" w:ascii="仿宋_GB2312" w:eastAsia="仿宋_GB2312"/>
          <w:sz w:val="30"/>
          <w:szCs w:val="30"/>
        </w:rPr>
        <w:t xml:space="preserve">（二）专项支出 </w:t>
      </w:r>
    </w:p>
    <w:p>
      <w:pPr>
        <w:ind w:firstLine="600" w:firstLineChars="200"/>
        <w:rPr>
          <w:rFonts w:ascii="仿宋_GB2312" w:eastAsia="仿宋_GB2312"/>
          <w:sz w:val="30"/>
          <w:szCs w:val="30"/>
        </w:rPr>
      </w:pPr>
      <w:r>
        <w:rPr>
          <w:rFonts w:hint="eastAsia" w:ascii="仿宋_GB2312" w:eastAsia="仿宋_GB2312"/>
          <w:sz w:val="30"/>
          <w:szCs w:val="30"/>
        </w:rPr>
        <w:t>1、专项资金</w:t>
      </w:r>
    </w:p>
    <w:p>
      <w:pPr>
        <w:ind w:firstLine="640" w:firstLineChars="200"/>
        <w:rPr>
          <w:rFonts w:ascii="仿宋_GB2312" w:eastAsia="仿宋_GB2312"/>
          <w:sz w:val="30"/>
          <w:szCs w:val="30"/>
        </w:rPr>
      </w:pPr>
      <w:r>
        <w:rPr>
          <w:rFonts w:hint="eastAsia" w:ascii="仿宋_GB2312" w:hAnsi="黑体" w:eastAsia="仿宋_GB2312"/>
          <w:sz w:val="32"/>
          <w:szCs w:val="32"/>
        </w:rPr>
        <w:t>专项资金支出2634.36万，主要包含城管数字化经费、蓝天保卫战工作经费、社区提质提档工作经费、社区经费、社区惠民资金、巡防队员工作经费、维稳专项经费、垃圾分类经费</w:t>
      </w:r>
      <w:r>
        <w:rPr>
          <w:rFonts w:hint="eastAsia" w:eastAsia="仿宋_GB2312"/>
          <w:sz w:val="32"/>
          <w:szCs w:val="32"/>
        </w:rPr>
        <w:t>。</w:t>
      </w:r>
    </w:p>
    <w:p>
      <w:pPr>
        <w:ind w:firstLine="600" w:firstLineChars="200"/>
        <w:rPr>
          <w:rFonts w:ascii="仿宋_GB2312" w:eastAsia="仿宋_GB2312"/>
          <w:sz w:val="30"/>
          <w:szCs w:val="30"/>
        </w:rPr>
      </w:pPr>
      <w:r>
        <w:rPr>
          <w:rFonts w:hint="eastAsia" w:ascii="仿宋_GB2312" w:eastAsia="仿宋_GB2312"/>
          <w:sz w:val="30"/>
          <w:szCs w:val="30"/>
        </w:rPr>
        <w:t>2、专项资金（主要指财政资金）实际使用情况分析。</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城管数字化费用190万元，实际支出</w:t>
      </w:r>
      <w:r>
        <w:rPr>
          <w:rFonts w:ascii="仿宋_GB2312" w:hAnsi="黑体" w:eastAsia="仿宋_GB2312"/>
          <w:sz w:val="32"/>
          <w:szCs w:val="32"/>
        </w:rPr>
        <w:t>230.68</w:t>
      </w:r>
      <w:r>
        <w:rPr>
          <w:rFonts w:hint="eastAsia" w:ascii="仿宋_GB2312" w:hAnsi="黑体" w:eastAsia="仿宋_GB2312"/>
          <w:sz w:val="32"/>
          <w:szCs w:val="32"/>
        </w:rPr>
        <w:t>万元，无结余。</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蓝天保卫战工作经费60万元，实际到位48万元，实际支出50.07万元，无结余。 </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垃圾分类工作经费107.73万元，实际支出141.96万元，无结余。</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社区提质提档</w:t>
      </w:r>
      <w:bookmarkStart w:id="0" w:name="_GoBack"/>
      <w:bookmarkEnd w:id="0"/>
      <w:r>
        <w:rPr>
          <w:rFonts w:hint="eastAsia" w:ascii="仿宋_GB2312" w:hAnsi="黑体" w:eastAsia="仿宋_GB2312"/>
          <w:sz w:val="32"/>
          <w:szCs w:val="32"/>
        </w:rPr>
        <w:t>经费465万，实际支出354.75万，结余110.25万，用于后续社区提质提档经费支出。</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社区经费945万，实际支出129.34万，因为包含2018年12月人员经费等，结余0元。</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社区惠民资金280万，实际支出280万，结余0元。</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巡防队员工作经费264万，实际支出233.</w:t>
      </w:r>
      <w:r>
        <w:rPr>
          <w:rFonts w:ascii="仿宋_GB2312" w:hAnsi="黑体" w:eastAsia="仿宋_GB2312"/>
          <w:sz w:val="32"/>
          <w:szCs w:val="32"/>
        </w:rPr>
        <w:t>11</w:t>
      </w:r>
      <w:r>
        <w:rPr>
          <w:rFonts w:hint="eastAsia" w:ascii="仿宋_GB2312" w:hAnsi="黑体" w:eastAsia="仿宋_GB2312"/>
          <w:sz w:val="32"/>
          <w:szCs w:val="32"/>
        </w:rPr>
        <w:t>万，结余</w:t>
      </w:r>
      <w:r>
        <w:rPr>
          <w:rFonts w:ascii="仿宋_GB2312" w:hAnsi="黑体" w:eastAsia="仿宋_GB2312"/>
          <w:sz w:val="32"/>
          <w:szCs w:val="32"/>
        </w:rPr>
        <w:t>30.89</w:t>
      </w:r>
      <w:r>
        <w:rPr>
          <w:rFonts w:hint="eastAsia" w:ascii="仿宋_GB2312" w:hAnsi="黑体" w:eastAsia="仿宋_GB2312"/>
          <w:sz w:val="32"/>
          <w:szCs w:val="32"/>
        </w:rPr>
        <w:t>万。</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维稳专项经费158万，实际支出157.48万，结余0.52万元。</w:t>
      </w:r>
    </w:p>
    <w:p>
      <w:pPr>
        <w:ind w:firstLine="600" w:firstLineChars="200"/>
        <w:rPr>
          <w:rFonts w:ascii="仿宋_GB2312" w:eastAsia="仿宋_GB2312"/>
          <w:sz w:val="30"/>
          <w:szCs w:val="30"/>
        </w:rPr>
      </w:pPr>
      <w:r>
        <w:rPr>
          <w:rFonts w:hint="eastAsia" w:ascii="仿宋_GB2312" w:eastAsia="仿宋_GB2312"/>
          <w:sz w:val="30"/>
          <w:szCs w:val="30"/>
        </w:rPr>
        <w:t xml:space="preserve">3、专项资金管理情况分析 </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（1）严格按年初的预算安排支出进度，超预算或计划的费用不予审批和报销。确需追加的经费必须经过党政会集体讨论研究，办理预算经费追加手续后方可报账。</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（2）报销的票据必须真实合法并注明用途，必须有经手人、证明人和财经审批人签字。</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个人借款，必须详细说明原因和还款日期，主管领导确认签字后报批；不允许坐支、挪用现金和白条报账，不得超限额保留现金；严禁私设小金库。不得通过各种方式套取现金，设立账外账；各项收费必须使用财政部门领取的票据。票据由专人负责保管、正确使用、及时缴销。</w:t>
      </w:r>
    </w:p>
    <w:p>
      <w:pPr>
        <w:widowControl/>
        <w:shd w:val="clear" w:color="auto" w:fill="FFFFFF"/>
        <w:spacing w:line="600" w:lineRule="exact"/>
        <w:ind w:firstLine="800" w:firstLineChars="25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（3）专款专用，优先使用。</w:t>
      </w:r>
    </w:p>
    <w:p>
      <w:pPr>
        <w:widowControl/>
        <w:shd w:val="clear" w:color="auto" w:fill="FFFFFF"/>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本单位在2019年专项资金管理上面，严格按照规定使用资金，专款专用，无挤占和挪用专项资金，认真做到按资金按进度使用，未滞留、延压项目资金。在报账过程中，严格按照会计制度执行，报账员逐笔登记专项资金台账，严格按照专款专用、优先使用的原则，按照专用资金进行拨付。对发现问题及时更改、纠正，认真处理，强化管理，有效杜绝财政专项资金在分配使用中违纪现象发生，保证财政资金使用安全。</w:t>
      </w:r>
    </w:p>
    <w:p>
      <w:pPr>
        <w:ind w:firstLine="753" w:firstLineChars="250"/>
        <w:rPr>
          <w:rFonts w:ascii="仿宋_GB2312" w:eastAsia="仿宋_GB2312"/>
          <w:b/>
          <w:sz w:val="30"/>
          <w:szCs w:val="30"/>
        </w:rPr>
      </w:pPr>
      <w:r>
        <w:rPr>
          <w:rFonts w:hint="eastAsia" w:ascii="仿宋_GB2312" w:eastAsia="仿宋_GB2312"/>
          <w:b/>
          <w:sz w:val="30"/>
          <w:szCs w:val="30"/>
        </w:rPr>
        <w:t xml:space="preserve">三、部门专项组织实施情况 </w:t>
      </w:r>
    </w:p>
    <w:p>
      <w:pPr>
        <w:ind w:firstLine="600" w:firstLineChars="200"/>
        <w:rPr>
          <w:rFonts w:eastAsia="仿宋_GB2312"/>
          <w:sz w:val="32"/>
          <w:szCs w:val="32"/>
        </w:rPr>
      </w:pPr>
      <w:r>
        <w:rPr>
          <w:rFonts w:hint="eastAsia" w:ascii="仿宋_GB2312" w:eastAsia="仿宋_GB2312"/>
          <w:sz w:val="30"/>
          <w:szCs w:val="30"/>
        </w:rPr>
        <w:t>（一）专项组织情况分析</w:t>
      </w:r>
    </w:p>
    <w:p>
      <w:pPr>
        <w:spacing w:line="560" w:lineRule="exact"/>
        <w:ind w:firstLine="800" w:firstLineChars="250"/>
        <w:rPr>
          <w:rFonts w:ascii="仿宋_GB2312" w:hAnsi="黑体" w:eastAsia="仿宋_GB2312"/>
          <w:sz w:val="32"/>
          <w:szCs w:val="32"/>
        </w:rPr>
      </w:pPr>
      <w:r>
        <w:rPr>
          <w:rFonts w:hint="eastAsia" w:ascii="仿宋_GB2312" w:hAnsi="黑体" w:eastAsia="仿宋_GB2312"/>
          <w:sz w:val="32"/>
          <w:szCs w:val="32"/>
        </w:rPr>
        <w:t>本单位对财政专项资金的分配、使用和管理按照专款专用、独立核算；统一支付、严格把关；跟踪问效、责任追究的原则进行管理。每个项目严格统一执行项目招投标和竣工验收,按照政府采购规定申报采购计划，实施过程中对资金投向及年度资金调度安排、固定资产购置（建设）实行全过程管理，确保如期完成。严格执行预算，对项目资金管理制定了管理办法，规范资金审批和支付程序，提高资金的使用效率。认真开展专项资金绩效管理，在资金分配中的项目申报、评审和安排，均按规定严格执行，各项重点工程资金安排都保证及时到位，每一笔收支都做到有依据、有凭证、有程序、有责任。建立专项资金内审制度，通过审计，及时发现问题，提出整改意见，增强自纠能力，确保专项资金依法管理与使用。没有发生专项资金的挤占、挪用、截流等违规现象。</w:t>
      </w:r>
    </w:p>
    <w:p>
      <w:pPr>
        <w:ind w:firstLine="600" w:firstLineChars="200"/>
        <w:rPr>
          <w:rFonts w:ascii="仿宋_GB2312" w:eastAsia="仿宋_GB2312"/>
          <w:sz w:val="30"/>
          <w:szCs w:val="30"/>
        </w:rPr>
      </w:pPr>
      <w:r>
        <w:rPr>
          <w:rFonts w:hint="eastAsia" w:ascii="仿宋_GB2312" w:eastAsia="仿宋_GB2312"/>
          <w:sz w:val="30"/>
          <w:szCs w:val="30"/>
        </w:rPr>
        <w:t>（二）专项管理情况分析</w:t>
      </w:r>
    </w:p>
    <w:p>
      <w:pPr>
        <w:spacing w:line="560" w:lineRule="exact"/>
        <w:ind w:firstLine="1120" w:firstLineChars="350"/>
        <w:rPr>
          <w:rFonts w:ascii="仿宋_GB2312" w:hAnsi="黑体" w:eastAsia="仿宋_GB2312"/>
          <w:sz w:val="32"/>
          <w:szCs w:val="32"/>
        </w:rPr>
      </w:pPr>
      <w:r>
        <w:rPr>
          <w:rFonts w:hint="eastAsia" w:ascii="仿宋_GB2312" w:hAnsi="黑体" w:eastAsia="仿宋_GB2312"/>
          <w:sz w:val="32"/>
          <w:szCs w:val="32"/>
        </w:rPr>
        <w:t>一是建立健全了办公费、差旅费、培训费等财务管理制度，强化财务约束，严格控制一般性支出，坚持会议费、“三公”经费等支出预算管理，杜绝无预算、超预算支出行为，并定期开展监督检查，推进厉行节约信息公开；二是提高预算管理水平，强化预算管理意识，增强部门预算编制的科学性；三是推进预算绩效管理，制定了预算绩效管理实施方案，提高财政资金使用效益；四是强化财务规范化管理，抓好内控体系和财务信息系统建设，加强对重点专项资金的监管。</w:t>
      </w:r>
    </w:p>
    <w:p>
      <w:pPr>
        <w:ind w:firstLine="753" w:firstLineChars="250"/>
        <w:rPr>
          <w:rFonts w:ascii="仿宋_GB2312" w:eastAsia="仿宋_GB2312"/>
          <w:b/>
          <w:sz w:val="30"/>
          <w:szCs w:val="30"/>
        </w:rPr>
      </w:pPr>
      <w:r>
        <w:rPr>
          <w:rFonts w:hint="eastAsia" w:ascii="仿宋_GB2312" w:eastAsia="仿宋_GB2312"/>
          <w:b/>
          <w:sz w:val="30"/>
          <w:szCs w:val="30"/>
        </w:rPr>
        <w:t xml:space="preserve">四、资产管理情况 </w:t>
      </w:r>
    </w:p>
    <w:p>
      <w:pPr>
        <w:ind w:firstLine="675" w:firstLineChars="225"/>
        <w:rPr>
          <w:rFonts w:ascii="仿宋_GB2312" w:eastAsia="仿宋_GB2312"/>
          <w:sz w:val="32"/>
          <w:szCs w:val="32"/>
        </w:rPr>
      </w:pPr>
      <w:r>
        <w:rPr>
          <w:rFonts w:hint="eastAsia" w:ascii="仿宋_GB2312" w:eastAsia="仿宋_GB2312"/>
          <w:sz w:val="30"/>
          <w:szCs w:val="30"/>
        </w:rPr>
        <w:t xml:space="preserve"> </w:t>
      </w:r>
      <w:r>
        <w:rPr>
          <w:rFonts w:hint="eastAsia" w:ascii="仿宋_GB2312" w:hAnsi="黑体" w:eastAsia="仿宋_GB2312"/>
          <w:sz w:val="32"/>
          <w:szCs w:val="32"/>
        </w:rPr>
        <w:t>我单位201</w:t>
      </w:r>
      <w:r>
        <w:rPr>
          <w:rFonts w:ascii="仿宋_GB2312" w:hAnsi="黑体" w:eastAsia="仿宋_GB2312"/>
          <w:sz w:val="32"/>
          <w:szCs w:val="32"/>
        </w:rPr>
        <w:t>9</w:t>
      </w:r>
      <w:r>
        <w:rPr>
          <w:rFonts w:hint="eastAsia" w:ascii="仿宋_GB2312" w:hAnsi="黑体" w:eastAsia="仿宋_GB2312"/>
          <w:sz w:val="32"/>
          <w:szCs w:val="32"/>
        </w:rPr>
        <w:t>年新增固定资产总额为：</w:t>
      </w:r>
      <w:r>
        <w:rPr>
          <w:rFonts w:ascii="仿宋_GB2312" w:hAnsi="黑体" w:eastAsia="仿宋_GB2312"/>
          <w:sz w:val="32"/>
          <w:szCs w:val="32"/>
        </w:rPr>
        <w:t>3.71</w:t>
      </w:r>
      <w:r>
        <w:rPr>
          <w:rFonts w:hint="eastAsia" w:ascii="仿宋_GB2312" w:hAnsi="黑体" w:eastAsia="仿宋_GB2312"/>
          <w:sz w:val="32"/>
          <w:szCs w:val="32"/>
        </w:rPr>
        <w:t>万元，其中：复印机、打印机、照相机等通用设备为2.97万元，占比 80.05%；桌椅、文件柜等办公家具0.74万元，占比19.95%。目前，这些办公设备、办公家具均在正常使用，且能满足街道正常行政办公需要，本年度，我单位处置固定资产共计 37.22万元，包括两台公务用车33.94万元，复印机、打印机等3.27万元。</w:t>
      </w:r>
    </w:p>
    <w:p>
      <w:pPr>
        <w:ind w:firstLine="800" w:firstLineChars="250"/>
        <w:jc w:val="left"/>
        <w:rPr>
          <w:rFonts w:ascii="仿宋_GB2312" w:hAnsi="黑体" w:eastAsia="仿宋_GB2312"/>
          <w:sz w:val="32"/>
          <w:szCs w:val="32"/>
        </w:rPr>
      </w:pPr>
      <w:r>
        <w:rPr>
          <w:rFonts w:hint="eastAsia" w:ascii="仿宋_GB2312" w:hAnsi="黑体" w:eastAsia="仿宋_GB2312"/>
          <w:sz w:val="32"/>
          <w:szCs w:val="32"/>
        </w:rPr>
        <w:t>街道对固定资产的管理，一是通过完善机制，强化管控；促进资产配置的规范管理坚持以预算编审为龙头，完善资产管理与预算管理的有机结合，突出公平与保障，加强街道资产配置管理。二是加强清查，规范制度；加强对固定资产清查工作，摸清家底、理清条例、明确责任，持续规范资产划拨、移交、处置等程序，对所涉及的制度进行再完善。三是明确专人，责任上肩；对各大办和社区进行资产管理再培训，制定固定资产管理制度，各大办、社区确定一名固定资产管理员，确保责任到人，确保国有资产不流失</w:t>
      </w:r>
    </w:p>
    <w:p>
      <w:pPr>
        <w:ind w:firstLine="753" w:firstLineChars="250"/>
        <w:rPr>
          <w:rFonts w:eastAsia="黑体"/>
          <w:color w:val="FF0000"/>
          <w:kern w:val="0"/>
          <w:sz w:val="32"/>
          <w:szCs w:val="32"/>
        </w:rPr>
      </w:pPr>
      <w:r>
        <w:rPr>
          <w:rFonts w:hint="eastAsia" w:ascii="仿宋_GB2312" w:eastAsia="仿宋_GB2312"/>
          <w:b/>
          <w:sz w:val="30"/>
          <w:szCs w:val="30"/>
        </w:rPr>
        <w:t>五、部门整体支出绩效情况</w:t>
      </w:r>
      <w:r>
        <w:rPr>
          <w:rFonts w:hint="eastAsia" w:eastAsia="黑体"/>
          <w:color w:val="FF0000"/>
          <w:kern w:val="0"/>
          <w:sz w:val="32"/>
          <w:szCs w:val="32"/>
        </w:rPr>
        <w:t xml:space="preserve"> </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2019年，实现固定资产投资36.6亿元，</w:t>
      </w:r>
      <w:r>
        <w:rPr>
          <w:rFonts w:ascii="仿宋_GB2312" w:hAnsi="黑体" w:eastAsia="仿宋_GB2312"/>
          <w:sz w:val="32"/>
          <w:szCs w:val="32"/>
        </w:rPr>
        <w:t>同比增长60%</w:t>
      </w:r>
      <w:r>
        <w:rPr>
          <w:rFonts w:hint="eastAsia" w:ascii="仿宋_GB2312" w:hAnsi="黑体" w:eastAsia="仿宋_GB2312"/>
          <w:sz w:val="32"/>
          <w:szCs w:val="32"/>
        </w:rPr>
        <w:t>；实现营利性服务业收入</w:t>
      </w:r>
      <w:r>
        <w:rPr>
          <w:rFonts w:ascii="仿宋_GB2312" w:hAnsi="黑体" w:eastAsia="仿宋_GB2312"/>
          <w:sz w:val="32"/>
          <w:szCs w:val="32"/>
        </w:rPr>
        <w:t>6.2亿元，同比增速30.54%</w:t>
      </w:r>
      <w:r>
        <w:rPr>
          <w:rFonts w:hint="eastAsia" w:ascii="仿宋_GB2312" w:hAnsi="黑体" w:eastAsia="仿宋_GB2312"/>
          <w:sz w:val="32"/>
          <w:szCs w:val="32"/>
        </w:rPr>
        <w:t>；实现社会消费品零售总额21.6亿元，同比增长6</w:t>
      </w:r>
      <w:r>
        <w:rPr>
          <w:rFonts w:ascii="仿宋_GB2312" w:hAnsi="黑体" w:eastAsia="仿宋_GB2312"/>
          <w:sz w:val="32"/>
          <w:szCs w:val="32"/>
        </w:rPr>
        <w:t>%</w:t>
      </w:r>
      <w:r>
        <w:rPr>
          <w:rFonts w:hint="eastAsia" w:ascii="仿宋_GB2312" w:hAnsi="黑体" w:eastAsia="仿宋_GB2312"/>
          <w:sz w:val="32"/>
          <w:szCs w:val="32"/>
        </w:rPr>
        <w:t>；实现规模工业总产值18.8亿元，同比增长9</w:t>
      </w:r>
      <w:r>
        <w:rPr>
          <w:rFonts w:ascii="仿宋_GB2312" w:hAnsi="黑体" w:eastAsia="仿宋_GB2312"/>
          <w:sz w:val="32"/>
          <w:szCs w:val="32"/>
        </w:rPr>
        <w:t>%</w:t>
      </w:r>
      <w:r>
        <w:rPr>
          <w:rFonts w:hint="eastAsia" w:ascii="仿宋_GB2312" w:hAnsi="黑体" w:eastAsia="仿宋_GB2312"/>
          <w:sz w:val="32"/>
          <w:szCs w:val="32"/>
        </w:rPr>
        <w:t>。新增房地产规模以上企业1个，社会新增项目29个，其中6000万以上项目3个。实现长仪棚改项目拆除腾地，实现省机械化西地块棚改项目一期签约清零。3月29日，步步高星城天地项目实现开工，预计投入60亿元。抓好“营商环境年”“项目建设年”工作落实，组织党政</w:t>
      </w:r>
      <w:r>
        <w:rPr>
          <w:rFonts w:ascii="仿宋_GB2312" w:hAnsi="黑体" w:eastAsia="仿宋_GB2312"/>
          <w:sz w:val="32"/>
          <w:szCs w:val="32"/>
        </w:rPr>
        <w:t>领导</w:t>
      </w:r>
      <w:r>
        <w:rPr>
          <w:rFonts w:hint="eastAsia" w:ascii="仿宋_GB2312" w:hAnsi="黑体" w:eastAsia="仿宋_GB2312"/>
          <w:sz w:val="32"/>
          <w:szCs w:val="32"/>
        </w:rPr>
        <w:t>分批</w:t>
      </w:r>
      <w:r>
        <w:rPr>
          <w:rFonts w:ascii="仿宋_GB2312" w:hAnsi="黑体" w:eastAsia="仿宋_GB2312"/>
          <w:sz w:val="32"/>
          <w:szCs w:val="32"/>
        </w:rPr>
        <w:t>走访</w:t>
      </w:r>
      <w:r>
        <w:rPr>
          <w:rFonts w:hint="eastAsia" w:ascii="仿宋_GB2312" w:hAnsi="黑体" w:eastAsia="仿宋_GB2312"/>
          <w:sz w:val="32"/>
          <w:szCs w:val="32"/>
        </w:rPr>
        <w:t>辖区内的近200家重点项目、重点企业、四上企业、高新技术企业，解决各类问题30余个。</w:t>
      </w:r>
    </w:p>
    <w:p>
      <w:pPr>
        <w:ind w:firstLine="602" w:firstLineChars="200"/>
        <w:rPr>
          <w:rFonts w:ascii="仿宋_GB2312" w:eastAsia="仿宋_GB2312"/>
          <w:b/>
          <w:sz w:val="30"/>
          <w:szCs w:val="30"/>
        </w:rPr>
      </w:pPr>
      <w:r>
        <w:rPr>
          <w:rFonts w:hint="eastAsia" w:ascii="仿宋_GB2312" w:eastAsia="仿宋_GB2312"/>
          <w:b/>
          <w:sz w:val="30"/>
          <w:szCs w:val="30"/>
        </w:rPr>
        <w:t xml:space="preserve">六、存在的主要问题 </w:t>
      </w:r>
    </w:p>
    <w:p>
      <w:pPr>
        <w:pStyle w:val="4"/>
        <w:shd w:val="clear" w:color="auto" w:fill="FFFFFF"/>
        <w:spacing w:before="0" w:beforeAutospacing="0" w:after="0" w:afterAutospacing="0" w:line="580" w:lineRule="atLeast"/>
        <w:ind w:firstLine="640"/>
        <w:rPr>
          <w:rFonts w:ascii="仿宋_GB2312" w:hAnsi="黑体" w:eastAsia="仿宋_GB2312" w:cs="Times New Roman"/>
          <w:kern w:val="2"/>
          <w:sz w:val="32"/>
          <w:szCs w:val="32"/>
        </w:rPr>
      </w:pPr>
      <w:r>
        <w:rPr>
          <w:rFonts w:ascii="仿宋_GB2312" w:hAnsi="黑体" w:eastAsia="仿宋_GB2312" w:cs="Times New Roman"/>
          <w:kern w:val="2"/>
          <w:sz w:val="32"/>
          <w:szCs w:val="32"/>
        </w:rPr>
        <w:t>2019</w:t>
      </w:r>
      <w:r>
        <w:rPr>
          <w:rFonts w:hint="eastAsia" w:ascii="仿宋_GB2312" w:hAnsi="黑体" w:eastAsia="仿宋_GB2312" w:cs="Times New Roman"/>
          <w:kern w:val="2"/>
          <w:sz w:val="32"/>
          <w:szCs w:val="32"/>
        </w:rPr>
        <w:t xml:space="preserve">年度我街各项工作有序开展,但相关绩效管理制度还有待进一步的管理和完善，固定资产管理效率还有待提高。 </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 xml:space="preserve">七、改进措施和有关建议 </w:t>
      </w:r>
    </w:p>
    <w:p>
      <w:pPr>
        <w:adjustRightInd w:val="0"/>
        <w:snapToGrid w:val="0"/>
        <w:spacing w:line="560" w:lineRule="exact"/>
        <w:ind w:firstLine="800" w:firstLineChars="250"/>
        <w:rPr>
          <w:rFonts w:ascii="仿宋_GB2312" w:hAnsi="黑体" w:eastAsia="仿宋_GB2312"/>
          <w:sz w:val="32"/>
          <w:szCs w:val="32"/>
        </w:rPr>
      </w:pPr>
      <w:r>
        <w:rPr>
          <w:rFonts w:hint="eastAsia" w:ascii="仿宋_GB2312" w:hAnsi="黑体" w:eastAsia="仿宋_GB2312"/>
          <w:sz w:val="32"/>
          <w:szCs w:val="32"/>
        </w:rPr>
        <w:t>2019年度，我街将对全街各项工作进行梳理，对相关经费需求进行全面预算，并根据办公需要购置新的资产，提高资产使用效能，力争做到各项工作均有预算，各项预算开支有节有序。</w:t>
      </w:r>
    </w:p>
    <w:p>
      <w:pPr>
        <w:ind w:firstLine="640" w:firstLineChars="200"/>
        <w:rPr>
          <w:rFonts w:ascii="仿宋_GB2312" w:hAnsi="黑体"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D36E99"/>
    <w:rsid w:val="00493EFC"/>
    <w:rsid w:val="00927EBE"/>
    <w:rsid w:val="00C52885"/>
    <w:rsid w:val="00D36E99"/>
    <w:rsid w:val="00FB652F"/>
    <w:rsid w:val="26893F14"/>
    <w:rsid w:val="5F853D1E"/>
    <w:rsid w:val="7868580F"/>
    <w:rsid w:val="7C99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4648</Words>
  <Characters>4953</Characters>
  <Lines>39</Lines>
  <Paragraphs>11</Paragraphs>
  <TotalTime>2</TotalTime>
  <ScaleCrop>false</ScaleCrop>
  <LinksUpToDate>false</LinksUpToDate>
  <CharactersWithSpaces>5300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2020-09-02T03:02:00Z</dcterms:created>
  <dc:creator>Administrator</dc:creator>
  <cp:lastModifiedBy>Administrator</cp:lastModifiedBy>
  <dcterms:modified xsi:type="dcterms:W3CDTF">2022-04-29T05:43:35Z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0CC88AF04D774552AAB351C0B6406B34</vt:lpwstr>
  </property>
</Properties>
</file>