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1</w:t>
      </w:r>
      <w:r>
        <w:rPr>
          <w:rFonts w:hint="eastAsia" w:eastAsia="方正小标宋简体"/>
          <w:bCs/>
          <w:sz w:val="46"/>
          <w:szCs w:val="46"/>
          <w:lang w:val="en-US" w:eastAsia="zh-CN"/>
        </w:rPr>
        <w:t>9</w:t>
      </w:r>
      <w:r>
        <w:rPr>
          <w:rFonts w:hint="eastAsia" w:eastAsia="方正小标宋简体"/>
          <w:bCs/>
          <w:sz w:val="46"/>
          <w:szCs w:val="46"/>
        </w:rPr>
        <w:t>年度</w:t>
      </w:r>
      <w:r>
        <w:rPr>
          <w:rFonts w:hint="eastAsia" w:eastAsia="方正小标宋简体"/>
          <w:bCs/>
          <w:sz w:val="46"/>
          <w:szCs w:val="46"/>
          <w:lang w:eastAsia="zh-CN"/>
        </w:rPr>
        <w:t>圭塘街道办事处</w:t>
      </w:r>
      <w:r>
        <w:rPr>
          <w:rFonts w:hint="eastAsia" w:eastAsia="方正小标宋简体"/>
          <w:bCs/>
          <w:sz w:val="46"/>
          <w:szCs w:val="46"/>
        </w:rPr>
        <w:t>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圭塘街道办事处</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055</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21</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5"/>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wBefore w:w="0" w:type="dxa"/>
          <w:wAfter w:w="0" w:type="dxa"/>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5"/>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wBefore w:w="0" w:type="dxa"/>
          <w:wAfter w:w="0" w:type="dxa"/>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61</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52</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85%</w:t>
            </w: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2018年决算数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2019年决算数</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64000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66000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65000</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64000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66000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65000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cs="宋体"/>
                <w:kern w:val="0"/>
                <w:sz w:val="24"/>
                <w:lang w:val="en-US" w:eastAsia="zh-CN"/>
              </w:rPr>
              <w:t>43586844.6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15360000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eastAsia="宋体" w:cs="宋体"/>
                <w:kern w:val="0"/>
                <w:sz w:val="24"/>
                <w:lang w:val="en-US" w:eastAsia="zh-CN"/>
              </w:rPr>
              <w:t>45460000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478451.6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705000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4619005.4</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86552.49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340000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367187.54</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335480.61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cs="宋体"/>
                <w:kern w:val="0"/>
                <w:sz w:val="24"/>
                <w:lang w:val="en-US" w:eastAsia="zh-CN"/>
              </w:rPr>
              <w:t>285000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271817.86</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56418.5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cs="宋体"/>
                <w:kern w:val="0"/>
                <w:sz w:val="24"/>
                <w:lang w:val="en-US" w:eastAsia="zh-CN"/>
              </w:rPr>
              <w:t>80000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kern w:val="0"/>
                <w:sz w:val="24"/>
                <w:lang w:val="en-US" w:eastAsia="zh-CN"/>
              </w:rPr>
              <w:t>80000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240549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2780000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3900000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厉行节约不妨从规范“三公经费”开始，压减不必要的公务支出，将更多资金用于民生</w:t>
            </w:r>
            <w:r>
              <w:rPr>
                <w:rFonts w:hint="eastAsia" w:ascii="宋体" w:hAnsi="宋体" w:cs="宋体"/>
                <w:kern w:val="0"/>
                <w:sz w:val="24"/>
                <w:lang w:eastAsia="zh-CN"/>
              </w:rPr>
              <w:t>。</w:t>
            </w: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keepNext w:val="0"/>
        <w:keepLines w:val="0"/>
        <w:pageBreakBefore w:val="0"/>
        <w:kinsoku/>
        <w:wordWrap/>
        <w:overflowPunct/>
        <w:topLinePunct w:val="0"/>
        <w:autoSpaceDE/>
        <w:autoSpaceDN/>
        <w:bidi w:val="0"/>
        <w:spacing w:line="590" w:lineRule="exact"/>
        <w:ind w:firstLine="602" w:firstLineChars="200"/>
        <w:textAlignment w:val="auto"/>
        <w:rPr>
          <w:rFonts w:hint="eastAsia" w:ascii="仿宋_GB2312" w:eastAsia="仿宋_GB2312"/>
          <w:b/>
          <w:sz w:val="30"/>
          <w:szCs w:val="30"/>
        </w:rPr>
      </w:pPr>
      <w:r>
        <w:rPr>
          <w:rFonts w:hint="eastAsia" w:ascii="仿宋_GB2312" w:eastAsia="仿宋_GB2312"/>
          <w:b/>
          <w:sz w:val="30"/>
          <w:szCs w:val="30"/>
        </w:rPr>
        <w:t xml:space="preserve">一、部门概况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4"/>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hint="eastAsia" w:ascii="仿宋_GB2312" w:hAnsi="宋体" w:eastAsia="仿宋_GB2312" w:cs="宋体"/>
          <w:sz w:val="32"/>
          <w:szCs w:val="32"/>
        </w:rPr>
      </w:pPr>
      <w:r>
        <w:rPr>
          <w:rFonts w:ascii="仿宋_GB2312" w:hAnsi="宋体" w:eastAsia="仿宋_GB2312" w:cs="宋体"/>
          <w:sz w:val="32"/>
          <w:szCs w:val="32"/>
        </w:rPr>
        <w:t>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年部门预算收入为一般公共预算拨款收入；支出既包括街道办事处机关基本运行的经费，也包括城市管理、公共服务、综合治理、经济发展等项目经费。</w:t>
      </w:r>
    </w:p>
    <w:p>
      <w:pPr>
        <w:keepNext w:val="0"/>
        <w:keepLines w:val="0"/>
        <w:pageBreakBefore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eastAsia="仿宋_GB2312"/>
          <w:sz w:val="30"/>
          <w:szCs w:val="30"/>
        </w:rPr>
      </w:pPr>
      <w:r>
        <w:rPr>
          <w:rFonts w:hint="eastAsia" w:ascii="仿宋_GB2312" w:hAnsi="宋体" w:eastAsia="仿宋_GB2312" w:cs="宋体"/>
          <w:color w:val="000000"/>
          <w:kern w:val="0"/>
          <w:sz w:val="32"/>
          <w:szCs w:val="32"/>
        </w:rPr>
        <w:t>机构编制共有</w:t>
      </w:r>
      <w:r>
        <w:rPr>
          <w:rFonts w:hint="eastAsia" w:ascii="仿宋_GB2312" w:hAnsi="宋体" w:eastAsia="仿宋_GB2312" w:cs="宋体"/>
          <w:color w:val="000000"/>
          <w:kern w:val="0"/>
          <w:sz w:val="32"/>
          <w:szCs w:val="32"/>
          <w:lang w:val="en-US" w:eastAsia="zh-CN"/>
        </w:rPr>
        <w:t>61</w:t>
      </w:r>
      <w:r>
        <w:rPr>
          <w:rFonts w:hint="eastAsia" w:ascii="仿宋_GB2312" w:hAnsi="宋体" w:eastAsia="仿宋_GB2312" w:cs="宋体"/>
          <w:color w:val="000000"/>
          <w:kern w:val="0"/>
          <w:sz w:val="32"/>
          <w:szCs w:val="32"/>
        </w:rPr>
        <w:t>人，年末实有人数</w:t>
      </w:r>
      <w:r>
        <w:rPr>
          <w:rFonts w:hint="eastAsia" w:ascii="仿宋_GB2312" w:hAnsi="宋体" w:eastAsia="仿宋_GB2312" w:cs="宋体"/>
          <w:color w:val="000000"/>
          <w:kern w:val="0"/>
          <w:sz w:val="32"/>
          <w:szCs w:val="32"/>
          <w:lang w:val="en-US" w:eastAsia="zh-CN"/>
        </w:rPr>
        <w:t>51</w:t>
      </w:r>
      <w:r>
        <w:rPr>
          <w:rFonts w:hint="eastAsia" w:ascii="仿宋_GB2312" w:hAnsi="宋体" w:eastAsia="仿宋_GB2312" w:cs="宋体"/>
          <w:color w:val="000000"/>
          <w:kern w:val="0"/>
          <w:sz w:val="32"/>
          <w:szCs w:val="32"/>
        </w:rPr>
        <w:t>人，编制人数</w:t>
      </w:r>
      <w:r>
        <w:rPr>
          <w:rFonts w:hint="eastAsia" w:ascii="仿宋_GB2312" w:hAnsi="宋体" w:eastAsia="仿宋_GB2312" w:cs="宋体"/>
          <w:color w:val="000000"/>
          <w:kern w:val="0"/>
          <w:sz w:val="32"/>
          <w:szCs w:val="32"/>
          <w:lang w:val="en-US" w:eastAsia="zh-CN"/>
        </w:rPr>
        <w:t>61</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行政编制人数1</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工勤编制</w:t>
      </w:r>
      <w:r>
        <w:rPr>
          <w:rFonts w:hint="eastAsia" w:ascii="仿宋_GB2312" w:hAnsi="宋体" w:eastAsia="仿宋_GB2312" w:cs="宋体"/>
          <w:color w:val="000000"/>
          <w:kern w:val="0"/>
          <w:sz w:val="32"/>
          <w:szCs w:val="32"/>
          <w:lang w:val="en-US" w:eastAsia="zh-CN"/>
        </w:rPr>
        <w:t>1人，人才引进2人，</w:t>
      </w:r>
      <w:r>
        <w:rPr>
          <w:rFonts w:hint="eastAsia" w:ascii="仿宋_GB2312" w:hAnsi="宋体" w:eastAsia="仿宋_GB2312" w:cs="宋体"/>
          <w:color w:val="000000"/>
          <w:kern w:val="0"/>
          <w:sz w:val="32"/>
          <w:szCs w:val="32"/>
        </w:rPr>
        <w:t>事业编制人数</w:t>
      </w:r>
      <w:r>
        <w:rPr>
          <w:rFonts w:hint="eastAsia" w:ascii="仿宋_GB2312" w:hAnsi="宋体" w:eastAsia="仿宋_GB2312" w:cs="宋体"/>
          <w:color w:val="000000"/>
          <w:kern w:val="0"/>
          <w:sz w:val="32"/>
          <w:szCs w:val="32"/>
          <w:lang w:val="en-US" w:eastAsia="zh-CN"/>
        </w:rPr>
        <w:t>36</w:t>
      </w:r>
      <w:r>
        <w:rPr>
          <w:rFonts w:hint="eastAsia" w:ascii="仿宋_GB2312" w:hAnsi="宋体" w:eastAsia="仿宋_GB2312" w:cs="宋体"/>
          <w:color w:val="000000"/>
          <w:kern w:val="0"/>
          <w:sz w:val="32"/>
          <w:szCs w:val="32"/>
        </w:rPr>
        <w:t>人，退休人员</w:t>
      </w: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人，政府雇员</w:t>
      </w:r>
      <w:r>
        <w:rPr>
          <w:rFonts w:hint="eastAsia" w:ascii="仿宋_GB2312" w:hAnsi="宋体" w:eastAsia="仿宋_GB2312" w:cs="宋体"/>
          <w:color w:val="000000"/>
          <w:kern w:val="0"/>
          <w:sz w:val="32"/>
          <w:szCs w:val="32"/>
          <w:lang w:val="en-US" w:eastAsia="zh-CN"/>
        </w:rPr>
        <w:t>38</w:t>
      </w:r>
      <w:r>
        <w:rPr>
          <w:rFonts w:hint="eastAsia" w:ascii="仿宋_GB2312" w:hAnsi="宋体" w:eastAsia="仿宋_GB2312" w:cs="宋体"/>
          <w:color w:val="000000"/>
          <w:kern w:val="0"/>
          <w:sz w:val="32"/>
          <w:szCs w:val="32"/>
        </w:rPr>
        <w:t>人，根据公车运行的相关要求，共有公务用车2辆。</w:t>
      </w:r>
    </w:p>
    <w:p>
      <w:pPr>
        <w:numPr>
          <w:ilvl w:val="0"/>
          <w:numId w:val="1"/>
        </w:numPr>
        <w:ind w:firstLine="600" w:firstLineChars="200"/>
        <w:rPr>
          <w:rFonts w:hint="eastAsia" w:ascii="仿宋_GB2312" w:eastAsia="仿宋_GB2312"/>
          <w:sz w:val="30"/>
          <w:szCs w:val="30"/>
        </w:rPr>
      </w:pPr>
      <w:r>
        <w:rPr>
          <w:rFonts w:hint="eastAsia" w:ascii="仿宋_GB2312" w:eastAsia="仿宋_GB2312"/>
          <w:sz w:val="30"/>
          <w:szCs w:val="30"/>
        </w:rPr>
        <w:t xml:space="preserve">部门整体支出规模、使用方向和主要内容、涉及 范围等。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2019年度，本单位年度决算收入为7446</w:t>
      </w:r>
      <w:r>
        <w:rPr>
          <w:rFonts w:hint="default" w:ascii="仿宋_GB2312" w:hAnsi="宋体" w:eastAsia="仿宋_GB2312" w:cs="宋体"/>
          <w:color w:val="000000"/>
          <w:kern w:val="0"/>
          <w:sz w:val="32"/>
          <w:szCs w:val="32"/>
          <w:lang w:val="en-US" w:eastAsia="zh-CN"/>
        </w:rPr>
        <w:t>万元，其中财政拨款（补助）收入</w:t>
      </w:r>
      <w:r>
        <w:rPr>
          <w:rFonts w:hint="eastAsia" w:ascii="仿宋_GB2312" w:hAnsi="宋体" w:eastAsia="仿宋_GB2312" w:cs="宋体"/>
          <w:color w:val="000000"/>
          <w:kern w:val="0"/>
          <w:sz w:val="32"/>
          <w:szCs w:val="32"/>
          <w:lang w:val="en-US" w:eastAsia="zh-CN"/>
        </w:rPr>
        <w:t>7446</w:t>
      </w:r>
      <w:r>
        <w:rPr>
          <w:rFonts w:hint="default" w:ascii="仿宋_GB2312" w:hAnsi="宋体" w:eastAsia="仿宋_GB2312" w:cs="宋体"/>
          <w:color w:val="000000"/>
          <w:kern w:val="0"/>
          <w:sz w:val="32"/>
          <w:szCs w:val="32"/>
          <w:lang w:val="en-US" w:eastAsia="zh-CN"/>
        </w:rPr>
        <w:t>万元，</w:t>
      </w:r>
      <w:r>
        <w:rPr>
          <w:rFonts w:hint="eastAsia" w:ascii="仿宋_GB2312" w:hAnsi="宋体" w:eastAsia="仿宋_GB2312" w:cs="宋体"/>
          <w:color w:val="000000"/>
          <w:kern w:val="0"/>
          <w:sz w:val="32"/>
          <w:szCs w:val="32"/>
          <w:lang w:val="en-US" w:eastAsia="zh-CN"/>
        </w:rPr>
        <w:t>决算</w:t>
      </w:r>
      <w:r>
        <w:rPr>
          <w:rFonts w:hint="default" w:ascii="仿宋_GB2312" w:hAnsi="宋体" w:eastAsia="仿宋_GB2312" w:cs="宋体"/>
          <w:color w:val="000000"/>
          <w:kern w:val="0"/>
          <w:sz w:val="32"/>
          <w:szCs w:val="32"/>
          <w:lang w:val="en-US" w:eastAsia="zh-CN"/>
        </w:rPr>
        <w:t>支出为</w:t>
      </w:r>
      <w:r>
        <w:rPr>
          <w:rFonts w:hint="eastAsia" w:ascii="仿宋_GB2312" w:hAnsi="宋体" w:eastAsia="仿宋_GB2312" w:cs="宋体"/>
          <w:color w:val="000000"/>
          <w:kern w:val="0"/>
          <w:sz w:val="32"/>
          <w:szCs w:val="32"/>
          <w:lang w:val="en-US" w:eastAsia="zh-CN"/>
        </w:rPr>
        <w:t>6737.9</w:t>
      </w:r>
      <w:r>
        <w:rPr>
          <w:rFonts w:hint="default" w:ascii="仿宋_GB2312" w:hAnsi="宋体" w:eastAsia="仿宋_GB2312" w:cs="宋体"/>
          <w:color w:val="000000"/>
          <w:kern w:val="0"/>
          <w:sz w:val="32"/>
          <w:szCs w:val="32"/>
          <w:lang w:val="en-US" w:eastAsia="zh-CN"/>
        </w:rPr>
        <w:t>万元，其中基本支出为</w:t>
      </w:r>
      <w:r>
        <w:rPr>
          <w:rFonts w:hint="eastAsia" w:ascii="仿宋_GB2312" w:hAnsi="宋体" w:eastAsia="仿宋_GB2312" w:cs="宋体"/>
          <w:color w:val="000000"/>
          <w:kern w:val="0"/>
          <w:sz w:val="32"/>
          <w:szCs w:val="32"/>
          <w:lang w:val="en-US" w:eastAsia="zh-CN"/>
        </w:rPr>
        <w:t>2900</w:t>
      </w:r>
      <w:r>
        <w:rPr>
          <w:rFonts w:hint="default" w:ascii="仿宋_GB2312" w:hAnsi="宋体" w:eastAsia="仿宋_GB2312" w:cs="宋体"/>
          <w:color w:val="000000"/>
          <w:kern w:val="0"/>
          <w:sz w:val="32"/>
          <w:szCs w:val="32"/>
          <w:lang w:val="en-US" w:eastAsia="zh-CN"/>
        </w:rPr>
        <w:t>万元，项目支出为</w:t>
      </w:r>
      <w:r>
        <w:rPr>
          <w:rFonts w:hint="eastAsia" w:ascii="仿宋_GB2312" w:hAnsi="宋体" w:eastAsia="仿宋_GB2312" w:cs="宋体"/>
          <w:color w:val="000000"/>
          <w:kern w:val="0"/>
          <w:sz w:val="32"/>
          <w:szCs w:val="32"/>
          <w:lang w:val="en-US" w:eastAsia="zh-CN"/>
        </w:rPr>
        <w:t>4546</w:t>
      </w:r>
      <w:r>
        <w:rPr>
          <w:rFonts w:hint="default" w:ascii="仿宋_GB2312" w:hAnsi="宋体" w:eastAsia="仿宋_GB2312" w:cs="宋体"/>
          <w:color w:val="000000"/>
          <w:kern w:val="0"/>
          <w:sz w:val="32"/>
          <w:szCs w:val="32"/>
          <w:lang w:val="en-US" w:eastAsia="zh-CN"/>
        </w:rPr>
        <w:t>万元。主要内容分为四大部分：（1）用于落实区委、区政府确定的重大事项工作，推动区域经济，扶持产业发展等工作开支；（</w:t>
      </w:r>
      <w:r>
        <w:rPr>
          <w:rFonts w:hint="eastAsia" w:ascii="仿宋_GB2312" w:hAnsi="宋体" w:eastAsia="仿宋_GB2312" w:cs="宋体"/>
          <w:color w:val="000000"/>
          <w:kern w:val="0"/>
          <w:sz w:val="32"/>
          <w:szCs w:val="32"/>
          <w:lang w:val="en-US" w:eastAsia="zh-CN"/>
        </w:rPr>
        <w:t>2</w:t>
      </w:r>
      <w:r>
        <w:rPr>
          <w:rFonts w:hint="default" w:ascii="仿宋_GB2312" w:hAnsi="宋体" w:eastAsia="仿宋_GB2312" w:cs="宋体"/>
          <w:color w:val="000000"/>
          <w:kern w:val="0"/>
          <w:sz w:val="32"/>
          <w:szCs w:val="32"/>
          <w:lang w:val="en-US" w:eastAsia="zh-CN"/>
        </w:rPr>
        <w:t>）安排重大项目前期费、重点工程工作开支、项目招投标工作开支；（</w:t>
      </w:r>
      <w:r>
        <w:rPr>
          <w:rFonts w:hint="eastAsia" w:ascii="仿宋_GB2312" w:hAnsi="宋体" w:eastAsia="仿宋_GB2312" w:cs="宋体"/>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）全区两型社会建设综合配套改革工作，组织协调全区能源战略、开发、项目建设等工作开支；（</w:t>
      </w:r>
      <w:r>
        <w:rPr>
          <w:rFonts w:hint="eastAsia" w:ascii="仿宋_GB2312" w:hAnsi="宋体" w:eastAsia="仿宋_GB2312" w:cs="宋体"/>
          <w:color w:val="000000"/>
          <w:kern w:val="0"/>
          <w:sz w:val="32"/>
          <w:szCs w:val="32"/>
          <w:lang w:val="en-US" w:eastAsia="zh-CN"/>
        </w:rPr>
        <w:t>4</w:t>
      </w:r>
      <w:r>
        <w:rPr>
          <w:rFonts w:hint="default" w:ascii="仿宋_GB2312" w:hAnsi="宋体" w:eastAsia="仿宋_GB2312" w:cs="宋体"/>
          <w:color w:val="000000"/>
          <w:kern w:val="0"/>
          <w:sz w:val="32"/>
          <w:szCs w:val="32"/>
          <w:lang w:val="en-US" w:eastAsia="zh-CN"/>
        </w:rPr>
        <w:t>）安排社会民生等应急性民生项目工作开支。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0"/>
          <w:szCs w:val="30"/>
        </w:rPr>
      </w:pPr>
      <w:r>
        <w:rPr>
          <w:rFonts w:hint="eastAsia" w:ascii="仿宋_GB2312" w:hAnsi="宋体" w:eastAsia="仿宋_GB2312" w:cs="宋体"/>
          <w:color w:val="000000"/>
          <w:kern w:val="0"/>
          <w:sz w:val="32"/>
          <w:szCs w:val="32"/>
          <w:lang w:val="en-US" w:eastAsia="zh-CN"/>
        </w:rPr>
        <w:t>2019年结余320万，分别为其他政府办公厅及相关机构事务1.3万、其他宣传事务3.1万、其他国防结余15万、特别业务56万，其他公共安全结余127万，其他企业改革发展补助结余75.5万，其他专业公共卫生机构结余10.5，城管执法结余4.8万，其他城乡社区结余27万。</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2019年本单位基本支出2900万，其中：人员经费2700万，日常公用经费200万，主要保障本单位机构正常运转、完成日常工作任务而发生的各项支出，包括用于在职和退休人员基本工资、津补贴等人员经费及办公费、印刷费、水电费、培训费、会议费、党建经费、工会经费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2、“三公”经费使用情况。加大对“三公”经费管理，推进厉行节约反对浪费工作的制度化、规范化、程序化，确保“三公”经费各项要求落到实处。2019</w:t>
      </w:r>
      <w:r>
        <w:rPr>
          <w:rFonts w:hint="default" w:ascii="仿宋_GB2312" w:eastAsia="仿宋_GB2312"/>
          <w:sz w:val="30"/>
          <w:szCs w:val="30"/>
          <w:lang w:val="en-US" w:eastAsia="zh-CN"/>
        </w:rPr>
        <w:t>年度“三公”经费预算安排为</w:t>
      </w:r>
      <w:r>
        <w:rPr>
          <w:rFonts w:hint="eastAsia" w:ascii="仿宋_GB2312" w:eastAsia="仿宋_GB2312"/>
          <w:sz w:val="30"/>
          <w:szCs w:val="30"/>
          <w:lang w:val="en-US" w:eastAsia="zh-CN"/>
        </w:rPr>
        <w:t>6.6</w:t>
      </w:r>
      <w:r>
        <w:rPr>
          <w:rFonts w:hint="default" w:ascii="仿宋_GB2312" w:eastAsia="仿宋_GB2312"/>
          <w:sz w:val="30"/>
          <w:szCs w:val="30"/>
          <w:lang w:val="en-US" w:eastAsia="zh-CN"/>
        </w:rPr>
        <w:t>万元，实际支出</w:t>
      </w:r>
      <w:r>
        <w:rPr>
          <w:rFonts w:hint="eastAsia" w:ascii="仿宋_GB2312" w:eastAsia="仿宋_GB2312"/>
          <w:sz w:val="30"/>
          <w:szCs w:val="30"/>
          <w:lang w:val="en-US" w:eastAsia="zh-CN"/>
        </w:rPr>
        <w:t>6.5</w:t>
      </w:r>
      <w:r>
        <w:rPr>
          <w:rFonts w:hint="default" w:ascii="仿宋_GB2312" w:eastAsia="仿宋_GB2312"/>
          <w:sz w:val="30"/>
          <w:szCs w:val="30"/>
          <w:lang w:val="en-US" w:eastAsia="zh-CN"/>
        </w:rPr>
        <w:t>万元，其中：公务接待费</w:t>
      </w:r>
      <w:r>
        <w:rPr>
          <w:rFonts w:hint="eastAsia" w:ascii="仿宋_GB2312" w:eastAsia="仿宋_GB2312"/>
          <w:sz w:val="30"/>
          <w:szCs w:val="30"/>
          <w:lang w:val="en-US" w:eastAsia="zh-CN"/>
        </w:rPr>
        <w:t>无</w:t>
      </w:r>
      <w:r>
        <w:rPr>
          <w:rFonts w:hint="default" w:ascii="仿宋_GB2312" w:eastAsia="仿宋_GB2312"/>
          <w:sz w:val="30"/>
          <w:szCs w:val="30"/>
          <w:lang w:val="en-US" w:eastAsia="zh-CN"/>
        </w:rPr>
        <w:t>；公务用车运行维护费</w:t>
      </w:r>
      <w:r>
        <w:rPr>
          <w:rFonts w:hint="eastAsia" w:ascii="仿宋_GB2312" w:eastAsia="仿宋_GB2312"/>
          <w:sz w:val="30"/>
          <w:szCs w:val="30"/>
          <w:lang w:val="en-US" w:eastAsia="zh-CN"/>
        </w:rPr>
        <w:t>6.5</w:t>
      </w:r>
      <w:r>
        <w:rPr>
          <w:rFonts w:hint="default" w:ascii="仿宋_GB2312" w:eastAsia="仿宋_GB2312"/>
          <w:sz w:val="30"/>
          <w:szCs w:val="30"/>
          <w:lang w:val="en-US" w:eastAsia="zh-CN"/>
        </w:rPr>
        <w:t>万元，主要用于公务用车燃油、维修、保险，洗车等方面支出；无因公出（国）境费，比去年度决算数</w:t>
      </w:r>
      <w:r>
        <w:rPr>
          <w:rFonts w:hint="eastAsia" w:ascii="仿宋_GB2312" w:eastAsia="仿宋_GB2312"/>
          <w:sz w:val="30"/>
          <w:szCs w:val="30"/>
          <w:lang w:val="en-US" w:eastAsia="zh-CN"/>
        </w:rPr>
        <w:t>6.2</w:t>
      </w:r>
      <w:r>
        <w:rPr>
          <w:rFonts w:hint="default" w:ascii="仿宋_GB2312" w:eastAsia="仿宋_GB2312"/>
          <w:sz w:val="30"/>
          <w:szCs w:val="30"/>
          <w:lang w:val="en-US" w:eastAsia="zh-CN"/>
        </w:rPr>
        <w:t>万元</w:t>
      </w:r>
      <w:r>
        <w:rPr>
          <w:rFonts w:hint="eastAsia" w:ascii="仿宋_GB2312" w:eastAsia="仿宋_GB2312"/>
          <w:sz w:val="30"/>
          <w:szCs w:val="30"/>
          <w:lang w:val="en-US" w:eastAsia="zh-CN"/>
        </w:rPr>
        <w:t>增加3万</w:t>
      </w:r>
      <w:r>
        <w:rPr>
          <w:rFonts w:hint="default" w:ascii="仿宋_GB2312" w:eastAsia="仿宋_GB2312"/>
          <w:sz w:val="30"/>
          <w:szCs w:val="30"/>
          <w:lang w:val="en-US" w:eastAsia="zh-CN"/>
        </w:rPr>
        <w:t>。主要原因为公务用车运行费支出决算增加</w:t>
      </w:r>
      <w:r>
        <w:rPr>
          <w:rFonts w:hint="eastAsia" w:ascii="仿宋_GB2312" w:eastAsia="仿宋_GB2312"/>
          <w:sz w:val="30"/>
          <w:szCs w:val="30"/>
          <w:lang w:val="en-US" w:eastAsia="zh-CN"/>
        </w:rPr>
        <w:t>3万</w:t>
      </w:r>
      <w:r>
        <w:rPr>
          <w:rFonts w:hint="default" w:ascii="仿宋_GB2312" w:eastAsia="仿宋_GB2312"/>
          <w:sz w:val="30"/>
          <w:szCs w:val="30"/>
          <w:lang w:val="en-US" w:eastAsia="zh-CN"/>
        </w:rPr>
        <w:t>元</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（二）专项支出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1、2019年本单位预算安排专项资金7446万（包含一般公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共服务3431万、公共安全385万、社会保障和就业2711万、卫生健康62.5万、城乡社区837万、农林水5万，实际到位资金7446万，实际支出资金7446万。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2、实际支出资金7446万，其中，一般公共服务支出3431万，用于人员基本支出、军队转业干部安置支出；公共安全385万，用于治安管理等费用；社会保障和就业支出2711万，用于两保人员、巡防队员基本开支、下拨社区经费等费用；卫生健康费用62.5万，用于基本公共卫生服务支出62.5万；城乡社区837万，用于社区专项经费和城管经费开支837万；农林水支出5万，用于其他农业支出5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3、专项资金管理情况分析，主要包括管理制度、办法 的制订及执行情况。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严格按年初的预算安排支出进度，超预算或计划的费用不予审批和报销。确需追加的经费必须经过党政会集体讨论研究，办理预算经费追加手续后方可报账。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报销的票据必须合法并注明用途，必须有经手人、证明人和财经审批人签字。个人借款，必须详细说明原因和还款日期，主管领导确认签字后报批</w:t>
      </w:r>
      <w:r>
        <w:rPr>
          <w:rFonts w:hint="eastAsia" w:ascii="仿宋_GB2312" w:eastAsia="仿宋_GB2312"/>
          <w:sz w:val="30"/>
          <w:szCs w:val="30"/>
          <w:lang w:eastAsia="zh-CN"/>
        </w:rPr>
        <w:t>；</w:t>
      </w:r>
      <w:r>
        <w:rPr>
          <w:rFonts w:hint="eastAsia" w:ascii="仿宋_GB2312" w:eastAsia="仿宋_GB2312"/>
          <w:sz w:val="30"/>
          <w:szCs w:val="30"/>
        </w:rPr>
        <w:t>不允许坐支、挪用现金和白条报账，不得超限额保留现金</w:t>
      </w:r>
      <w:r>
        <w:rPr>
          <w:rFonts w:hint="eastAsia" w:ascii="仿宋_GB2312" w:eastAsia="仿宋_GB2312"/>
          <w:sz w:val="30"/>
          <w:szCs w:val="30"/>
          <w:lang w:eastAsia="zh-CN"/>
        </w:rPr>
        <w:t>；</w:t>
      </w:r>
      <w:r>
        <w:rPr>
          <w:rFonts w:hint="eastAsia" w:ascii="仿宋_GB2312" w:eastAsia="仿宋_GB2312"/>
          <w:sz w:val="30"/>
          <w:szCs w:val="30"/>
        </w:rPr>
        <w:t>严禁私设小金库。不得通过各种方式套取现金，设立账外账</w:t>
      </w:r>
      <w:r>
        <w:rPr>
          <w:rFonts w:hint="eastAsia" w:ascii="仿宋_GB2312" w:eastAsia="仿宋_GB2312"/>
          <w:sz w:val="30"/>
          <w:szCs w:val="30"/>
          <w:lang w:eastAsia="zh-CN"/>
        </w:rPr>
        <w:t>；</w:t>
      </w:r>
      <w:r>
        <w:rPr>
          <w:rFonts w:hint="eastAsia" w:ascii="仿宋_GB2312" w:eastAsia="仿宋_GB2312"/>
          <w:sz w:val="30"/>
          <w:szCs w:val="30"/>
        </w:rPr>
        <w:t>各项收费必须使用财政部门领取的票据。票据由专人负责保管、正确使用、及时缴销。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20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严格管理，专款专用。本单位在</w:t>
      </w:r>
      <w:r>
        <w:rPr>
          <w:rFonts w:hint="eastAsia" w:ascii="仿宋_GB2312" w:eastAsia="仿宋_GB2312"/>
          <w:sz w:val="30"/>
          <w:szCs w:val="30"/>
          <w:lang w:val="en-US" w:eastAsia="zh-CN"/>
        </w:rPr>
        <w:t>2019年专项资金管理上面，严格按照规定使用资金，专款专用，无挤占和挪用专项资金，认真做到按资金按进度发放，未滞留、延压项目资金。在报账过程中，严格按照会计制度执行，报账员把报账的类容金额全部登记造册，对项目资金，严格按照专款专用的原则，按照专用资金进行拨付。对发现问题及时更改、纠正，认真处理，强化管理，有效杜绝财政专项资金在分配使用中违纪现象发生，保证财政资金使用安全。</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（一）专项组织情况分析，主要包括项目招投标、调整、 竣工验收等情况。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本单位对财政专项资金的分配、使用和管理按照专款专用、独立核算；统一支付、严格把关；跟踪问效、责任追究的原则进行管理。每个项目严格统一执行项目招投标和竣工验收,</w:t>
      </w:r>
      <w:r>
        <w:rPr>
          <w:rFonts w:hint="default" w:ascii="仿宋_GB2312" w:eastAsia="仿宋_GB2312"/>
          <w:sz w:val="30"/>
          <w:szCs w:val="30"/>
          <w:lang w:val="en-US" w:eastAsia="zh-CN"/>
        </w:rPr>
        <w:t>按照政府采购规定申报采购计划，实施过程中对资金投向及年度资金调度安排、固定资产购置（建设）实行全过程管理，确保如期完成</w:t>
      </w:r>
      <w:r>
        <w:rPr>
          <w:rFonts w:hint="eastAsia" w:ascii="仿宋_GB2312" w:eastAsia="仿宋_GB2312"/>
          <w:sz w:val="30"/>
          <w:szCs w:val="30"/>
          <w:lang w:val="en-US" w:eastAsia="zh-CN"/>
        </w:rPr>
        <w:t>。</w:t>
      </w:r>
      <w:r>
        <w:rPr>
          <w:rFonts w:hint="default" w:ascii="仿宋_GB2312" w:eastAsia="仿宋_GB2312"/>
          <w:sz w:val="30"/>
          <w:szCs w:val="30"/>
          <w:lang w:val="en-US" w:eastAsia="zh-CN"/>
        </w:rPr>
        <w:t>严格执行预算，对项目资金管理制定了管理办法，规范资金审批和支付程序，提高资金的使用效率。认真开展专项资金绩效管理，在资金分配中的项目申报、评审和安排，均按规定严格执行，各项重点工程资金安排都保证及时到位，每一笔收支都做到有依据、有凭证、有程序、有责任。建立专项资金内审制度，通过审计，及时发现问题，提出整改意见，增强自纠能力，确保专项资金依法管理与使用。没有发生专项资金的挤占、挪用、截流等违规现象</w:t>
      </w:r>
      <w:r>
        <w:rPr>
          <w:rFonts w:hint="eastAsia" w:ascii="仿宋_GB2312" w:eastAsia="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 xml:space="preserve">专项管理情况分析，主要包括项目管理制度建设、 日常检查监督管理等情况。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default" w:ascii="仿宋_GB2312" w:eastAsia="仿宋_GB2312"/>
          <w:sz w:val="30"/>
          <w:szCs w:val="30"/>
          <w:lang w:val="en-US" w:eastAsia="zh-CN"/>
        </w:rPr>
        <w:t>一是建立健全了办公费、差旅费、培训费等财务管理制度，强化财务约束，严格控制一般性支出，坚持会议费、“三公”经费等支出预算管理，杜绝无预算、超预算支出行为，并定期开展监督检查，推进厉行节约信息公开；二是提高预算管理水平，强化预算管理意识，增强部门预算编制的科学性；三是推进预算绩效管理，制定了预算绩效管理实施方案，提高财政资金使用效益；四是强化财务规范化管理，抓好内控体系和财务信息系统建设，加强对重点专项资金的监管。</w:t>
      </w:r>
    </w:p>
    <w:p>
      <w:pPr>
        <w:numPr>
          <w:ilvl w:val="0"/>
          <w:numId w:val="3"/>
        </w:numPr>
        <w:ind w:firstLine="753" w:firstLineChars="250"/>
        <w:rPr>
          <w:rFonts w:hint="eastAsia" w:ascii="仿宋_GB2312" w:eastAsia="仿宋_GB2312"/>
          <w:b/>
          <w:sz w:val="30"/>
          <w:szCs w:val="30"/>
        </w:rPr>
      </w:pPr>
      <w:r>
        <w:rPr>
          <w:rFonts w:hint="eastAsia" w:ascii="仿宋_GB2312" w:eastAsia="仿宋_GB2312"/>
          <w:b/>
          <w:sz w:val="30"/>
          <w:szCs w:val="30"/>
        </w:rPr>
        <w:t>资产管理情况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hAnsi="宋体" w:eastAsia="仿宋_GB2312" w:cs="宋体"/>
          <w:color w:val="auto"/>
          <w:kern w:val="0"/>
          <w:sz w:val="32"/>
          <w:szCs w:val="32"/>
          <w:lang w:val="en-US" w:eastAsia="zh-CN" w:bidi="ar-SA"/>
        </w:rPr>
        <w:t>2019年固定资产增加3901843.77元，主要包括通用设备、办公电脑、办公桌椅、雨花家园阵地建设入固定资产等家具一系列办公需要物品。</w:t>
      </w:r>
      <w:r>
        <w:rPr>
          <w:rFonts w:hint="eastAsia" w:ascii="仿宋_GB2312" w:hAnsi="宋体" w:eastAsia="仿宋_GB2312" w:cs="宋体"/>
          <w:kern w:val="0"/>
          <w:sz w:val="32"/>
          <w:szCs w:val="32"/>
        </w:rPr>
        <w:t>流动资产总额为</w:t>
      </w:r>
      <w:r>
        <w:rPr>
          <w:rFonts w:ascii="仿宋_GB2312" w:hAnsi="宋体" w:eastAsia="仿宋_GB2312" w:cs="宋体"/>
          <w:kern w:val="0"/>
          <w:sz w:val="32"/>
          <w:szCs w:val="32"/>
        </w:rPr>
        <w:t>7485</w:t>
      </w:r>
      <w:r>
        <w:rPr>
          <w:rFonts w:hint="eastAsia" w:ascii="仿宋_GB2312" w:hAnsi="宋体" w:eastAsia="仿宋_GB2312" w:cs="宋体"/>
          <w:kern w:val="0"/>
          <w:sz w:val="32"/>
          <w:szCs w:val="32"/>
        </w:rPr>
        <w:t>万元，主要包括预付账款和其他应收款。无形资产无。</w:t>
      </w:r>
      <w:r>
        <w:rPr>
          <w:rFonts w:hint="eastAsia" w:ascii="仿宋_GB2312" w:eastAsia="仿宋_GB2312"/>
          <w:sz w:val="32"/>
          <w:szCs w:val="32"/>
        </w:rPr>
        <w:t>本年度，我单位无处置固定资产。</w:t>
      </w:r>
      <w:r>
        <w:rPr>
          <w:rFonts w:hint="eastAsia" w:ascii="仿宋_GB2312" w:eastAsia="仿宋_GB2312"/>
          <w:sz w:val="32"/>
          <w:szCs w:val="32"/>
          <w:lang w:eastAsia="zh-CN"/>
        </w:rPr>
        <w:t>本单位对固定资产管理要求：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0"/>
          <w:szCs w:val="30"/>
        </w:rPr>
      </w:pPr>
      <w:r>
        <w:rPr>
          <w:rFonts w:hint="eastAsia" w:ascii="仿宋_GB2312" w:eastAsia="仿宋_GB2312"/>
          <w:sz w:val="32"/>
          <w:szCs w:val="32"/>
          <w:lang w:val="en-US" w:eastAsia="zh-CN"/>
        </w:rPr>
        <w:t>1、</w:t>
      </w:r>
      <w:r>
        <w:rPr>
          <w:rFonts w:hint="eastAsia" w:ascii="楷体_GB2312" w:hAnsi="Calibri" w:eastAsia="楷体_GB2312"/>
          <w:b/>
          <w:sz w:val="32"/>
          <w:szCs w:val="32"/>
        </w:rPr>
        <w:t>增强监管意识，认真落实资产管理责任。</w:t>
      </w:r>
      <w:r>
        <w:rPr>
          <w:rFonts w:hint="eastAsia" w:ascii="仿宋_GB2312" w:eastAsia="仿宋_GB2312"/>
          <w:sz w:val="32"/>
          <w:szCs w:val="32"/>
        </w:rPr>
        <w:t>充分认识到管好用好国有资产的重要性，把国有资产管理作为一项重要内容，列入本单位工作目标。明确单位主要领导为全面责任人、分管领导为主要责任人、使用部门负责人为直接责任人的三级管理责任制。应根据资产的不同类别，规定相应管理部门及责任人，并与部门责任人和直接责任人签订资产管理协议，定期考核责任履行情况。固定资产的责任人是资产管理部门，一要建立资产使用登记制度，明确使用人；二要建立资产定期盘点制度，关心资产的存量状况。</w:t>
      </w:r>
      <w:r>
        <w:rPr>
          <w:rFonts w:ascii="仿宋_GB2312" w:eastAsia="仿宋_GB2312"/>
          <w:sz w:val="32"/>
          <w:szCs w:val="32"/>
        </w:rPr>
        <w:br w:type="textWrapping"/>
      </w:r>
      <w:r>
        <w:rPr>
          <w:rFonts w:hint="eastAsia" w:ascii="仿宋_GB2312" w:eastAsia="仿宋_GB2312"/>
          <w:sz w:val="32"/>
          <w:szCs w:val="32"/>
        </w:rPr>
        <w:t>　　</w:t>
      </w:r>
      <w:r>
        <w:rPr>
          <w:rFonts w:hint="eastAsia" w:ascii="楷体_GB2312" w:hAnsi="Calibri" w:eastAsia="楷体_GB2312"/>
          <w:b/>
          <w:sz w:val="32"/>
          <w:szCs w:val="32"/>
          <w:lang w:val="en-US" w:eastAsia="zh-CN"/>
        </w:rPr>
        <w:t>2、</w:t>
      </w:r>
      <w:r>
        <w:rPr>
          <w:rFonts w:hint="eastAsia" w:ascii="楷体_GB2312" w:hAnsi="Calibri" w:eastAsia="楷体_GB2312"/>
          <w:b/>
          <w:sz w:val="32"/>
          <w:szCs w:val="32"/>
        </w:rPr>
        <w:t>健全内控制度，规范内部管理行为。</w:t>
      </w:r>
      <w:r>
        <w:rPr>
          <w:rFonts w:hint="eastAsia" w:ascii="仿宋_GB2312" w:eastAsia="仿宋_GB2312"/>
          <w:sz w:val="32"/>
          <w:szCs w:val="32"/>
        </w:rPr>
        <w:t>各行政事业单位应建立健全内部监督和约束机制，尤其在固定资产管理、采购等方面，要加强内部控制，分离不相容岗位，严格支出审批、资产处置、采购及付款等环节的审批手续。对内控制度执行情况要由专门的机构或人员定期或不定期地进行检查。充分发挥单位</w:t>
      </w:r>
      <w:r>
        <w:rPr>
          <w:rFonts w:hint="eastAsia" w:ascii="仿宋_GB2312" w:eastAsia="仿宋_GB2312" w:cs="Times New Roman"/>
          <w:sz w:val="32"/>
          <w:szCs w:val="32"/>
        </w:rPr>
        <w:t>内部</w:t>
      </w:r>
      <w:r>
        <w:rPr>
          <w:rFonts w:hint="eastAsia" w:ascii="仿宋_GB2312" w:eastAsia="仿宋_GB2312" w:cs="Times New Roman"/>
          <w:sz w:val="32"/>
          <w:szCs w:val="32"/>
          <w:lang w:eastAsia="zh-CN"/>
        </w:rPr>
        <w:t>审计和</w:t>
      </w:r>
      <w:r>
        <w:rPr>
          <w:rFonts w:hint="eastAsia" w:ascii="仿宋_GB2312" w:eastAsia="仿宋_GB2312"/>
          <w:sz w:val="32"/>
          <w:szCs w:val="32"/>
        </w:rPr>
        <w:t>财务监督在资产管理中的作用，发现问题，严格追究相关人员责任，从而把国有资产管理纳入制度化、规范化的轨道。</w:t>
      </w:r>
      <w:r>
        <w:rPr>
          <w:rFonts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楷体_GB2312" w:hAnsi="Calibri" w:eastAsia="楷体_GB2312"/>
          <w:b/>
          <w:sz w:val="32"/>
          <w:szCs w:val="32"/>
        </w:rPr>
        <w:t>加强资产管理信息系统管理。</w:t>
      </w:r>
      <w:r>
        <w:rPr>
          <w:rFonts w:hint="eastAsia" w:ascii="仿宋_GB2312" w:eastAsia="仿宋_GB2312"/>
          <w:sz w:val="32"/>
          <w:szCs w:val="32"/>
        </w:rPr>
        <w:t>目前，各单位固定资产的管理进入自动化、科学化、规范化的新纪元，均已建立了固定资产管理系统，并已</w:t>
      </w:r>
      <w:bookmarkStart w:id="0" w:name="_GoBack"/>
      <w:bookmarkEnd w:id="0"/>
      <w:r>
        <w:rPr>
          <w:rFonts w:hint="eastAsia" w:ascii="仿宋_GB2312" w:eastAsia="仿宋_GB2312"/>
          <w:sz w:val="32"/>
          <w:szCs w:val="32"/>
        </w:rPr>
        <w:t>接入到财政资产管理信息系统网络。一是要把固定资产的</w:t>
      </w:r>
      <w:r>
        <w:rPr>
          <w:rFonts w:hint="eastAsia" w:ascii="仿宋_GB2312" w:eastAsia="仿宋_GB2312"/>
          <w:sz w:val="32"/>
          <w:szCs w:val="32"/>
          <w:lang w:eastAsia="zh-CN"/>
        </w:rPr>
        <w:t>台账</w:t>
      </w:r>
      <w:r>
        <w:rPr>
          <w:rFonts w:hint="eastAsia" w:ascii="仿宋_GB2312" w:eastAsia="仿宋_GB2312"/>
          <w:sz w:val="32"/>
          <w:szCs w:val="32"/>
        </w:rPr>
        <w:t>管理纳入到单位日常工作监管范围，要指定专人负责；二是要充分运用软件的信息功能，通过查询系统、报表输出、使用部门、存放地点、登记日期等单项信息查询，使单位及时掌握固定资产的动向及使用情况。三是要实现固定资产总账、明细账与资产管理信息系统的一致，固定资产如有变动，要及时登记相关账薄和信息系统，确保信息的统一。</w:t>
      </w:r>
      <w:r>
        <w:rPr>
          <w:rFonts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val="en-US" w:eastAsia="zh-CN"/>
        </w:rPr>
        <w:t>4、</w:t>
      </w:r>
      <w:r>
        <w:rPr>
          <w:rFonts w:hint="eastAsia" w:ascii="楷体_GB2312" w:hAnsi="Calibri" w:eastAsia="楷体_GB2312"/>
          <w:b/>
          <w:sz w:val="32"/>
          <w:szCs w:val="32"/>
        </w:rPr>
        <w:t>建立固定资产管理清查核对制度</w:t>
      </w:r>
      <w:r>
        <w:rPr>
          <w:rFonts w:hint="eastAsia" w:ascii="仿宋_GB2312" w:eastAsia="仿宋_GB2312"/>
          <w:sz w:val="32"/>
          <w:szCs w:val="32"/>
        </w:rPr>
        <w:t>。财会部门、资产管理部门与资产使用部门之间要加强信息沟通，每一年，共同组织人员对单位固定资产进行清查盘点，摸清家底，资产盘盈或盘亏按管理权限上报审批或审核备案，做到帐证、账实、账账相符，达到</w:t>
      </w:r>
      <w:r>
        <w:rPr>
          <w:rFonts w:ascii="仿宋_GB2312" w:eastAsia="仿宋_GB2312"/>
          <w:sz w:val="32"/>
          <w:szCs w:val="32"/>
        </w:rPr>
        <w:t>“</w:t>
      </w:r>
      <w:r>
        <w:rPr>
          <w:rFonts w:hint="eastAsia" w:ascii="仿宋_GB2312" w:eastAsia="仿宋_GB2312"/>
          <w:sz w:val="32"/>
          <w:szCs w:val="32"/>
        </w:rPr>
        <w:t>以查促管</w:t>
      </w:r>
      <w:r>
        <w:rPr>
          <w:rFonts w:ascii="仿宋_GB2312" w:eastAsia="仿宋_GB2312"/>
          <w:sz w:val="32"/>
          <w:szCs w:val="32"/>
        </w:rPr>
        <w:t>”</w:t>
      </w:r>
      <w:r>
        <w:rPr>
          <w:rFonts w:hint="eastAsia" w:ascii="仿宋_GB2312" w:eastAsia="仿宋_GB2312"/>
          <w:sz w:val="32"/>
          <w:szCs w:val="32"/>
        </w:rPr>
        <w:t>目的。</w:t>
      </w:r>
    </w:p>
    <w:p>
      <w:pPr>
        <w:keepNext w:val="0"/>
        <w:keepLines w:val="0"/>
        <w:pageBreakBefore w:val="0"/>
        <w:widowControl/>
        <w:kinsoku/>
        <w:wordWrap/>
        <w:overflowPunct/>
        <w:topLinePunct w:val="0"/>
        <w:autoSpaceDE/>
        <w:autoSpaceDN/>
        <w:bidi w:val="0"/>
        <w:spacing w:line="590" w:lineRule="exact"/>
        <w:ind w:firstLine="640" w:firstLineChars="200"/>
        <w:jc w:val="left"/>
        <w:textAlignment w:val="auto"/>
        <w:rPr>
          <w:rFonts w:hint="eastAsia" w:ascii="仿宋_GB2312" w:eastAsia="仿宋_GB2312"/>
          <w:sz w:val="32"/>
          <w:szCs w:val="32"/>
          <w:lang w:eastAsia="zh-CN"/>
        </w:rPr>
      </w:pPr>
    </w:p>
    <w:p>
      <w:pPr>
        <w:ind w:firstLine="750" w:firstLineChars="249"/>
        <w:rPr>
          <w:rFonts w:hint="eastAsia" w:ascii="仿宋_GB2312" w:eastAsia="仿宋_GB2312"/>
          <w:b/>
          <w:sz w:val="30"/>
          <w:szCs w:val="30"/>
        </w:rPr>
      </w:pPr>
    </w:p>
    <w:p>
      <w:pPr>
        <w:numPr>
          <w:ilvl w:val="0"/>
          <w:numId w:val="3"/>
        </w:numPr>
        <w:ind w:left="0" w:leftChars="0" w:firstLine="753" w:firstLineChars="250"/>
        <w:rPr>
          <w:rFonts w:hint="eastAsia" w:ascii="仿宋_GB2312" w:eastAsia="仿宋_GB2312"/>
          <w:b/>
          <w:sz w:val="30"/>
          <w:szCs w:val="30"/>
        </w:rPr>
      </w:pPr>
      <w:r>
        <w:rPr>
          <w:rFonts w:hint="eastAsia" w:ascii="仿宋_GB2312" w:eastAsia="仿宋_GB2312"/>
          <w:b/>
          <w:sz w:val="30"/>
          <w:szCs w:val="30"/>
        </w:rPr>
        <w:t>部门整体支出绩效情况 反映部门履职及履职效益情况。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50"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2019年</w:t>
      </w:r>
      <w:r>
        <w:rPr>
          <w:rFonts w:hint="eastAsia" w:ascii="仿宋_GB2312" w:eastAsia="仿宋_GB2312"/>
          <w:sz w:val="30"/>
          <w:szCs w:val="30"/>
        </w:rPr>
        <w:t>经济指标完成情况不均衡。全年预计，完成全社会固定资产投资51亿元，超额完成全年任务的13%；完成限上社会零售总额13.75亿元，同比增长3%；完成营利性服务业营业收入7.98亿元，同比增速-3%；全年预计新增规模法人企业14家（其中服务业5家，房地产3家，商贸2家，建筑业4家）；完成年度10家高新技术企业认定。</w:t>
      </w:r>
    </w:p>
    <w:p>
      <w:pPr>
        <w:ind w:firstLine="602" w:firstLineChars="200"/>
        <w:rPr>
          <w:rFonts w:hint="eastAsia" w:ascii="仿宋_GB2312" w:eastAsia="仿宋_GB2312"/>
          <w:b/>
          <w:sz w:val="30"/>
          <w:szCs w:val="30"/>
        </w:rPr>
      </w:pPr>
      <w:r>
        <w:rPr>
          <w:rFonts w:hint="eastAsia" w:ascii="仿宋_GB2312" w:eastAsia="仿宋_GB2312"/>
          <w:b/>
          <w:sz w:val="30"/>
          <w:szCs w:val="30"/>
        </w:rPr>
        <w:t xml:space="preserve">六、存在的主要问题 主要阐述资金安排、使用，资产管理过程中存在的问题。 </w:t>
      </w:r>
    </w:p>
    <w:p>
      <w:pPr>
        <w:keepNext w:val="0"/>
        <w:keepLines w:val="0"/>
        <w:pageBreakBefore w:val="0"/>
        <w:widowControl w:val="0"/>
        <w:tabs>
          <w:tab w:val="left" w:pos="1576"/>
        </w:tabs>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b/>
          <w:sz w:val="30"/>
          <w:szCs w:val="30"/>
        </w:rPr>
      </w:pPr>
      <w:r>
        <w:rPr>
          <w:rFonts w:hint="eastAsia" w:ascii="仿宋_GB2312" w:eastAsia="仿宋_GB2312"/>
          <w:sz w:val="30"/>
          <w:szCs w:val="30"/>
        </w:rPr>
        <w:t>部门对部门整体支出绩效管理工作的认识还不够深入，业务知识存在盲区。</w:t>
      </w:r>
    </w:p>
    <w:p>
      <w:pPr>
        <w:numPr>
          <w:ilvl w:val="0"/>
          <w:numId w:val="4"/>
        </w:numPr>
        <w:ind w:firstLine="602" w:firstLineChars="200"/>
        <w:rPr>
          <w:rFonts w:hint="eastAsia" w:ascii="仿宋_GB2312" w:eastAsia="仿宋_GB2312"/>
          <w:b/>
          <w:sz w:val="30"/>
          <w:szCs w:val="30"/>
        </w:rPr>
      </w:pPr>
      <w:r>
        <w:rPr>
          <w:rFonts w:hint="eastAsia" w:ascii="仿宋_GB2312" w:eastAsia="仿宋_GB2312"/>
          <w:b/>
          <w:sz w:val="30"/>
          <w:szCs w:val="30"/>
        </w:rPr>
        <w:t>改进措施和有关建议 对存在的问题提出切实可行的改进措施和有关建议等。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sz w:val="30"/>
          <w:szCs w:val="30"/>
        </w:rPr>
      </w:pPr>
      <w:r>
        <w:rPr>
          <w:rFonts w:hint="eastAsia" w:eastAsia="仿宋_GB2312"/>
          <w:sz w:val="32"/>
          <w:szCs w:val="32"/>
        </w:rPr>
        <w:t>201</w:t>
      </w:r>
      <w:r>
        <w:rPr>
          <w:rFonts w:hint="eastAsia" w:eastAsia="仿宋_GB2312"/>
          <w:sz w:val="32"/>
          <w:szCs w:val="32"/>
          <w:lang w:val="en-US" w:eastAsia="zh-CN"/>
        </w:rPr>
        <w:t>9</w:t>
      </w:r>
      <w:r>
        <w:rPr>
          <w:rFonts w:hint="eastAsia" w:eastAsia="仿宋_GB2312"/>
          <w:sz w:val="32"/>
          <w:szCs w:val="32"/>
        </w:rPr>
        <w:t>年度，我街将对全街各项工作进行梳理，对相关经费需求进行全面预算，力争做到各项工作均有预算，各项预算开支有节有序。</w:t>
      </w:r>
    </w:p>
    <w:p>
      <w:pPr>
        <w:numPr>
          <w:ilvl w:val="0"/>
          <w:numId w:val="0"/>
        </w:numPr>
        <w:rPr>
          <w:rFonts w:hint="eastAsia" w:ascii="仿宋_GB2312" w:eastAsia="仿宋_GB2312"/>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lang/>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97FC4"/>
    <w:multiLevelType w:val="singleLevel"/>
    <w:tmpl w:val="B9997FC4"/>
    <w:lvl w:ilvl="0" w:tentative="0">
      <w:start w:val="7"/>
      <w:numFmt w:val="chineseCounting"/>
      <w:suff w:val="nothing"/>
      <w:lvlText w:val="%1、"/>
      <w:lvlJc w:val="left"/>
      <w:rPr>
        <w:rFonts w:hint="eastAsia"/>
      </w:rPr>
    </w:lvl>
  </w:abstractNum>
  <w:abstractNum w:abstractNumId="1">
    <w:nsid w:val="C49DD014"/>
    <w:multiLevelType w:val="singleLevel"/>
    <w:tmpl w:val="C49DD014"/>
    <w:lvl w:ilvl="0" w:tentative="0">
      <w:start w:val="4"/>
      <w:numFmt w:val="chineseCounting"/>
      <w:suff w:val="nothing"/>
      <w:lvlText w:val="%1、"/>
      <w:lvlJc w:val="left"/>
      <w:rPr>
        <w:rFonts w:hint="eastAsia"/>
      </w:rPr>
    </w:lvl>
  </w:abstractNum>
  <w:abstractNum w:abstractNumId="2">
    <w:nsid w:val="ED2CF106"/>
    <w:multiLevelType w:val="singleLevel"/>
    <w:tmpl w:val="ED2CF106"/>
    <w:lvl w:ilvl="0" w:tentative="0">
      <w:start w:val="2"/>
      <w:numFmt w:val="chineseCounting"/>
      <w:suff w:val="nothing"/>
      <w:lvlText w:val="（%1）"/>
      <w:lvlJc w:val="left"/>
      <w:rPr>
        <w:rFonts w:hint="eastAsia"/>
      </w:rPr>
    </w:lvl>
  </w:abstractNum>
  <w:abstractNum w:abstractNumId="3">
    <w:nsid w:val="4EA27550"/>
    <w:multiLevelType w:val="singleLevel"/>
    <w:tmpl w:val="4EA27550"/>
    <w:lvl w:ilvl="0" w:tentative="0">
      <w:start w:val="3"/>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CE6052"/>
    <w:rsid w:val="00DE16D6"/>
    <w:rsid w:val="00EB2D88"/>
    <w:rsid w:val="021C3A44"/>
    <w:rsid w:val="030853F0"/>
    <w:rsid w:val="05FD510C"/>
    <w:rsid w:val="06EB0920"/>
    <w:rsid w:val="07683FB9"/>
    <w:rsid w:val="087D6C32"/>
    <w:rsid w:val="0B8467BC"/>
    <w:rsid w:val="0DF35084"/>
    <w:rsid w:val="0ECD4BB8"/>
    <w:rsid w:val="109F6279"/>
    <w:rsid w:val="10A701EA"/>
    <w:rsid w:val="12703371"/>
    <w:rsid w:val="12DF01BF"/>
    <w:rsid w:val="160926A8"/>
    <w:rsid w:val="168C45E3"/>
    <w:rsid w:val="21821169"/>
    <w:rsid w:val="21BE57C3"/>
    <w:rsid w:val="21DB4DCB"/>
    <w:rsid w:val="24037306"/>
    <w:rsid w:val="252641A6"/>
    <w:rsid w:val="267473F8"/>
    <w:rsid w:val="2842698B"/>
    <w:rsid w:val="28D448E8"/>
    <w:rsid w:val="2C14666A"/>
    <w:rsid w:val="2C9325C0"/>
    <w:rsid w:val="2CB70AEF"/>
    <w:rsid w:val="30363BCC"/>
    <w:rsid w:val="309B7AA1"/>
    <w:rsid w:val="37EE2C8D"/>
    <w:rsid w:val="38E64147"/>
    <w:rsid w:val="3D534CBA"/>
    <w:rsid w:val="3DBF4AFE"/>
    <w:rsid w:val="43D50F16"/>
    <w:rsid w:val="479A5E83"/>
    <w:rsid w:val="47CF291D"/>
    <w:rsid w:val="484A5A42"/>
    <w:rsid w:val="49B2347B"/>
    <w:rsid w:val="4F3369A9"/>
    <w:rsid w:val="5210534C"/>
    <w:rsid w:val="52BC0660"/>
    <w:rsid w:val="531F1226"/>
    <w:rsid w:val="536401BD"/>
    <w:rsid w:val="5D081262"/>
    <w:rsid w:val="5DB5619A"/>
    <w:rsid w:val="5FC83218"/>
    <w:rsid w:val="60722FA2"/>
    <w:rsid w:val="65855D35"/>
    <w:rsid w:val="66BB7B90"/>
    <w:rsid w:val="67896980"/>
    <w:rsid w:val="6D2862D3"/>
    <w:rsid w:val="6D2E5268"/>
    <w:rsid w:val="6E2A7446"/>
    <w:rsid w:val="71B425F4"/>
    <w:rsid w:val="7228241F"/>
    <w:rsid w:val="7387639B"/>
    <w:rsid w:val="74613FA2"/>
    <w:rsid w:val="79857F0D"/>
    <w:rsid w:val="7C214A71"/>
    <w:rsid w:val="7CC51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page number"/>
    <w:basedOn w:val="6"/>
    <w:uiPriority w:val="0"/>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0"/>
    <w:rPr>
      <w:kern w:val="2"/>
      <w:sz w:val="18"/>
      <w:szCs w:val="18"/>
    </w:rPr>
  </w:style>
  <w:style w:type="paragraph" w:customStyle="1" w:styleId="10">
    <w:name w:val="列出段落1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13</Pages>
  <Words>5956</Words>
  <Characters>6395</Characters>
  <Lines>25</Lines>
  <Paragraphs>7</Paragraphs>
  <TotalTime>16</TotalTime>
  <ScaleCrop>false</ScaleCrop>
  <LinksUpToDate>false</LinksUpToDate>
  <CharactersWithSpaces>6896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dcterms:modified xsi:type="dcterms:W3CDTF">2023-07-17T08:20:58Z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E1A39C18A06147B6AEDE946E3C7DB700_13</vt:lpwstr>
  </property>
</Properties>
</file>