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72" w:rsidRPr="00BE2550" w:rsidRDefault="00886372" w:rsidP="00BE2550">
      <w:pPr>
        <w:widowControl w:val="0"/>
        <w:overflowPunct w:val="0"/>
        <w:spacing w:after="0" w:line="600" w:lineRule="exact"/>
        <w:ind w:firstLineChars="250" w:firstLine="904"/>
        <w:rPr>
          <w:rFonts w:asciiTheme="minorEastAsia" w:eastAsiaTheme="minorEastAsia" w:hAnsiTheme="minorEastAsia"/>
          <w:b/>
          <w:sz w:val="36"/>
          <w:szCs w:val="36"/>
        </w:rPr>
      </w:pPr>
    </w:p>
    <w:p w:rsidR="00886372" w:rsidRPr="00BE2550" w:rsidRDefault="00523A7B">
      <w:pPr>
        <w:widowControl w:val="0"/>
        <w:overflowPunct w:val="0"/>
        <w:spacing w:after="0" w:line="600" w:lineRule="exact"/>
        <w:jc w:val="center"/>
        <w:rPr>
          <w:rFonts w:asciiTheme="minorEastAsia" w:eastAsiaTheme="minorEastAsia" w:hAnsiTheme="minorEastAsia" w:cs="宋体"/>
          <w:sz w:val="44"/>
          <w:szCs w:val="44"/>
        </w:rPr>
      </w:pPr>
      <w:r w:rsidRPr="00BE2550">
        <w:rPr>
          <w:rFonts w:asciiTheme="minorEastAsia" w:eastAsiaTheme="minorEastAsia" w:hAnsiTheme="minorEastAsia" w:hint="eastAsia"/>
          <w:sz w:val="44"/>
          <w:szCs w:val="44"/>
        </w:rPr>
        <w:t>2021年度雨花区信访局整体支出绩效报告</w:t>
      </w:r>
    </w:p>
    <w:p w:rsidR="00886372" w:rsidRPr="00BE2550" w:rsidRDefault="00886372">
      <w:pPr>
        <w:widowControl w:val="0"/>
        <w:overflowPunct w:val="0"/>
        <w:spacing w:after="0" w:line="600" w:lineRule="exact"/>
        <w:ind w:firstLineChars="250" w:firstLine="750"/>
        <w:rPr>
          <w:rFonts w:asciiTheme="minorEastAsia" w:eastAsiaTheme="minorEastAsia" w:hAnsiTheme="minorEastAsia" w:cs="Times New Roman"/>
          <w:sz w:val="30"/>
          <w:szCs w:val="30"/>
        </w:rPr>
      </w:pP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Times New Roman"/>
          <w:sz w:val="32"/>
          <w:szCs w:val="32"/>
        </w:rPr>
      </w:pPr>
      <w:r w:rsidRPr="00BE2550">
        <w:rPr>
          <w:rFonts w:asciiTheme="minorEastAsia" w:eastAsiaTheme="minorEastAsia" w:hAnsiTheme="minorEastAsia" w:cs="Times New Roman" w:hint="eastAsia"/>
          <w:sz w:val="32"/>
          <w:szCs w:val="32"/>
        </w:rPr>
        <w:t>一、部门概况</w:t>
      </w:r>
    </w:p>
    <w:p w:rsidR="00886372" w:rsidRPr="00BE2550" w:rsidRDefault="00523A7B">
      <w:pPr>
        <w:widowControl w:val="0"/>
        <w:shd w:val="clear" w:color="auto" w:fill="FFFFFF"/>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（一）部门职能职责</w:t>
      </w:r>
    </w:p>
    <w:p w:rsidR="00886372" w:rsidRPr="00BE2550" w:rsidRDefault="00AD470A">
      <w:pPr>
        <w:pStyle w:val="a5"/>
        <w:shd w:val="clear" w:color="auto" w:fill="FFFFFF"/>
        <w:spacing w:before="0" w:beforeAutospacing="0" w:after="0" w:afterAutospacing="0"/>
        <w:rPr>
          <w:rFonts w:asciiTheme="minorEastAsia" w:eastAsiaTheme="minorEastAsia" w:hAnsiTheme="minorEastAsia"/>
          <w:color w:val="333333"/>
          <w:sz w:val="32"/>
          <w:szCs w:val="32"/>
        </w:rPr>
      </w:pPr>
      <w:r w:rsidRPr="00BE2550">
        <w:rPr>
          <w:rFonts w:asciiTheme="minorEastAsia" w:eastAsiaTheme="minorEastAsia" w:hAnsiTheme="minorEastAsia" w:hint="eastAsia"/>
          <w:color w:val="333333"/>
          <w:sz w:val="32"/>
          <w:szCs w:val="32"/>
        </w:rPr>
        <w:t xml:space="preserve">    </w:t>
      </w:r>
      <w:r w:rsidR="00523A7B" w:rsidRPr="00BE2550">
        <w:rPr>
          <w:rFonts w:asciiTheme="minorEastAsia" w:eastAsiaTheme="minorEastAsia" w:hAnsiTheme="minorEastAsia" w:hint="eastAsia"/>
          <w:color w:val="333333"/>
          <w:sz w:val="32"/>
          <w:szCs w:val="32"/>
        </w:rPr>
        <w:t>（1）受理本地区和上级领导机关交办的来信来访任务，负责日常的信访工作。</w:t>
      </w:r>
    </w:p>
    <w:p w:rsidR="00886372" w:rsidRPr="00BE2550" w:rsidRDefault="00523A7B">
      <w:pPr>
        <w:pStyle w:val="a5"/>
        <w:shd w:val="clear" w:color="auto" w:fill="FFFFFF"/>
        <w:spacing w:before="0" w:beforeAutospacing="0" w:after="0" w:afterAutospacing="0"/>
        <w:rPr>
          <w:rFonts w:asciiTheme="minorEastAsia" w:eastAsiaTheme="minorEastAsia" w:hAnsiTheme="minorEastAsia"/>
          <w:color w:val="333333"/>
          <w:sz w:val="32"/>
          <w:szCs w:val="32"/>
        </w:rPr>
      </w:pPr>
      <w:r w:rsidRPr="00BE2550">
        <w:rPr>
          <w:rFonts w:asciiTheme="minorEastAsia" w:eastAsiaTheme="minorEastAsia" w:hAnsiTheme="minorEastAsia" w:hint="eastAsia"/>
          <w:color w:val="333333"/>
          <w:sz w:val="32"/>
          <w:szCs w:val="32"/>
        </w:rPr>
        <w:t xml:space="preserve">　　（2）按照分级负责、归口办理的原则，向有关部门单位交办信访任务，并负责督促和检查。对下级送来的处理信访问题的结案报告进行审查。</w:t>
      </w:r>
    </w:p>
    <w:p w:rsidR="00886372" w:rsidRPr="00BE2550" w:rsidRDefault="00523A7B">
      <w:pPr>
        <w:pStyle w:val="a5"/>
        <w:shd w:val="clear" w:color="auto" w:fill="FFFFFF"/>
        <w:spacing w:before="0" w:beforeAutospacing="0" w:after="0" w:afterAutospacing="0"/>
        <w:rPr>
          <w:rFonts w:asciiTheme="minorEastAsia" w:eastAsiaTheme="minorEastAsia" w:hAnsiTheme="minorEastAsia"/>
          <w:color w:val="333333"/>
          <w:sz w:val="32"/>
          <w:szCs w:val="32"/>
        </w:rPr>
      </w:pPr>
      <w:r w:rsidRPr="00BE2550">
        <w:rPr>
          <w:rFonts w:asciiTheme="minorEastAsia" w:eastAsiaTheme="minorEastAsia" w:hAnsiTheme="minorEastAsia" w:hint="eastAsia"/>
          <w:color w:val="333333"/>
          <w:sz w:val="32"/>
          <w:szCs w:val="32"/>
        </w:rPr>
        <w:t xml:space="preserve">　　（3）定期分析、综合群众来信来访中反映的重要情况和带倾向性的问题，及时向区委、区政府反映，作为决策、指导工作的依据。</w:t>
      </w:r>
    </w:p>
    <w:p w:rsidR="00886372" w:rsidRPr="00BE2550" w:rsidRDefault="00523A7B">
      <w:pPr>
        <w:pStyle w:val="a5"/>
        <w:shd w:val="clear" w:color="auto" w:fill="FFFFFF"/>
        <w:spacing w:before="0" w:beforeAutospacing="0" w:after="0" w:afterAutospacing="0"/>
        <w:rPr>
          <w:rFonts w:asciiTheme="minorEastAsia" w:eastAsiaTheme="minorEastAsia" w:hAnsiTheme="minorEastAsia"/>
          <w:color w:val="333333"/>
          <w:sz w:val="32"/>
          <w:szCs w:val="32"/>
        </w:rPr>
      </w:pPr>
      <w:r w:rsidRPr="00BE2550">
        <w:rPr>
          <w:rFonts w:asciiTheme="minorEastAsia" w:eastAsiaTheme="minorEastAsia" w:hAnsiTheme="minorEastAsia" w:hint="eastAsia"/>
          <w:color w:val="333333"/>
          <w:sz w:val="32"/>
          <w:szCs w:val="32"/>
        </w:rPr>
        <w:t xml:space="preserve">　　（4）根据区委、区政府的指示、决议，调查研究有关信访工作的方针、政策，提出实施这些方针、政策以及处理信访问题的具体措施，经审查批准以后贯彻执行。</w:t>
      </w:r>
    </w:p>
    <w:p w:rsidR="00886372" w:rsidRPr="00BE2550" w:rsidRDefault="00523A7B">
      <w:pPr>
        <w:pStyle w:val="a5"/>
        <w:shd w:val="clear" w:color="auto" w:fill="FFFFFF"/>
        <w:spacing w:before="0" w:beforeAutospacing="0" w:after="0" w:afterAutospacing="0"/>
        <w:rPr>
          <w:rFonts w:asciiTheme="minorEastAsia" w:eastAsiaTheme="minorEastAsia" w:hAnsiTheme="minorEastAsia"/>
          <w:color w:val="333333"/>
          <w:sz w:val="32"/>
          <w:szCs w:val="32"/>
        </w:rPr>
      </w:pPr>
      <w:r w:rsidRPr="00BE2550">
        <w:rPr>
          <w:rFonts w:asciiTheme="minorEastAsia" w:eastAsiaTheme="minorEastAsia" w:hAnsiTheme="minorEastAsia" w:hint="eastAsia"/>
          <w:color w:val="333333"/>
          <w:sz w:val="32"/>
          <w:szCs w:val="32"/>
        </w:rPr>
        <w:t xml:space="preserve">　　（5）直接调查处理信访问题。协调有关部门的关系，处理涉及部门的信访问题。</w:t>
      </w:r>
    </w:p>
    <w:p w:rsidR="00886372" w:rsidRPr="00BE2550" w:rsidRDefault="00523A7B">
      <w:pPr>
        <w:pStyle w:val="a5"/>
        <w:shd w:val="clear" w:color="auto" w:fill="FFFFFF"/>
        <w:spacing w:before="0" w:beforeAutospacing="0" w:after="0" w:afterAutospacing="0"/>
        <w:rPr>
          <w:rFonts w:asciiTheme="minorEastAsia" w:eastAsiaTheme="minorEastAsia" w:hAnsiTheme="minorEastAsia"/>
          <w:color w:val="333333"/>
          <w:sz w:val="32"/>
          <w:szCs w:val="32"/>
        </w:rPr>
      </w:pPr>
      <w:r w:rsidRPr="00BE2550">
        <w:rPr>
          <w:rFonts w:asciiTheme="minorEastAsia" w:eastAsiaTheme="minorEastAsia" w:hAnsiTheme="minorEastAsia" w:hint="eastAsia"/>
          <w:color w:val="333333"/>
          <w:sz w:val="32"/>
          <w:szCs w:val="32"/>
        </w:rPr>
        <w:t xml:space="preserve">　　（6）负责全区的信访工作，发现问题，解决问题；进行业务指导，组织经验交流，推动全区信访工作的开展。</w:t>
      </w:r>
    </w:p>
    <w:p w:rsidR="00886372" w:rsidRPr="00BE2550" w:rsidRDefault="00523A7B">
      <w:pPr>
        <w:pStyle w:val="a5"/>
        <w:shd w:val="clear" w:color="auto" w:fill="FFFFFF"/>
        <w:spacing w:before="0" w:beforeAutospacing="0" w:after="0" w:afterAutospacing="0"/>
        <w:rPr>
          <w:rFonts w:asciiTheme="minorEastAsia" w:eastAsiaTheme="minorEastAsia" w:hAnsiTheme="minorEastAsia"/>
          <w:color w:val="333333"/>
          <w:sz w:val="32"/>
          <w:szCs w:val="32"/>
        </w:rPr>
      </w:pPr>
      <w:r w:rsidRPr="00BE2550">
        <w:rPr>
          <w:rFonts w:asciiTheme="minorEastAsia" w:eastAsiaTheme="minorEastAsia" w:hAnsiTheme="minorEastAsia" w:hint="eastAsia"/>
          <w:color w:val="333333"/>
          <w:sz w:val="32"/>
          <w:szCs w:val="32"/>
        </w:rPr>
        <w:t xml:space="preserve">　　（7）宣传贯彻《信访条例》和国家、省、市的法律法规政策，维护正常的信访工作秩序，保护信访者正当的民主权利。</w:t>
      </w:r>
    </w:p>
    <w:p w:rsidR="00886372" w:rsidRPr="00BE2550" w:rsidRDefault="00523A7B">
      <w:pPr>
        <w:widowControl w:val="0"/>
        <w:shd w:val="clear" w:color="auto" w:fill="FFFFFF"/>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lastRenderedPageBreak/>
        <w:t>（二）机构设置情况</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雨花区信访局（含1个下设二级机构区人民来访接待中心），共内设办公室、办信科、办案科、复查复核科、网络信访科、督查督办科、区联席办、财务科8个科室。现有在职人员14人，退休5人，政府雇员7人。</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二、部门整体支出管理及使用情况</w:t>
      </w:r>
    </w:p>
    <w:p w:rsidR="00886372" w:rsidRPr="00BE2550" w:rsidRDefault="00523A7B">
      <w:pPr>
        <w:widowControl w:val="0"/>
        <w:shd w:val="clear" w:color="auto" w:fill="FFFFFF"/>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（一）基本支出</w:t>
      </w:r>
    </w:p>
    <w:p w:rsidR="00886372" w:rsidRPr="00BE2550" w:rsidRDefault="00523A7B">
      <w:pPr>
        <w:widowControl w:val="0"/>
        <w:shd w:val="clear" w:color="auto" w:fill="FFFFFF"/>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基本支出主要用于保障单位运转、完成日常工作任务而发生的各项支出，包括基本工资、津贴补贴等人员经费以及办公费、印刷费、邮电费等日常公用经费。2021年基本支出年初预算547.97万元，决算591.21万元，预算执行率为108%，主要为其他交通费用的增加。</w:t>
      </w:r>
    </w:p>
    <w:p w:rsidR="00886372" w:rsidRPr="00BE2550" w:rsidRDefault="00523A7B">
      <w:pPr>
        <w:widowControl w:val="0"/>
        <w:shd w:val="clear" w:color="auto" w:fill="FFFFFF"/>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（二）专项支出</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bCs/>
          <w:sz w:val="32"/>
          <w:szCs w:val="32"/>
        </w:rPr>
      </w:pPr>
      <w:r w:rsidRPr="00BE2550">
        <w:rPr>
          <w:rFonts w:asciiTheme="minorEastAsia" w:eastAsiaTheme="minorEastAsia" w:hAnsiTheme="minorEastAsia" w:hint="eastAsia"/>
          <w:bCs/>
          <w:sz w:val="32"/>
          <w:szCs w:val="32"/>
        </w:rPr>
        <w:t>项目资金年初预算215万元。主要包括人民来访接待中心5万元，信访救助60万元，维稳、接访150万元。项目支出决算299.74万元，本年项目资金预算执行率139%。</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Times New Roman"/>
          <w:sz w:val="32"/>
          <w:szCs w:val="32"/>
        </w:rPr>
      </w:pPr>
      <w:r w:rsidRPr="00BE2550">
        <w:rPr>
          <w:rFonts w:asciiTheme="minorEastAsia" w:eastAsiaTheme="minorEastAsia" w:hAnsiTheme="minorEastAsia" w:cs="Times New Roman" w:hint="eastAsia"/>
          <w:sz w:val="32"/>
          <w:szCs w:val="32"/>
        </w:rPr>
        <w:t>三、部门专项组织实施情况</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（一）管理制度健全，单位严格执行内部财务管理制度、公务接待管理制度、公务人员差旅费报批制度、厉行节约制度等，相关管理制度得到有效执行。</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（二）单位资金的支出符合国家财经法规和财务管理制度规定以及有关专项资金管理办法的规定，符合部门预算批复的用</w:t>
      </w:r>
      <w:r w:rsidRPr="00BE2550">
        <w:rPr>
          <w:rFonts w:asciiTheme="minorEastAsia" w:eastAsiaTheme="minorEastAsia" w:hAnsiTheme="minorEastAsia" w:cs="宋体" w:hint="eastAsia"/>
          <w:color w:val="333333"/>
          <w:sz w:val="32"/>
          <w:szCs w:val="32"/>
        </w:rPr>
        <w:lastRenderedPageBreak/>
        <w:t>途，资金拨付有完整的审批程序和手续，项目支出按规定经过评估论证，资金使用无截留、挤占、挪用、虚列支出等情况。</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宋体"/>
          <w:color w:val="333333"/>
          <w:sz w:val="32"/>
          <w:szCs w:val="32"/>
        </w:rPr>
      </w:pPr>
      <w:r w:rsidRPr="00BE2550">
        <w:rPr>
          <w:rFonts w:asciiTheme="minorEastAsia" w:eastAsiaTheme="minorEastAsia" w:hAnsiTheme="minorEastAsia" w:cs="宋体" w:hint="eastAsia"/>
          <w:color w:val="333333"/>
          <w:sz w:val="32"/>
          <w:szCs w:val="32"/>
        </w:rPr>
        <w:t>（三）单位预算信息按时、按规定内容公开，基础数据信息和会计信息资料准确完整。</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Times New Roman"/>
          <w:sz w:val="32"/>
          <w:szCs w:val="32"/>
        </w:rPr>
      </w:pPr>
      <w:r w:rsidRPr="00BE2550">
        <w:rPr>
          <w:rFonts w:asciiTheme="minorEastAsia" w:eastAsiaTheme="minorEastAsia" w:hAnsiTheme="minorEastAsia" w:cs="Times New Roman" w:hint="eastAsia"/>
          <w:sz w:val="32"/>
          <w:szCs w:val="32"/>
        </w:rPr>
        <w:t>四、资产管理情况</w:t>
      </w:r>
    </w:p>
    <w:p w:rsidR="00886372" w:rsidRPr="00BE2550" w:rsidRDefault="00523A7B">
      <w:pPr>
        <w:widowControl w:val="0"/>
        <w:shd w:val="clear" w:color="auto" w:fill="FFFFFF"/>
        <w:overflowPunct w:val="0"/>
        <w:spacing w:after="0" w:line="600" w:lineRule="exact"/>
        <w:ind w:firstLineChars="200" w:firstLine="640"/>
        <w:jc w:val="both"/>
        <w:rPr>
          <w:rFonts w:asciiTheme="minorEastAsia" w:eastAsiaTheme="minorEastAsia" w:hAnsiTheme="minorEastAsia" w:cs="宋体"/>
          <w:color w:val="000000"/>
          <w:sz w:val="32"/>
          <w:szCs w:val="32"/>
        </w:rPr>
      </w:pPr>
      <w:r w:rsidRPr="00BE2550">
        <w:rPr>
          <w:rFonts w:asciiTheme="minorEastAsia" w:eastAsiaTheme="minorEastAsia" w:hAnsiTheme="minorEastAsia" w:cs="宋体" w:hint="eastAsia"/>
          <w:color w:val="000000"/>
          <w:sz w:val="32"/>
          <w:szCs w:val="32"/>
        </w:rPr>
        <w:t>截至2021年12月31日，单位固定资产年末价值152.42万元。车辆1台，金额29.58万元。2021年我单位政府采购决算总额0.97万元，其中：货物类决算0.97万元、工程类决算0万元、服务类决算0万元。</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Times New Roman"/>
          <w:sz w:val="32"/>
          <w:szCs w:val="32"/>
        </w:rPr>
      </w:pPr>
      <w:r w:rsidRPr="00BE2550">
        <w:rPr>
          <w:rFonts w:asciiTheme="minorEastAsia" w:eastAsiaTheme="minorEastAsia" w:hAnsiTheme="minorEastAsia" w:cs="Times New Roman" w:hint="eastAsia"/>
          <w:sz w:val="32"/>
          <w:szCs w:val="32"/>
        </w:rPr>
        <w:t>五、部门整体支出绩效情况</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sz w:val="32"/>
          <w:szCs w:val="32"/>
        </w:rPr>
      </w:pPr>
      <w:r w:rsidRPr="00BE2550">
        <w:rPr>
          <w:rFonts w:asciiTheme="minorEastAsia" w:eastAsiaTheme="minorEastAsia" w:hAnsiTheme="minorEastAsia" w:cs="宋体" w:hint="eastAsia"/>
          <w:sz w:val="32"/>
          <w:szCs w:val="32"/>
        </w:rPr>
        <w:t>根据《财政部关于印发〈财政支出绩效评价管理暂行办法〉的通知》（财预〔2011〕285号）、《长沙市财政公共项目支出绩效评价实施细则》（长政发〔2009〕43号）和《关于推进雨花区预算绩效管理的意见》（雨政办发〔2013〕28号）等有关规定要求，我们在雨花区财政局绩效评价科的指导下，结合部门整体支出特点，经评价审定，该项得分为92</w:t>
      </w:r>
      <w:bookmarkStart w:id="0" w:name="_GoBack"/>
      <w:bookmarkEnd w:id="0"/>
      <w:r w:rsidRPr="00BE2550">
        <w:rPr>
          <w:rFonts w:asciiTheme="minorEastAsia" w:eastAsiaTheme="minorEastAsia" w:hAnsiTheme="minorEastAsia" w:cs="宋体" w:hint="eastAsia"/>
          <w:sz w:val="32"/>
          <w:szCs w:val="32"/>
        </w:rPr>
        <w:t>分，绩效评价结果等次为“优”。</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Times New Roman"/>
          <w:b/>
          <w:sz w:val="32"/>
          <w:szCs w:val="32"/>
        </w:rPr>
      </w:pPr>
      <w:r w:rsidRPr="00BE2550">
        <w:rPr>
          <w:rFonts w:asciiTheme="minorEastAsia" w:eastAsiaTheme="minorEastAsia" w:hAnsiTheme="minorEastAsia" w:cs="Times New Roman" w:hint="eastAsia"/>
          <w:sz w:val="32"/>
          <w:szCs w:val="32"/>
        </w:rPr>
        <w:t>六、存在的主要问题 主要阐述资金安排、使用，资产管理过程中存在的问题</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Times New Roman"/>
          <w:b/>
          <w:sz w:val="32"/>
          <w:szCs w:val="32"/>
        </w:rPr>
      </w:pPr>
      <w:r w:rsidRPr="00BE2550">
        <w:rPr>
          <w:rFonts w:asciiTheme="minorEastAsia" w:eastAsiaTheme="minorEastAsia" w:hAnsiTheme="minorEastAsia" w:hint="eastAsia"/>
          <w:sz w:val="32"/>
          <w:szCs w:val="32"/>
        </w:rPr>
        <w:t>专项资金存在年中追加问题，也存在项目经费没有使用的情况，存在与业务科室沟通不足问题。</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cs="Times New Roman"/>
          <w:sz w:val="32"/>
          <w:szCs w:val="32"/>
        </w:rPr>
      </w:pPr>
      <w:r w:rsidRPr="00BE2550">
        <w:rPr>
          <w:rFonts w:asciiTheme="minorEastAsia" w:eastAsiaTheme="minorEastAsia" w:hAnsiTheme="minorEastAsia" w:cs="Times New Roman" w:hint="eastAsia"/>
          <w:sz w:val="32"/>
          <w:szCs w:val="32"/>
        </w:rPr>
        <w:t>七、改进措施和有关建议</w:t>
      </w:r>
    </w:p>
    <w:p w:rsidR="00886372" w:rsidRPr="00BE2550" w:rsidRDefault="00523A7B">
      <w:pPr>
        <w:widowControl w:val="0"/>
        <w:overflowPunct w:val="0"/>
        <w:spacing w:after="0" w:line="600" w:lineRule="exact"/>
        <w:ind w:firstLineChars="200" w:firstLine="640"/>
        <w:jc w:val="both"/>
        <w:rPr>
          <w:rFonts w:asciiTheme="minorEastAsia" w:eastAsiaTheme="minorEastAsia" w:hAnsiTheme="minorEastAsia"/>
          <w:sz w:val="32"/>
          <w:szCs w:val="32"/>
        </w:rPr>
      </w:pPr>
      <w:r w:rsidRPr="00BE2550">
        <w:rPr>
          <w:rFonts w:asciiTheme="minorEastAsia" w:eastAsiaTheme="minorEastAsia" w:hAnsiTheme="minorEastAsia" w:hint="eastAsia"/>
          <w:sz w:val="32"/>
          <w:szCs w:val="32"/>
        </w:rPr>
        <w:lastRenderedPageBreak/>
        <w:t>加强与各业务部门的沟通。使预算编制更加完善，确保在工作中预算的合理性，为全局做好后勤保障服务工作。</w:t>
      </w:r>
    </w:p>
    <w:p w:rsidR="00886372" w:rsidRPr="00BE2550" w:rsidRDefault="00886372">
      <w:pPr>
        <w:widowControl w:val="0"/>
        <w:overflowPunct w:val="0"/>
        <w:spacing w:after="0" w:line="600" w:lineRule="exact"/>
        <w:ind w:firstLineChars="200" w:firstLine="640"/>
        <w:jc w:val="both"/>
        <w:rPr>
          <w:rFonts w:asciiTheme="minorEastAsia" w:eastAsiaTheme="minorEastAsia" w:hAnsiTheme="minorEastAsia"/>
          <w:sz w:val="32"/>
          <w:szCs w:val="32"/>
        </w:rPr>
      </w:pPr>
    </w:p>
    <w:sectPr w:rsidR="00886372" w:rsidRPr="00BE2550" w:rsidSect="00886372">
      <w:footerReference w:type="even" r:id="rId8"/>
      <w:footerReference w:type="default" r:id="rId9"/>
      <w:pgSz w:w="11906" w:h="16838"/>
      <w:pgMar w:top="1701" w:right="1531" w:bottom="153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89" w:rsidRDefault="00C02B89" w:rsidP="00886372">
      <w:pPr>
        <w:spacing w:after="0"/>
      </w:pPr>
      <w:r>
        <w:separator/>
      </w:r>
    </w:p>
  </w:endnote>
  <w:endnote w:type="continuationSeparator" w:id="1">
    <w:p w:rsidR="00C02B89" w:rsidRDefault="00C02B89" w:rsidP="008863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72" w:rsidRDefault="00F31315">
    <w:pPr>
      <w:pStyle w:val="a3"/>
      <w:framePr w:wrap="around" w:vAnchor="text" w:hAnchor="margin" w:xAlign="outside" w:y="1"/>
      <w:rPr>
        <w:rStyle w:val="a6"/>
      </w:rPr>
    </w:pPr>
    <w:r>
      <w:rPr>
        <w:rStyle w:val="a6"/>
      </w:rPr>
      <w:fldChar w:fldCharType="begin"/>
    </w:r>
    <w:r w:rsidR="00523A7B">
      <w:rPr>
        <w:rStyle w:val="a6"/>
      </w:rPr>
      <w:instrText xml:space="preserve">PAGE  </w:instrText>
    </w:r>
    <w:r>
      <w:rPr>
        <w:rStyle w:val="a6"/>
      </w:rPr>
      <w:fldChar w:fldCharType="end"/>
    </w:r>
  </w:p>
  <w:p w:rsidR="00886372" w:rsidRDefault="0088637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72" w:rsidRDefault="00F31315">
    <w:pPr>
      <w:pStyle w:val="a3"/>
      <w:framePr w:wrap="around" w:vAnchor="text" w:hAnchor="margin" w:xAlign="outside" w:y="1"/>
      <w:ind w:leftChars="200" w:left="440" w:rightChars="200" w:right="440"/>
      <w:rPr>
        <w:rStyle w:val="a6"/>
        <w:rFonts w:asciiTheme="minorEastAsia" w:hAnsiTheme="minorEastAsia"/>
        <w:sz w:val="28"/>
        <w:szCs w:val="28"/>
      </w:rPr>
    </w:pPr>
    <w:r>
      <w:rPr>
        <w:rStyle w:val="a6"/>
        <w:rFonts w:asciiTheme="minorEastAsia" w:hAnsiTheme="minorEastAsia"/>
        <w:sz w:val="28"/>
        <w:szCs w:val="28"/>
      </w:rPr>
      <w:fldChar w:fldCharType="begin"/>
    </w:r>
    <w:r w:rsidR="00523A7B">
      <w:rPr>
        <w:rStyle w:val="a6"/>
        <w:rFonts w:asciiTheme="minorEastAsia" w:hAnsiTheme="minorEastAsia"/>
        <w:sz w:val="28"/>
        <w:szCs w:val="28"/>
      </w:rPr>
      <w:instrText xml:space="preserve">PAGE  </w:instrText>
    </w:r>
    <w:r>
      <w:rPr>
        <w:rStyle w:val="a6"/>
        <w:rFonts w:asciiTheme="minorEastAsia" w:hAnsiTheme="minorEastAsia"/>
        <w:sz w:val="28"/>
        <w:szCs w:val="28"/>
      </w:rPr>
      <w:fldChar w:fldCharType="separate"/>
    </w:r>
    <w:r w:rsidR="00BE2550">
      <w:rPr>
        <w:rStyle w:val="a6"/>
        <w:rFonts w:asciiTheme="minorEastAsia" w:hAnsiTheme="minorEastAsia"/>
        <w:noProof/>
        <w:sz w:val="28"/>
        <w:szCs w:val="28"/>
      </w:rPr>
      <w:t>- 4 -</w:t>
    </w:r>
    <w:r>
      <w:rPr>
        <w:rStyle w:val="a6"/>
        <w:rFonts w:asciiTheme="minorEastAsia" w:hAnsiTheme="minorEastAsia"/>
        <w:sz w:val="28"/>
        <w:szCs w:val="28"/>
      </w:rPr>
      <w:fldChar w:fldCharType="end"/>
    </w:r>
  </w:p>
  <w:p w:rsidR="00886372" w:rsidRDefault="00523A7B">
    <w:pPr>
      <w:pStyle w:val="a3"/>
      <w:tabs>
        <w:tab w:val="clear" w:pos="4153"/>
        <w:tab w:val="clear" w:pos="8306"/>
        <w:tab w:val="left" w:pos="990"/>
      </w:tabs>
      <w:ind w:right="360"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89" w:rsidRDefault="00C02B89">
      <w:pPr>
        <w:spacing w:after="0"/>
      </w:pPr>
      <w:r>
        <w:separator/>
      </w:r>
    </w:p>
  </w:footnote>
  <w:footnote w:type="continuationSeparator" w:id="1">
    <w:p w:rsidR="00C02B89" w:rsidRDefault="00C02B8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231"/>
    <w:rsid w:val="000001BE"/>
    <w:rsid w:val="00057584"/>
    <w:rsid w:val="00064733"/>
    <w:rsid w:val="00094DA8"/>
    <w:rsid w:val="00096B75"/>
    <w:rsid w:val="000D0D83"/>
    <w:rsid w:val="000E2BE9"/>
    <w:rsid w:val="000E68EA"/>
    <w:rsid w:val="00110423"/>
    <w:rsid w:val="001208DA"/>
    <w:rsid w:val="0012437A"/>
    <w:rsid w:val="001319B6"/>
    <w:rsid w:val="001353E0"/>
    <w:rsid w:val="00137B7E"/>
    <w:rsid w:val="0017653B"/>
    <w:rsid w:val="00197879"/>
    <w:rsid w:val="001A1351"/>
    <w:rsid w:val="001B4A76"/>
    <w:rsid w:val="00203266"/>
    <w:rsid w:val="0021169E"/>
    <w:rsid w:val="00220FBA"/>
    <w:rsid w:val="00225B70"/>
    <w:rsid w:val="0022754C"/>
    <w:rsid w:val="00244C6F"/>
    <w:rsid w:val="002519B8"/>
    <w:rsid w:val="00270F0D"/>
    <w:rsid w:val="00276B80"/>
    <w:rsid w:val="00293379"/>
    <w:rsid w:val="002B3120"/>
    <w:rsid w:val="002F2231"/>
    <w:rsid w:val="003112B3"/>
    <w:rsid w:val="0032312A"/>
    <w:rsid w:val="003231B9"/>
    <w:rsid w:val="00366D43"/>
    <w:rsid w:val="00384E9C"/>
    <w:rsid w:val="00390986"/>
    <w:rsid w:val="00390BC4"/>
    <w:rsid w:val="003B3516"/>
    <w:rsid w:val="003D2830"/>
    <w:rsid w:val="003D4304"/>
    <w:rsid w:val="003E61D3"/>
    <w:rsid w:val="004048F4"/>
    <w:rsid w:val="00481006"/>
    <w:rsid w:val="00491D01"/>
    <w:rsid w:val="004B7A0E"/>
    <w:rsid w:val="004C76A9"/>
    <w:rsid w:val="004D50F7"/>
    <w:rsid w:val="004E55BF"/>
    <w:rsid w:val="004E7E3E"/>
    <w:rsid w:val="004F5C2B"/>
    <w:rsid w:val="00500589"/>
    <w:rsid w:val="005014DF"/>
    <w:rsid w:val="00523A7B"/>
    <w:rsid w:val="0055234A"/>
    <w:rsid w:val="0060489E"/>
    <w:rsid w:val="00615B26"/>
    <w:rsid w:val="00632A07"/>
    <w:rsid w:val="006365B1"/>
    <w:rsid w:val="006578EB"/>
    <w:rsid w:val="00660F43"/>
    <w:rsid w:val="00666AA3"/>
    <w:rsid w:val="00667BA9"/>
    <w:rsid w:val="006A5DC0"/>
    <w:rsid w:val="006C15AA"/>
    <w:rsid w:val="006E42B9"/>
    <w:rsid w:val="006E5FB1"/>
    <w:rsid w:val="006F3EAF"/>
    <w:rsid w:val="00700AEE"/>
    <w:rsid w:val="00726974"/>
    <w:rsid w:val="007363C5"/>
    <w:rsid w:val="0074270C"/>
    <w:rsid w:val="00747590"/>
    <w:rsid w:val="00770136"/>
    <w:rsid w:val="007A3BFE"/>
    <w:rsid w:val="007A455D"/>
    <w:rsid w:val="007D163F"/>
    <w:rsid w:val="0081637D"/>
    <w:rsid w:val="0084593C"/>
    <w:rsid w:val="00854ADE"/>
    <w:rsid w:val="00886372"/>
    <w:rsid w:val="00896EAE"/>
    <w:rsid w:val="008A7534"/>
    <w:rsid w:val="008C6C39"/>
    <w:rsid w:val="008D10BE"/>
    <w:rsid w:val="008D3008"/>
    <w:rsid w:val="008F5FA9"/>
    <w:rsid w:val="00900276"/>
    <w:rsid w:val="00905B29"/>
    <w:rsid w:val="0092204E"/>
    <w:rsid w:val="00936EDF"/>
    <w:rsid w:val="00940F42"/>
    <w:rsid w:val="00971E5C"/>
    <w:rsid w:val="00974998"/>
    <w:rsid w:val="009E3D71"/>
    <w:rsid w:val="00A037BF"/>
    <w:rsid w:val="00A45AAA"/>
    <w:rsid w:val="00A84489"/>
    <w:rsid w:val="00A92B00"/>
    <w:rsid w:val="00AB5928"/>
    <w:rsid w:val="00AD470A"/>
    <w:rsid w:val="00AE6CB2"/>
    <w:rsid w:val="00B275CE"/>
    <w:rsid w:val="00B33AD1"/>
    <w:rsid w:val="00B832B7"/>
    <w:rsid w:val="00B86902"/>
    <w:rsid w:val="00B96F9F"/>
    <w:rsid w:val="00BC5AA4"/>
    <w:rsid w:val="00BD3229"/>
    <w:rsid w:val="00BD709A"/>
    <w:rsid w:val="00BE2550"/>
    <w:rsid w:val="00BF53C2"/>
    <w:rsid w:val="00C02B89"/>
    <w:rsid w:val="00C4637E"/>
    <w:rsid w:val="00C646CB"/>
    <w:rsid w:val="00CA1A98"/>
    <w:rsid w:val="00CA7683"/>
    <w:rsid w:val="00CC1D02"/>
    <w:rsid w:val="00CD4DD3"/>
    <w:rsid w:val="00CF15BD"/>
    <w:rsid w:val="00D023F1"/>
    <w:rsid w:val="00D03692"/>
    <w:rsid w:val="00D6271E"/>
    <w:rsid w:val="00D658F5"/>
    <w:rsid w:val="00D82517"/>
    <w:rsid w:val="00DA54A6"/>
    <w:rsid w:val="00DA7740"/>
    <w:rsid w:val="00DD2AF0"/>
    <w:rsid w:val="00E36AF7"/>
    <w:rsid w:val="00E40DD2"/>
    <w:rsid w:val="00E51893"/>
    <w:rsid w:val="00E94EBB"/>
    <w:rsid w:val="00E95868"/>
    <w:rsid w:val="00EC1733"/>
    <w:rsid w:val="00ED68DA"/>
    <w:rsid w:val="00F24847"/>
    <w:rsid w:val="00F31315"/>
    <w:rsid w:val="00F4209C"/>
    <w:rsid w:val="00F62F93"/>
    <w:rsid w:val="00F76613"/>
    <w:rsid w:val="00F83FAA"/>
    <w:rsid w:val="0758565F"/>
    <w:rsid w:val="0A7E3AF3"/>
    <w:rsid w:val="0BEB51B8"/>
    <w:rsid w:val="0C1E558E"/>
    <w:rsid w:val="0EB126E9"/>
    <w:rsid w:val="0F704352"/>
    <w:rsid w:val="10F93ED3"/>
    <w:rsid w:val="128F4AEF"/>
    <w:rsid w:val="12D63B53"/>
    <w:rsid w:val="17171557"/>
    <w:rsid w:val="1BE51C24"/>
    <w:rsid w:val="1C506D09"/>
    <w:rsid w:val="1CD04682"/>
    <w:rsid w:val="1E3E386E"/>
    <w:rsid w:val="1E965458"/>
    <w:rsid w:val="1EDC730E"/>
    <w:rsid w:val="1FA12F8C"/>
    <w:rsid w:val="20230F6D"/>
    <w:rsid w:val="27C6290A"/>
    <w:rsid w:val="2A756869"/>
    <w:rsid w:val="2B4F2C16"/>
    <w:rsid w:val="2D0068BE"/>
    <w:rsid w:val="34D7758B"/>
    <w:rsid w:val="354632DC"/>
    <w:rsid w:val="360867E3"/>
    <w:rsid w:val="3A773F37"/>
    <w:rsid w:val="3DC54FBA"/>
    <w:rsid w:val="3FAF1A7E"/>
    <w:rsid w:val="409F1AF2"/>
    <w:rsid w:val="42756FAE"/>
    <w:rsid w:val="444B446B"/>
    <w:rsid w:val="48082673"/>
    <w:rsid w:val="48B00A3D"/>
    <w:rsid w:val="49080B7C"/>
    <w:rsid w:val="49753D38"/>
    <w:rsid w:val="4AEE3DA2"/>
    <w:rsid w:val="4B814C16"/>
    <w:rsid w:val="4CEF5BAF"/>
    <w:rsid w:val="4F876573"/>
    <w:rsid w:val="51BF3DA2"/>
    <w:rsid w:val="51E63A25"/>
    <w:rsid w:val="5684380C"/>
    <w:rsid w:val="575B27BF"/>
    <w:rsid w:val="58A34162"/>
    <w:rsid w:val="590C1FE3"/>
    <w:rsid w:val="5E736640"/>
    <w:rsid w:val="60917251"/>
    <w:rsid w:val="635A1B7D"/>
    <w:rsid w:val="66456B14"/>
    <w:rsid w:val="6AE52674"/>
    <w:rsid w:val="6C94090D"/>
    <w:rsid w:val="6CAB169B"/>
    <w:rsid w:val="6D437B25"/>
    <w:rsid w:val="6E364F94"/>
    <w:rsid w:val="6E5D4C17"/>
    <w:rsid w:val="73E3796C"/>
    <w:rsid w:val="74212243"/>
    <w:rsid w:val="75C612F4"/>
    <w:rsid w:val="76A258BD"/>
    <w:rsid w:val="7A483DE5"/>
    <w:rsid w:val="7B002BB2"/>
    <w:rsid w:val="7DB67EA0"/>
    <w:rsid w:val="7DC919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72"/>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86372"/>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4">
    <w:name w:val="header"/>
    <w:basedOn w:val="a"/>
    <w:link w:val="Char0"/>
    <w:uiPriority w:val="99"/>
    <w:semiHidden/>
    <w:unhideWhenUsed/>
    <w:rsid w:val="0088637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paragraph" w:styleId="a5">
    <w:name w:val="Normal (Web)"/>
    <w:basedOn w:val="a"/>
    <w:uiPriority w:val="99"/>
    <w:semiHidden/>
    <w:unhideWhenUsed/>
    <w:rsid w:val="00886372"/>
    <w:pPr>
      <w:adjustRightInd/>
      <w:snapToGrid/>
      <w:spacing w:before="100" w:beforeAutospacing="1" w:after="100" w:afterAutospacing="1"/>
    </w:pPr>
    <w:rPr>
      <w:rFonts w:ascii="宋体" w:eastAsia="宋体" w:hAnsi="宋体" w:cs="宋体"/>
      <w:sz w:val="24"/>
      <w:szCs w:val="24"/>
    </w:rPr>
  </w:style>
  <w:style w:type="character" w:styleId="a6">
    <w:name w:val="page number"/>
    <w:basedOn w:val="a0"/>
    <w:uiPriority w:val="99"/>
    <w:semiHidden/>
    <w:unhideWhenUsed/>
    <w:rsid w:val="00886372"/>
  </w:style>
  <w:style w:type="character" w:customStyle="1" w:styleId="Char0">
    <w:name w:val="页眉 Char"/>
    <w:basedOn w:val="a0"/>
    <w:link w:val="a4"/>
    <w:uiPriority w:val="99"/>
    <w:semiHidden/>
    <w:rsid w:val="00886372"/>
    <w:rPr>
      <w:sz w:val="18"/>
      <w:szCs w:val="18"/>
    </w:rPr>
  </w:style>
  <w:style w:type="character" w:customStyle="1" w:styleId="Char">
    <w:name w:val="页脚 Char"/>
    <w:basedOn w:val="a0"/>
    <w:link w:val="a3"/>
    <w:uiPriority w:val="99"/>
    <w:semiHidden/>
    <w:rsid w:val="0088637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DB088-EC1E-4F78-9C21-0BEF5358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216</Words>
  <Characters>1237</Characters>
  <Application>Microsoft Office Word</Application>
  <DocSecurity>0</DocSecurity>
  <Lines>10</Lines>
  <Paragraphs>2</Paragraphs>
  <ScaleCrop>false</ScaleCrop>
  <Company>微软中国</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朱江梅</dc:creator>
  <cp:lastModifiedBy>PC</cp:lastModifiedBy>
  <cp:revision>230</cp:revision>
  <cp:lastPrinted>2019-04-15T02:15:00Z</cp:lastPrinted>
  <dcterms:created xsi:type="dcterms:W3CDTF">2018-12-27T08:37:00Z</dcterms:created>
  <dcterms:modified xsi:type="dcterms:W3CDTF">2022-04-21T01:40:00Z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7A5225D85A7248999E2DE1598C076D52</vt:lpwstr>
  </property>
</Properties>
</file>