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1" w:afterAutospacing="0"/>
        <w:ind w:left="0" w:right="0"/>
        <w:jc w:val="center"/>
        <w:rPr>
          <w:rFonts w:hint="eastAsia" w:ascii="等线" w:hAnsi="等线" w:eastAsia="等线" w:cs="Times New Roman"/>
          <w:kern w:val="2"/>
          <w:sz w:val="21"/>
          <w:szCs w:val="21"/>
        </w:rPr>
      </w:pPr>
      <w:bookmarkStart w:id="0" w:name="_GoBack"/>
      <w:bookmarkEnd w:id="0"/>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20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799"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497"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002"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997" w:type="pct"/>
            <w:gridSpan w:val="4"/>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1002" w:type="pct"/>
            <w:gridSpan w:val="2"/>
            <w:tcBorders>
              <w:top w:val="nil"/>
              <w:left w:val="nil"/>
              <w:bottom w:val="single" w:color="666666" w:sz="4"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收入 </w:t>
            </w:r>
          </w:p>
        </w:tc>
        <w:tc>
          <w:tcPr>
            <w:tcW w:w="2500" w:type="pct"/>
            <w:gridSpan w:val="3"/>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金额 </w:t>
            </w: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一、一般公共预算财政拨款收入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890.97 </w:t>
            </w: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一、一般公共服务支出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二、政府性基金预算财政拨款收入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二、外交支出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33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三、国有资本经营预算财政拨款收入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三、国防支出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34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四、上级补助收入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四、公共安全支出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五、事业收入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五、教育支出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36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六、经营收入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六、科学技术支出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37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七、附属单位上缴收入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七、文化旅游体育与传媒支出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38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八、其他收入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八、社会保障和就业支出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九、卫生健康支出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40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十、节能环保支出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十一、城乡社区支出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十二、农林水支出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43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13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十三、交通运输支出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44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14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十四、资源勘探工业信息等支出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45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15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十五、商业服务业等支出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46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16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十六、金融支出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47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17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十七、援助其他地区支出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48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十八、自然资源海洋气象等支出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49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19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十九、住房保障支出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50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二十、粮油物资储备支出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二十一、国有资本经营预算支出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二十二、灾害防治及应急管理支出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53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23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二十三、其他支出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54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24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二十四、债务还本支出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55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25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二十五、债务付息支出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56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26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二十六、抗疫特别国债安排的支出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57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本年收入合计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27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本年支出合计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58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使用非财政拨款结余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28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结余分配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年初结转和结余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年末结转和结余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60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1497"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20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62 </w:t>
            </w:r>
          </w:p>
        </w:tc>
        <w:tc>
          <w:tcPr>
            <w:tcW w:w="799"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注：本表反映部门本年度的总收支和年末结转结余情况。本表金额转换为万元时，因四舍五入可能存在尾数误差。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8"/>
        <w:gridCol w:w="359"/>
        <w:gridCol w:w="369"/>
        <w:gridCol w:w="3192"/>
        <w:gridCol w:w="2175"/>
        <w:gridCol w:w="1591"/>
        <w:gridCol w:w="1591"/>
        <w:gridCol w:w="1591"/>
        <w:gridCol w:w="1617"/>
        <w:gridCol w:w="159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1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1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993"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678"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993"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04" w:type="pct"/>
            <w:gridSpan w:val="9"/>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993"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本年收入合计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财政拨款收入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上级补助收入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事业收入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经营收入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附属单位上缴收入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一般公共服务支出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政府办公厅（室）及相关机构事务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2010301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行政运行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2010308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信访事务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社会保障和就业支出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20805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行政事业单位养老支出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2080506 </w:t>
            </w: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机关事业单位职业年金缴费支出 </w:t>
            </w: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99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6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注：本表反映部门本年度取得的各项收入情况。本表金额转换为万元时，因四舍五入可能存在尾数误差。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0"/>
        <w:gridCol w:w="401"/>
        <w:gridCol w:w="401"/>
        <w:gridCol w:w="3551"/>
        <w:gridCol w:w="2415"/>
        <w:gridCol w:w="1771"/>
        <w:gridCol w:w="1771"/>
        <w:gridCol w:w="1777"/>
        <w:gridCol w:w="1771"/>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2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2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2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10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753"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105"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93" w:type="pct"/>
            <w:gridSpan w:val="8"/>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1105"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82"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本年支出合计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上缴上级支出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经营支出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75" w:type="pct"/>
            <w:gridSpan w:val="3"/>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82"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482"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591.22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299.75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一般公共服务支出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政府办公厅（室）及相关机构事务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2010301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行政运行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2010308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信访事务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社会保障和就业支出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20805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行政事业单位养老支出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2080506 </w:t>
            </w: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机关事业单位职业年金缴费支出 </w:t>
            </w: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5"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10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7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注：本表反映部门本年度各项支出情况。本表金额转换为万元时，因四舍五入可能存在尾数误差。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8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151"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66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5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911"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6" w:type="pct"/>
            <w:gridSpan w:val="7"/>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911" w:type="pct"/>
            <w:gridSpan w:val="2"/>
            <w:tcBorders>
              <w:top w:val="nil"/>
              <w:left w:val="nil"/>
              <w:bottom w:val="single" w:color="666666" w:sz="4"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50"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收 入 </w:t>
            </w:r>
          </w:p>
        </w:tc>
        <w:tc>
          <w:tcPr>
            <w:tcW w:w="3349" w:type="pct"/>
            <w:gridSpan w:val="6"/>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金额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一般公共预算财政拨款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政府性基金预算财政拨款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一、一般公共预算财政拨款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890.97 </w:t>
            </w: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一、一般公共服务支出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33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二、政府性基金预算财政拨款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二、外交支出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34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三、国有资本经营财政拨款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三、国防支出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35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四、公共安全支出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36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五、教育支出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37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六、科学技术支出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38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七、文化旅游体育与传媒支出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八、社会保障和就业支出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40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九、卫生健康支出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41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十、节能环保支出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42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十一、城乡社区支出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43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十二、农林水支出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44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13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十三、交通运输支出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45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14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十四、资源勘探工业信息等支出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46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15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十五、商业服务业等支出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47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16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十六、金融支出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48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17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十七、援助其他地区支出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49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十八、自然资源海洋气象等支出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50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19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十九、住房保障支出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51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二十、粮油物资储备支出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52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21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二十一、国有资本经营预算支出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53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22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二十二、灾害防治及应急管理支出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54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23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二十三、其他支出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55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24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二十四、债务还本支出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56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25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二十五、债务付息支出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57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26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二十六、抗疫特别国债安排的支出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58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本年收入合计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27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本年支出合计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年初财政拨款结转和结余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28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年末财政拨款结转和结余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60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一般公共预算财政拨款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61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政府性基金预算财政拨款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62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国有资本经营预算财政拨款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63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32 </w:t>
            </w:r>
          </w:p>
        </w:tc>
        <w:tc>
          <w:tcPr>
            <w:tcW w:w="48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115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总计 </w:t>
            </w:r>
          </w:p>
        </w:tc>
        <w:tc>
          <w:tcPr>
            <w:tcW w:w="16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64 </w:t>
            </w:r>
          </w:p>
        </w:tc>
        <w:tc>
          <w:tcPr>
            <w:tcW w:w="6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1"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41"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41"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682"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96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928"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71" w:type="pct"/>
            <w:gridSpan w:val="5"/>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1928" w:type="pct"/>
            <w:gridSpan w:val="2"/>
            <w:tcBorders>
              <w:top w:val="nil"/>
              <w:left w:val="nil"/>
              <w:bottom w:val="single" w:color="666666" w:sz="4"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107"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892" w:type="pct"/>
            <w:gridSpan w:val="3"/>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107"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107"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890.97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591.22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299.75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一般公共服务支出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政府办公厅（室）及相关机构事务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890.57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2010301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行政运行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590.82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2010308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信访事务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社会保障和就业支出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20805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行政事业单位养老支出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2080506 </w:t>
            </w: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机关事业单位职业年金缴费支出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682"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注：本表反映部门本年度一般公共预算财政拨款支出情况。本表金额转换为万元时，因四舍五入可能存在尾数误差。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一般公共预算财政拨款基本支出决算明细表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053"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538"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22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828"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538"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22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366"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18"/>
                <w:szCs w:val="18"/>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32" w:type="pct"/>
            <w:gridSpan w:val="7"/>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1366" w:type="pct"/>
            <w:gridSpan w:val="2"/>
            <w:tcBorders>
              <w:top w:val="nil"/>
              <w:left w:val="nil"/>
              <w:bottom w:val="single" w:color="666666" w:sz="4"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18"/>
                <w:szCs w:val="18"/>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81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人员经费 </w:t>
            </w:r>
          </w:p>
        </w:tc>
        <w:tc>
          <w:tcPr>
            <w:tcW w:w="3182" w:type="pct"/>
            <w:gridSpan w:val="6"/>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科目编码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科目编码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科目编码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301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工资福利支出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509.01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商品和服务支出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51.50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307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债务利息及费用支出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30101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基本工资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61.17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办公费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5.69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30701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国内债务付息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30102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津贴补贴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69.04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印刷费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0.59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30702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国外债务付息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30103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奖金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229.01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30203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咨询费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310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资本性支出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30106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伙食补助费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30204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手续费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房屋建筑物购建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30107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绩效工资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30205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水费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办公设备购置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30108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机关事业单位基本养老保险缴费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20.65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30206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电费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31003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专用设备购置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30109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职业年金缴费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0.40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30207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邮电费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1.25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31005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基础设施建设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30110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职工基本医疗保险缴费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13.64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30208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取暖费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31006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大型修缮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30111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公务员医疗补助缴费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21.66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30209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物业管理费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31007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信息网络及软件购置更新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30112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其他社会保障缴费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6.77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差旅费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31008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物资储备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30113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住房公积金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32.35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因公出国（境）费用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31009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土地补偿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30114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医疗费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1.80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30213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维修（护）费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0.22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31010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安置补助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30199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其他工资福利支出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52.53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30214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租赁费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0.03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地上附着物和青苗补偿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303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对个人和家庭的补助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30.71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30215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会议费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0.06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拆迁补偿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30301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离休费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30216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培训费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0.23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31013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30302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退休费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30.71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30217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31019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其他交通工具购置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30303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退职（役）费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30218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专用材料费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31021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文物和陈列品购置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30304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抚恤金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30224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被装购置费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31022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无形资产购置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30305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生活补助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30225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专用燃料费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31099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其他资本性支出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30306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救济费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30226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劳务费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0.18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399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bCs/>
                <w:kern w:val="0"/>
                <w:sz w:val="22"/>
                <w:szCs w:val="22"/>
              </w:rPr>
              <w:t xml:space="preserve">其他支出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30307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医疗费补助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30227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委托业务费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39906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赠与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30308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助学金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30228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工会经费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6.26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39907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国家赔偿费用支出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30309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奖励金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30229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福利费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39908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对民间非营利组织和群众性自治组织补贴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30310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个人农业生产补贴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30231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公务用车运行维护费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1.85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39999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30311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代缴社会保险费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30239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其他交通费用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14.34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30399 </w:t>
            </w: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其他对个人和家庭的补助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30240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税金及附加费用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24"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5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30299 </w:t>
            </w: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其他商品和服务支出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20.80 </w:t>
            </w:r>
          </w:p>
        </w:tc>
        <w:tc>
          <w:tcPr>
            <w:tcW w:w="22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78" w:type="pct"/>
            <w:gridSpan w:val="2"/>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人员经费合计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539.72 </w:t>
            </w:r>
          </w:p>
        </w:tc>
        <w:tc>
          <w:tcPr>
            <w:tcW w:w="2645" w:type="pct"/>
            <w:gridSpan w:val="5"/>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bCs/>
                <w:kern w:val="0"/>
                <w:sz w:val="22"/>
                <w:szCs w:val="22"/>
              </w:rPr>
              <w:t xml:space="preserve">公用经费合计 </w:t>
            </w:r>
          </w:p>
        </w:tc>
        <w:tc>
          <w:tcPr>
            <w:tcW w:w="53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51.50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注：本表反映部门本年度一般公共预算财政拨款基本支出明细情况。本表金额转换为万元时，因四舍五入可能存在尾数误差。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833"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833" w:type="pct"/>
            <w:gridSpan w:val="2"/>
            <w:tcBorders>
              <w:top w:val="nil"/>
              <w:left w:val="nil"/>
              <w:bottom w:val="single" w:color="666666" w:sz="4"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预算数 </w:t>
            </w:r>
          </w:p>
        </w:tc>
        <w:tc>
          <w:tcPr>
            <w:tcW w:w="2500" w:type="pct"/>
            <w:gridSpan w:val="6"/>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4" w:space="0"/>
              <w:left w:val="nil"/>
              <w:bottom w:val="nil"/>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pct"/>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16" w:type="pct"/>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3.17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2.97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2.97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0.20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1.85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1.85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1.85 </w:t>
            </w:r>
          </w:p>
        </w:tc>
        <w:tc>
          <w:tcPr>
            <w:tcW w:w="416"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
        <w:gridCol w:w="334"/>
        <w:gridCol w:w="334"/>
        <w:gridCol w:w="3458"/>
        <w:gridCol w:w="1180"/>
        <w:gridCol w:w="1969"/>
        <w:gridCol w:w="1075"/>
        <w:gridCol w:w="1524"/>
        <w:gridCol w:w="1517"/>
        <w:gridCol w:w="4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0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0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078"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368"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614"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33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73"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816"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82" w:type="pct"/>
            <w:gridSpan w:val="8"/>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1816"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0"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年初结转和结余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本年收入 </w:t>
            </w:r>
          </w:p>
        </w:tc>
        <w:tc>
          <w:tcPr>
            <w:tcW w:w="1281" w:type="pct"/>
            <w:gridSpan w:val="3"/>
            <w:tcBorders>
              <w:top w:val="single" w:color="666666" w:sz="4" w:space="0"/>
              <w:left w:val="nil"/>
              <w:bottom w:val="nil"/>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12"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0"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90"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注：本表反映部门本年度政府性基金预算财政拨款收入、支出及结转和结余情况。本表金额转换为万元时，因四舍五入可能存在尾数误差。 </w:t>
            </w:r>
          </w:p>
        </w:tc>
      </w:tr>
    </w:tbl>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1" w:afterAutospacing="0"/>
        <w:ind w:left="0" w:right="0"/>
        <w:jc w:val="center"/>
        <w:rPr>
          <w:rFonts w:hint="eastAsia" w:ascii="等线" w:hAnsi="等线" w:eastAsia="等线" w:cs="Times New Roman"/>
          <w:kern w:val="2"/>
          <w:sz w:val="21"/>
          <w:szCs w:val="21"/>
        </w:rPr>
      </w:pPr>
      <w:r>
        <w:rPr>
          <w:rFonts w:hint="eastAsia" w:ascii="等线" w:hAnsi="等线" w:eastAsia="等线" w:cs="Times New Roman"/>
          <w:kern w:val="2"/>
          <w:sz w:val="21"/>
          <w:szCs w:val="21"/>
        </w:rPr>
        <w:t xml:space="preserve"> </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国有资本经营预算财政拨款支出决算表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971"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843"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1686"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13" w:type="pct"/>
            <w:gridSpan w:val="5"/>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部门：长沙市雨花区信访局 </w:t>
            </w:r>
          </w:p>
        </w:tc>
        <w:tc>
          <w:tcPr>
            <w:tcW w:w="1686" w:type="pct"/>
            <w:gridSpan w:val="2"/>
            <w:tcBorders>
              <w:top w:val="nil"/>
              <w:left w:val="nil"/>
              <w:bottom w:val="single" w:color="666666" w:sz="4"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469"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 </w:t>
            </w:r>
          </w:p>
        </w:tc>
        <w:tc>
          <w:tcPr>
            <w:tcW w:w="2530" w:type="pct"/>
            <w:gridSpan w:val="3"/>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vMerge w:val="restart"/>
            <w:tcBorders>
              <w:top w:val="nil"/>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功能分类科目编码 </w:t>
            </w:r>
          </w:p>
        </w:tc>
        <w:tc>
          <w:tcPr>
            <w:tcW w:w="0" w:type="pct"/>
            <w:vMerge w:val="restart"/>
            <w:tcBorders>
              <w:top w:val="nil"/>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6" w:type="pct"/>
            <w:gridSpan w:val="3"/>
            <w:vMerge w:val="continue"/>
            <w:tcBorders>
              <w:top w:val="nil"/>
              <w:left w:val="single" w:color="666666" w:sz="4" w:space="0"/>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4" w:space="0"/>
              <w:left w:val="nil"/>
              <w:bottom w:val="single" w:color="666666" w:sz="4" w:space="0"/>
              <w:right w:val="single" w:color="666666"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469"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栏次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469" w:type="pct"/>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bCs/>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6" w:type="pct"/>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4" w:space="0"/>
              <w:left w:val="nil"/>
              <w:bottom w:val="single" w:color="666666" w:sz="4" w:space="0"/>
              <w:right w:val="single" w:color="666666" w:sz="4"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注：本表反映部门本年度国有资本经营预算财政拨款支出情况。本表金额转换为万元时，因四舍五入可能存在尾数误差。 </w:t>
            </w:r>
          </w:p>
        </w:tc>
      </w:tr>
    </w:tbl>
    <w:p>
      <w:pPr>
        <w:pStyle w:val="4"/>
        <w:keepNext w:val="0"/>
        <w:keepLines w:val="0"/>
        <w:widowControl/>
        <w:suppressLineNumbers w:val="0"/>
        <w:rPr>
          <w:rFonts w:hint="eastAsia" w:ascii="等线" w:hAnsi="等线" w:eastAsia="等线" w:cs="Times New Roman"/>
          <w:color w:val="000000"/>
          <w:kern w:val="2"/>
          <w:sz w:val="21"/>
          <w:szCs w:val="21"/>
        </w:rPr>
        <w:sectPr>
          <w:pgSz w:w="16838" w:h="11906"/>
          <w:pgMar w:top="1080" w:right="400" w:bottom="1080" w:left="400" w:header="851" w:footer="992" w:gutter="0"/>
          <w:cols w:space="0" w:num="1"/>
          <w:docGrid w:type="lines" w:linePitch="160" w:charSpace="0"/>
        </w:sectPr>
      </w:pPr>
      <w:r>
        <w:rPr>
          <w:rFonts w:hint="eastAsia" w:ascii="宋体" w:hAnsi="宋体" w:eastAsia="宋体" w:cs="宋体"/>
          <w:kern w:val="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2Y5MjdjNGNkMTRjZDRjZmRhZTk3OWQ5NTBhZWUifQ=="/>
  </w:docVars>
  <w:rsids>
    <w:rsidRoot w:val="45DA78DE"/>
    <w:rsid w:val="0BFF6C71"/>
    <w:rsid w:val="45DA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1"/>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3119</Words>
  <Characters>4139</Characters>
  <Lines>0</Lines>
  <Paragraphs>0</Paragraphs>
  <TotalTime>1</TotalTime>
  <ScaleCrop>false</ScaleCrop>
  <LinksUpToDate>false</LinksUpToDate>
  <CharactersWithSpaces>4889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2022-10-08T03:12:00Z</dcterms:created>
  <dc:creator>01</dc:creator>
  <cp:lastModifiedBy>01</cp:lastModifiedBy>
  <dcterms:modified xsi:type="dcterms:W3CDTF">2022-10-08T03:25:47Z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B17195AEF91248F8B4F25C4205E74B12</vt:lpwstr>
  </property>
</Properties>
</file>