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三大赛道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定义</w:t>
      </w:r>
    </w:p>
    <w:bookmarkEnd w:id="0"/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新兴产业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照国家发展改革委发布的《战略性新兴产业重点产品和服务指导目录（2016）》，主要包括9大重点支持领域：新一代信息技术产业、高端装备制造产业、新材料产业、生物产业、新能源汽车产业、新能源产业、节能环保产业、数字创意产业和相关服务业等。</w:t>
      </w: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传统产业及生活服务业：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食品加工工业、纺织服装工业、农林畜牧业、建筑建材工业、机械设备工业、汽车工业及冶金工业。生活服务业包括：居民和家庭服务、健康服务、养老服务、旅游游览和娱乐服务、体育服务、文化服务、居民零售和互联网销售服务、居民出行服务、住宿餐饮服务、教育培训服务、居民住房服务及其他生活性服务。原则上主要接受市场化程度较高、具有一定规模，且能够吸纳一定劳动力、以创业带动更多人就业的创业项目报名。</w:t>
      </w:r>
    </w:p>
    <w:p>
      <w:p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现代农业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是在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sz w:val="32"/>
          <w:szCs w:val="32"/>
          <w:lang w:val="en-US" w:eastAsia="zh-CN"/>
        </w:rPr>
        <w:instrText xml:space="preserve"> HYPERLINK "https://baike.baidu.com/item/%E7%8E%B0%E4%BB%A3%E5%B7%A5%E4%B8%9A/9506766" \t "https://baike.baidu.com/item/%E7%8E%B0%E4%BB%A3%E5%86%9C%E4%B8%9A/_blank" </w:instrTex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现代工业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/>
          <w:sz w:val="32"/>
          <w:szCs w:val="32"/>
          <w:lang w:val="en-US" w:eastAsia="zh-CN"/>
        </w:rPr>
        <w:instrText xml:space="preserve"> HYPERLINK "https://baike.baidu.com/item/%E7%8E%B0%E4%BB%A3%E7%A7%91%E5%AD%A6/15767956" \t "https://baike.baidu.com/item/%E7%8E%B0%E4%BB%A3%E5%86%9C%E4%B8%9A/_blank" </w:instrTex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现代科学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技术基础上发展起来的农业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产前领域：包括农业机械、化肥、水利、农药、地膜等领域；产中领域，包括种植业(含种子产业)、林业、畜牧业(含饲料生产)和水产业；产后领域：包括农产品产后加工、储藏、运输、营销及进出口贸易技术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27DA97"/>
    <w:rsid w:val="F927D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2021-08-20T15:06:00Z</dcterms:created>
  <dc:creator>kylin</dc:creator>
  <cp:lastModifiedBy>kylin</cp:lastModifiedBy>
  <dcterms:modified xsi:type="dcterms:W3CDTF">2021-08-20T15:06:35Z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