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仿宋_GB2312" w:cs="Times New Roman"/>
          <w:kern w:val="0"/>
          <w:sz w:val="32"/>
          <w:szCs w:val="32"/>
          <w:lang w:val="en-US" w:eastAsia="zh-CN"/>
        </w:rPr>
      </w:pPr>
      <w:bookmarkStart w:id="0" w:name="_GoBack"/>
      <w:bookmarkEnd w:id="0"/>
    </w:p>
    <w:p>
      <w:pPr>
        <w:spacing w:line="600" w:lineRule="exact"/>
        <w:jc w:val="center"/>
        <w:rPr>
          <w:rFonts w:hint="eastAsia"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lang w:val="en-US" w:eastAsia="zh-CN"/>
        </w:rPr>
        <w:t>2020</w:t>
      </w:r>
      <w:r>
        <w:rPr>
          <w:rFonts w:hint="eastAsia" w:ascii="Times New Roman" w:hAnsi="Times New Roman" w:eastAsia="方正小标宋简体" w:cs="Times New Roman"/>
          <w:b w:val="0"/>
          <w:bCs w:val="0"/>
          <w:sz w:val="44"/>
          <w:szCs w:val="44"/>
        </w:rPr>
        <w:t>年度</w:t>
      </w:r>
      <w:r>
        <w:rPr>
          <w:rFonts w:hint="eastAsia" w:ascii="Times New Roman" w:hAnsi="Times New Roman" w:eastAsia="方正小标宋简体" w:cs="Times New Roman"/>
          <w:b w:val="0"/>
          <w:bCs w:val="0"/>
          <w:sz w:val="44"/>
          <w:szCs w:val="44"/>
          <w:lang w:eastAsia="zh-CN"/>
        </w:rPr>
        <w:t>区退役军人事务局</w:t>
      </w:r>
      <w:r>
        <w:rPr>
          <w:rFonts w:hint="eastAsia" w:ascii="Times New Roman" w:hAnsi="Times New Roman" w:eastAsia="方正小标宋简体" w:cs="Times New Roman"/>
          <w:b w:val="0"/>
          <w:bCs w:val="0"/>
          <w:sz w:val="44"/>
          <w:szCs w:val="44"/>
        </w:rPr>
        <w:t>整体支出</w:t>
      </w:r>
    </w:p>
    <w:p>
      <w:pPr>
        <w:spacing w:line="600" w:lineRule="exact"/>
        <w:jc w:val="center"/>
        <w:rPr>
          <w:rFonts w:hint="eastAsia"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rPr>
        <w:t>预算绩效自评报告</w:t>
      </w:r>
    </w:p>
    <w:p>
      <w:pPr>
        <w:jc w:val="both"/>
        <w:rPr>
          <w:rFonts w:hint="default" w:ascii="Times New Roman" w:hAnsi="Times New Roman" w:eastAsia="黑体" w:cs="Times New Roman"/>
          <w:sz w:val="32"/>
          <w:szCs w:val="32"/>
        </w:rPr>
      </w:pP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一、单位基本情况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雨花区退役军人事务局于20</w:t>
      </w:r>
      <w:r>
        <w:rPr>
          <w:rFonts w:hint="eastAsia" w:ascii="Times New Roman" w:hAnsi="Times New Roman" w:eastAsia="仿宋_GB2312" w:cs="Times New Roman"/>
          <w:b w:val="0"/>
          <w:bCs w:val="0"/>
          <w:sz w:val="32"/>
          <w:szCs w:val="32"/>
          <w:lang w:val="en-US" w:eastAsia="zh-CN"/>
        </w:rPr>
        <w:t>19</w:t>
      </w:r>
      <w:r>
        <w:rPr>
          <w:rFonts w:hint="eastAsia" w:ascii="Times New Roman" w:hAnsi="Times New Roman" w:eastAsia="仿宋_GB2312" w:cs="Times New Roman"/>
          <w:b w:val="0"/>
          <w:bCs w:val="0"/>
          <w:sz w:val="32"/>
          <w:szCs w:val="32"/>
          <w:lang w:eastAsia="zh-CN"/>
        </w:rPr>
        <w:t>年3月正式成立，是雨花区政府工作部门，承担着全区2.7万退役军人的移交安置、就业创业、军休服务、困难帮扶、优抚褒扬等多项职责。2020年，我区财政及时拨付省、市下达的退役军人事务专项资金，并有部分资金配套安排，我局严格按照专项资金管理办法执行，按质按量圆满完成各项资金绩效目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二、部门整体预算支出情况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（一）基本支出情况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2020年基本支出381.64万元，其中，人员经费339.9万元，公用经费41.74万元。</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资金用途：</w:t>
      </w:r>
      <w:r>
        <w:rPr>
          <w:rFonts w:hint="eastAsia" w:ascii="Times New Roman" w:hAnsi="Times New Roman" w:eastAsia="仿宋_GB2312" w:cs="Times New Roman"/>
          <w:b w:val="0"/>
          <w:bCs w:val="0"/>
          <w:sz w:val="32"/>
          <w:szCs w:val="32"/>
          <w:lang w:eastAsia="zh-CN"/>
        </w:rPr>
        <w:t>用于单位日常工作支出。基本支出主要包括：基本工资、津贴补贴、奖金、社会保障缴费、其他工资福利支出、住房公积金、其他对个人和家庭的补助支出；公用经费主要包括：办公费、印刷费、邮电费、维修（护）费、会议费、公务接待费、工会经费、福利费、其他交通费用、其他商品和服务支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资金管理情况：</w:t>
      </w:r>
      <w:r>
        <w:rPr>
          <w:rFonts w:hint="eastAsia" w:ascii="Times New Roman" w:hAnsi="Times New Roman" w:eastAsia="仿宋_GB2312" w:cs="Times New Roman"/>
          <w:b w:val="0"/>
          <w:bCs w:val="0"/>
          <w:sz w:val="32"/>
          <w:szCs w:val="32"/>
          <w:lang w:eastAsia="zh-CN"/>
        </w:rPr>
        <w:t>我局严格按照资金支出管理办法执行，建立健全资金发放体系，形成与财政及金融机构之间的联通联动机制，对资金发放实现全程监管，按质按量圆满完成各项资金绩效目标。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“三公”经费支出情况：</w:t>
      </w:r>
      <w:r>
        <w:rPr>
          <w:rFonts w:hint="eastAsia" w:ascii="Times New Roman" w:hAnsi="Times New Roman" w:eastAsia="仿宋_GB2312" w:cs="Times New Roman"/>
          <w:b w:val="0"/>
          <w:bCs w:val="0"/>
          <w:sz w:val="32"/>
          <w:szCs w:val="32"/>
          <w:lang w:eastAsia="zh-CN"/>
        </w:rPr>
        <w:t>2020年差旅费5.1万元，用于随军随调工作考察和信访维稳工作，无因公出国（境）情况；无公务接待费。</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（二）项目支出情况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1.区级项目资金安排落实情况：</w:t>
      </w:r>
      <w:r>
        <w:rPr>
          <w:rFonts w:hint="eastAsia" w:ascii="Times New Roman" w:hAnsi="Times New Roman" w:eastAsia="仿宋_GB2312" w:cs="Times New Roman"/>
          <w:b w:val="0"/>
          <w:bCs w:val="0"/>
          <w:sz w:val="32"/>
          <w:szCs w:val="32"/>
          <w:lang w:val="en-US" w:eastAsia="zh-CN"/>
        </w:rPr>
        <w:t>2020年区级项目资金共支出8361.22万元，其中</w:t>
      </w:r>
      <w:r>
        <w:rPr>
          <w:rFonts w:hint="eastAsia" w:ascii="Times New Roman" w:hAnsi="Times New Roman" w:eastAsia="仿宋_GB2312" w:cs="Times New Roman"/>
          <w:b w:val="0"/>
          <w:bCs w:val="0"/>
          <w:sz w:val="32"/>
          <w:szCs w:val="32"/>
          <w:lang w:eastAsia="zh-CN"/>
        </w:rPr>
        <w:t>超过50万元项目支出82</w:t>
      </w:r>
      <w:r>
        <w:rPr>
          <w:rFonts w:hint="eastAsia" w:ascii="Times New Roman" w:hAnsi="Times New Roman" w:eastAsia="仿宋_GB2312" w:cs="Times New Roman"/>
          <w:b w:val="0"/>
          <w:bCs w:val="0"/>
          <w:sz w:val="32"/>
          <w:szCs w:val="32"/>
          <w:lang w:val="en-US" w:eastAsia="zh-CN"/>
        </w:rPr>
        <w:t>66</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42</w:t>
      </w:r>
      <w:r>
        <w:rPr>
          <w:rFonts w:hint="eastAsia" w:ascii="Times New Roman" w:hAnsi="Times New Roman" w:eastAsia="仿宋_GB2312" w:cs="Times New Roman"/>
          <w:b w:val="0"/>
          <w:bCs w:val="0"/>
          <w:sz w:val="32"/>
          <w:szCs w:val="32"/>
          <w:lang w:eastAsia="zh-CN"/>
        </w:rPr>
        <w:t>万元：一次性抚恤金762.14万元；伤残人员抚恤金100万元；优抚双定177万元；其他优抚支出98.44万元、慰问经费634.38万元；军休人员工资及生活补助2640万元、退役士兵安置1</w:t>
      </w:r>
      <w:r>
        <w:rPr>
          <w:rFonts w:hint="eastAsia" w:ascii="Times New Roman" w:hAnsi="Times New Roman" w:eastAsia="仿宋_GB2312" w:cs="Times New Roman"/>
          <w:b w:val="0"/>
          <w:bCs w:val="0"/>
          <w:sz w:val="32"/>
          <w:szCs w:val="32"/>
          <w:lang w:val="en-US" w:eastAsia="zh-CN"/>
        </w:rPr>
        <w:t>575.08</w:t>
      </w:r>
      <w:r>
        <w:rPr>
          <w:rFonts w:hint="eastAsia" w:ascii="Times New Roman" w:hAnsi="Times New Roman" w:eastAsia="仿宋_GB2312" w:cs="Times New Roman"/>
          <w:b w:val="0"/>
          <w:bCs w:val="0"/>
          <w:sz w:val="32"/>
          <w:szCs w:val="32"/>
          <w:lang w:eastAsia="zh-CN"/>
        </w:rPr>
        <w:t>万元；义务兵家庭优待金1235万元；街道（镇）服务站工作经费65万元；部分退役士兵基本养老保险补缴979.38万元。</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2.区级、上级配套资金使用情况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（1）一次性抚恤经费：</w:t>
      </w:r>
      <w:r>
        <w:rPr>
          <w:rFonts w:hint="eastAsia" w:ascii="Times New Roman" w:hAnsi="Times New Roman" w:eastAsia="仿宋_GB2312" w:cs="Times New Roman"/>
          <w:b w:val="0"/>
          <w:bCs w:val="0"/>
          <w:sz w:val="32"/>
          <w:szCs w:val="32"/>
          <w:lang w:eastAsia="zh-CN"/>
        </w:rPr>
        <w:t>2020年我区共发放一次性抚恤金762.14万元。资金到位率和及时率都达到了100%。项目资金严格按照财务要求进行安排，不存在违规行为。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（2）伤残抚恤经费：</w:t>
      </w:r>
      <w:r>
        <w:rPr>
          <w:rFonts w:hint="eastAsia" w:ascii="Times New Roman" w:hAnsi="Times New Roman" w:eastAsia="仿宋_GB2312" w:cs="Times New Roman"/>
          <w:b w:val="0"/>
          <w:bCs w:val="0"/>
          <w:sz w:val="32"/>
          <w:szCs w:val="32"/>
          <w:lang w:eastAsia="zh-CN"/>
        </w:rPr>
        <w:t>2020年我区发放伤残人员抚恤金、无工作残疾军人自然增长机制、护理费以及价格临时补贴共计1490.32万元</w:t>
      </w:r>
      <w:r>
        <w:rPr>
          <w:rFonts w:hint="eastAsia" w:ascii="仿宋_GB2312" w:eastAsia="仿宋_GB2312"/>
          <w:color w:val="000000"/>
          <w:sz w:val="32"/>
          <w:szCs w:val="32"/>
          <w:lang w:val="en-US" w:eastAsia="zh-CN"/>
        </w:rPr>
        <w:t>（从退役士兵安置大预算经费中调剂资金</w:t>
      </w:r>
      <w:r>
        <w:rPr>
          <w:rFonts w:hint="eastAsia" w:ascii="Times New Roman" w:hAnsi="Times New Roman" w:eastAsia="仿宋_GB2312" w:cs="Times New Roman"/>
          <w:b w:val="0"/>
          <w:bCs w:val="0"/>
          <w:sz w:val="32"/>
          <w:szCs w:val="32"/>
          <w:lang w:val="en-US" w:eastAsia="zh-CN"/>
        </w:rPr>
        <w:t>321</w:t>
      </w:r>
      <w:r>
        <w:rPr>
          <w:rFonts w:hint="eastAsia" w:ascii="仿宋_GB2312" w:eastAsia="仿宋_GB2312"/>
          <w:color w:val="000000"/>
          <w:sz w:val="32"/>
          <w:szCs w:val="32"/>
          <w:lang w:val="en-US" w:eastAsia="zh-CN"/>
        </w:rPr>
        <w:t>万元）</w:t>
      </w:r>
      <w:r>
        <w:rPr>
          <w:rFonts w:hint="eastAsia" w:ascii="Times New Roman" w:hAnsi="Times New Roman" w:eastAsia="仿宋_GB2312" w:cs="Times New Roman"/>
          <w:b w:val="0"/>
          <w:bCs w:val="0"/>
          <w:sz w:val="32"/>
          <w:szCs w:val="32"/>
          <w:lang w:eastAsia="zh-CN"/>
        </w:rPr>
        <w:t>，其中上级资金支出1069.32万元，区级资金支出100万元，年底结余上级资金130.68万元。为全区享受政府抚恤待遇的556 名伤残人民发放伤残抚恤金、无工作残疾军人自然增长机制、护理费以及价格临时补贴。并且严格按政策规定的标准准确、及时发放伤残人员经费，切实保障伤残人员各项待遇。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（3）优抚双定经费：</w:t>
      </w:r>
      <w:r>
        <w:rPr>
          <w:rFonts w:hint="eastAsia" w:ascii="Times New Roman" w:hAnsi="Times New Roman" w:eastAsia="仿宋_GB2312" w:cs="Times New Roman"/>
          <w:b w:val="0"/>
          <w:bCs w:val="0"/>
          <w:sz w:val="32"/>
          <w:szCs w:val="32"/>
          <w:lang w:eastAsia="zh-CN"/>
        </w:rPr>
        <w:t>因上年结余上级资金146.31万元，2020年我区共发放优抚双定人员经费926.1万元</w:t>
      </w:r>
      <w:r>
        <w:rPr>
          <w:rFonts w:hint="eastAsia" w:ascii="仿宋_GB2312" w:eastAsia="仿宋_GB2312"/>
          <w:color w:val="000000"/>
          <w:sz w:val="32"/>
          <w:szCs w:val="32"/>
          <w:lang w:val="en-US" w:eastAsia="zh-CN"/>
        </w:rPr>
        <w:t>（从退役士兵安置大预算经费中</w:t>
      </w:r>
      <w:r>
        <w:rPr>
          <w:rFonts w:hint="eastAsia" w:ascii="Times New Roman" w:hAnsi="Times New Roman" w:eastAsia="仿宋_GB2312" w:cs="Times New Roman"/>
          <w:b w:val="0"/>
          <w:bCs w:val="0"/>
          <w:sz w:val="32"/>
          <w:szCs w:val="32"/>
          <w:lang w:eastAsia="zh-CN"/>
        </w:rPr>
        <w:t>调剂228.32万元），其中上级资金支出374.47万元，区级资金支出177万元，年底结余上级资金34.53万。经费发放及时准确，无资金缺口或沉淀，无低效无效和浪费行为，无项目资金支出进度缓慢，无挤占挪用或套取资金等现象。</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（4）其他优抚支出：</w:t>
      </w:r>
      <w:r>
        <w:rPr>
          <w:rFonts w:hint="eastAsia" w:ascii="Times New Roman" w:hAnsi="Times New Roman" w:eastAsia="仿宋_GB2312" w:cs="Times New Roman"/>
          <w:b w:val="0"/>
          <w:bCs w:val="0"/>
          <w:sz w:val="32"/>
          <w:szCs w:val="32"/>
          <w:lang w:eastAsia="zh-CN"/>
        </w:rPr>
        <w:t>2020年我区共发放其他优抚经费98.44万元，结余省、市级下拨困难援助经费111.76万元（省、市级困难援助资金于2020年12月下拨到位），下拨时间太迟，致使不能及时安排使用。</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（5）慰问经费：</w:t>
      </w:r>
      <w:r>
        <w:rPr>
          <w:rFonts w:hint="eastAsia" w:ascii="Times New Roman" w:hAnsi="Times New Roman" w:eastAsia="仿宋_GB2312" w:cs="Times New Roman"/>
          <w:b w:val="0"/>
          <w:bCs w:val="0"/>
          <w:sz w:val="32"/>
          <w:szCs w:val="32"/>
          <w:lang w:eastAsia="zh-CN"/>
        </w:rPr>
        <w:t>2020年，我区共发放春节、“八一”和烈士纪念日期间慰问经费710.08万元，其中上级财政下拨资金75.7万元；区级财政安排资金634.38 万元。资金到位率和及时率都达到了100%。项目资金严格按照财务要求进行安排，不存在违规行为，如在采购“八一”节日慰问用品方面按要求进行了政府采购。</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（6）军休人员工资及生活补助：</w:t>
      </w:r>
      <w:r>
        <w:rPr>
          <w:rFonts w:hint="eastAsia" w:ascii="Times New Roman" w:hAnsi="Times New Roman" w:eastAsia="仿宋_GB2312" w:cs="Times New Roman"/>
          <w:b w:val="0"/>
          <w:bCs w:val="0"/>
          <w:sz w:val="32"/>
          <w:szCs w:val="32"/>
          <w:lang w:eastAsia="zh-CN"/>
        </w:rPr>
        <w:t>2020年我区共发放军休人员月退休金、津补贴、生活补助及奖金3963.6万元，其中省级财政下拨资金1666.6万元，市财政下拨资金193万元，区级财政安排资金2640万元。因其中两笔省级资金536万元于2020年财政关账后下拨，本年结余上级资金536万元，及时为282名无军籍职工（含一名地方退休人员）发放月退休金、调整增发基本养老金、物业费、过节费、奖金津补贴等；为17名军退干部（士官）发放月退休金、调整增发离退休费及生活补贴费、拨付医疗铺底资金等。</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（7）退役士兵安置经费：</w:t>
      </w:r>
      <w:r>
        <w:rPr>
          <w:rFonts w:hint="eastAsia" w:ascii="Times New Roman" w:hAnsi="Times New Roman" w:eastAsia="仿宋_GB2312" w:cs="Times New Roman"/>
          <w:b w:val="0"/>
          <w:bCs w:val="0"/>
          <w:sz w:val="32"/>
          <w:szCs w:val="32"/>
          <w:lang w:eastAsia="zh-CN"/>
        </w:rPr>
        <w:t>2020年退役安置补助经费专项资金本年收入1</w:t>
      </w:r>
      <w:r>
        <w:rPr>
          <w:rFonts w:hint="eastAsia" w:ascii="Times New Roman" w:hAnsi="Times New Roman" w:eastAsia="仿宋_GB2312" w:cs="Times New Roman"/>
          <w:b w:val="0"/>
          <w:bCs w:val="0"/>
          <w:sz w:val="32"/>
          <w:szCs w:val="32"/>
          <w:lang w:val="en-US" w:eastAsia="zh-CN"/>
        </w:rPr>
        <w:t>791</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49</w:t>
      </w:r>
      <w:r>
        <w:rPr>
          <w:rFonts w:hint="eastAsia" w:ascii="Times New Roman" w:hAnsi="Times New Roman" w:eastAsia="仿宋_GB2312" w:cs="Times New Roman"/>
          <w:b w:val="0"/>
          <w:bCs w:val="0"/>
          <w:sz w:val="32"/>
          <w:szCs w:val="32"/>
          <w:lang w:eastAsia="zh-CN"/>
        </w:rPr>
        <w:t>万元（其中省财政下拨83.69万元，市财政下拨132.72万元，区财政安排1</w:t>
      </w:r>
      <w:r>
        <w:rPr>
          <w:rFonts w:hint="eastAsia" w:ascii="Times New Roman" w:hAnsi="Times New Roman" w:eastAsia="仿宋_GB2312" w:cs="Times New Roman"/>
          <w:b w:val="0"/>
          <w:bCs w:val="0"/>
          <w:sz w:val="32"/>
          <w:szCs w:val="32"/>
          <w:lang w:val="en-US" w:eastAsia="zh-CN"/>
        </w:rPr>
        <w:t>575.08</w:t>
      </w:r>
      <w:r>
        <w:rPr>
          <w:rFonts w:hint="eastAsia" w:ascii="Times New Roman" w:hAnsi="Times New Roman" w:eastAsia="仿宋_GB2312" w:cs="Times New Roman"/>
          <w:b w:val="0"/>
          <w:bCs w:val="0"/>
          <w:sz w:val="32"/>
          <w:szCs w:val="32"/>
          <w:lang w:eastAsia="zh-CN"/>
        </w:rPr>
        <w:t>万元），本年支出 17</w:t>
      </w:r>
      <w:r>
        <w:rPr>
          <w:rFonts w:hint="eastAsia" w:ascii="Times New Roman" w:hAnsi="Times New Roman" w:eastAsia="仿宋_GB2312" w:cs="Times New Roman"/>
          <w:b w:val="0"/>
          <w:bCs w:val="0"/>
          <w:sz w:val="32"/>
          <w:szCs w:val="32"/>
          <w:lang w:val="en-US" w:eastAsia="zh-CN"/>
        </w:rPr>
        <w:t>26.33</w:t>
      </w:r>
      <w:r>
        <w:rPr>
          <w:rFonts w:hint="eastAsia" w:ascii="Times New Roman" w:hAnsi="Times New Roman" w:eastAsia="仿宋_GB2312" w:cs="Times New Roman"/>
          <w:b w:val="0"/>
          <w:bCs w:val="0"/>
          <w:sz w:val="32"/>
          <w:szCs w:val="32"/>
          <w:lang w:eastAsia="zh-CN"/>
        </w:rPr>
        <w:t>万元</w:t>
      </w:r>
      <w:r>
        <w:rPr>
          <w:rFonts w:hint="eastAsia" w:ascii="仿宋_GB2312" w:hAnsi="仿宋_GB2312" w:eastAsia="仿宋_GB2312" w:cs="仿宋_GB2312"/>
          <w:sz w:val="32"/>
          <w:szCs w:val="32"/>
          <w:lang w:val="en-US" w:eastAsia="zh-CN"/>
        </w:rPr>
        <w:t>(含调剂用于伤残抚恤经费</w:t>
      </w:r>
      <w:r>
        <w:rPr>
          <w:rFonts w:hint="eastAsia" w:ascii="Times New Roman" w:hAnsi="Times New Roman" w:eastAsia="仿宋_GB2312" w:cs="Times New Roman"/>
          <w:b w:val="0"/>
          <w:bCs w:val="0"/>
          <w:sz w:val="32"/>
          <w:szCs w:val="32"/>
          <w:lang w:val="en-US" w:eastAsia="zh-CN"/>
        </w:rPr>
        <w:t>321</w:t>
      </w:r>
      <w:r>
        <w:rPr>
          <w:rFonts w:hint="eastAsia" w:ascii="仿宋_GB2312" w:hAnsi="仿宋_GB2312" w:eastAsia="仿宋_GB2312" w:cs="仿宋_GB2312"/>
          <w:sz w:val="32"/>
          <w:szCs w:val="32"/>
          <w:lang w:val="en-US" w:eastAsia="zh-CN"/>
        </w:rPr>
        <w:t>万元、优抚双定经费</w:t>
      </w:r>
      <w:r>
        <w:rPr>
          <w:rFonts w:hint="eastAsia" w:ascii="Times New Roman" w:hAnsi="Times New Roman" w:eastAsia="仿宋_GB2312" w:cs="Times New Roman"/>
          <w:b w:val="0"/>
          <w:bCs w:val="0"/>
          <w:sz w:val="32"/>
          <w:szCs w:val="32"/>
          <w:lang w:val="en-US" w:eastAsia="zh-CN"/>
        </w:rPr>
        <w:t>228.32</w:t>
      </w:r>
      <w:r>
        <w:rPr>
          <w:rFonts w:hint="eastAsia" w:ascii="仿宋_GB2312" w:hAnsi="仿宋_GB2312" w:eastAsia="仿宋_GB2312" w:cs="仿宋_GB2312"/>
          <w:sz w:val="32"/>
          <w:szCs w:val="32"/>
          <w:lang w:val="en-US" w:eastAsia="zh-CN"/>
        </w:rPr>
        <w:t>万元)</w:t>
      </w:r>
      <w:r>
        <w:rPr>
          <w:rFonts w:hint="eastAsia" w:ascii="Times New Roman" w:hAnsi="Times New Roman" w:eastAsia="仿宋_GB2312" w:cs="Times New Roman"/>
          <w:b w:val="0"/>
          <w:bCs w:val="0"/>
          <w:sz w:val="32"/>
          <w:szCs w:val="32"/>
          <w:lang w:eastAsia="zh-CN"/>
        </w:rPr>
        <w:t>，本年结余上级资金65.16万元。主要用于发放退役士兵一次性经济补助、退役士兵待安置期间生活费、转业士官待安排工作期间社保医保接续费用、对转业士官进行岗前适应性培训和区属下岗（失业）转业志愿兵和转业士官再就业帮扶上岗人员284人工资、社保、年终绩效奖励等费用。</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（8）义务兵家庭优待金：</w:t>
      </w:r>
      <w:r>
        <w:rPr>
          <w:rFonts w:hint="eastAsia" w:ascii="Times New Roman" w:hAnsi="Times New Roman" w:eastAsia="仿宋_GB2312" w:cs="Times New Roman"/>
          <w:b w:val="0"/>
          <w:bCs w:val="0"/>
          <w:sz w:val="32"/>
          <w:szCs w:val="32"/>
          <w:lang w:eastAsia="zh-CN"/>
        </w:rPr>
        <w:t>因上年结余上级资金145.2万元，2020年度共安排发放2019年度两年的义务兵家庭优待金，大学生奖励、“进疆进藏”奖励、差旅补助费补助共计2057.65万元，其中省市财政下拨配套资金677.45万元，区级财政资金1235万元。（其中家庭优待金1504.35万元，大学生奖励459万元，“进疆进藏”奖励40万元，差旅费补助54.3万元），本年结余1.5万元。</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（9）街道（镇）服务站工作经费：</w:t>
      </w:r>
      <w:r>
        <w:rPr>
          <w:rFonts w:hint="eastAsia" w:ascii="Times New Roman" w:hAnsi="Times New Roman" w:eastAsia="仿宋_GB2312" w:cs="Times New Roman"/>
          <w:b w:val="0"/>
          <w:bCs w:val="0"/>
          <w:sz w:val="32"/>
          <w:szCs w:val="32"/>
          <w:lang w:eastAsia="zh-CN"/>
        </w:rPr>
        <w:t>2020年我区共下拨全区13个街道（镇）退役军人服务站工作经费65万元。资金使用单位财务制度健全、会计核算规范、资金管理严格，按计划使用资金，按时、按质、按量完成项目，无市级配套资金。</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（10）部分退役士兵基本养老保险补缴：</w:t>
      </w:r>
      <w:r>
        <w:rPr>
          <w:rFonts w:hint="eastAsia" w:ascii="Times New Roman" w:hAnsi="Times New Roman" w:eastAsia="仿宋_GB2312" w:cs="Times New Roman"/>
          <w:b w:val="0"/>
          <w:bCs w:val="0"/>
          <w:sz w:val="32"/>
          <w:szCs w:val="32"/>
          <w:lang w:eastAsia="zh-CN"/>
        </w:rPr>
        <w:t>2020年部分退役士兵基本养老保险补缴资金本年收入1899.78万元，其中省财政下拨920.4万元，区财政安排979.38万元，本年支出1570.78万元，用于解决部分退役士兵未参保和断缴问题。因其中一笔省级资金329万元于2020年财政关账后下拨，本年结余上级资金329万元，后期冲抵区级垫付资金。</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三、部门整体支出绩效情况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严格遵守财务管理有关规定，确保资金的使用和管理做到规范化。一是严格按照有关政策规定发放经费，经费发放资料齐全并及时归档。二是各项业务管理制度合法、合规、完整。三是建立完善人员发放台账，定期核对人员异动情况，确保相关经费发放准确，并接受社会监督。效能高达约为95％，较为圆满的完成相关任务，效率较高，不过还是存在一些预算下发延迟，没有更加精细地做好相关预算的情况，丢掉了一些分。自成立以来，社会效应良好，取得了服务对象的一致认可，多次被服务对象赞誉，满意度达到了100%。</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四、存在的问题及原因分析</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部分资金下达时间滞后：由于上级下拨资金滞后，本年专项支出数未全额从本年指标中支出，占用部分其他指标，虚增下年结余数，未能充分发挥当年资金效益。当年业务工作及时开展，部分资金需向区政府申请追加指标提前支付，待上级资金下拨后由区财政抵扣。从资金审批、账务处理以及支付时效来讲，都增加工作难度。建议：省、市级资金提前预拨,区级将更好更快完成既定的工作目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五、下一步改进措施</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一是进一步加强预算拟定精确性，且按照相关的规章制度，将预算及时，有效的下发，并且执行。二是做好事前准备，将公务的具体情况调查清楚，多参考其他先进单位的优秀范例，并且及时做好相应的执行方案，能够做到应细则细。三是在事务的执行过程中，加强防范监控，尽量做到应用则用，确保财务预算的执行效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黑体" w:cs="Times New Roman"/>
          <w:b w:val="0"/>
          <w:bCs w:val="0"/>
          <w:sz w:val="32"/>
          <w:szCs w:val="32"/>
          <w:lang w:eastAsia="zh-CN"/>
        </w:rPr>
        <w:t>六、绩效自评结果拟应用和公开情况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绩效自评结果按财政要求在规定时间公开。</w:t>
      </w:r>
    </w:p>
    <w:p>
      <w:pPr>
        <w:spacing w:line="360" w:lineRule="auto"/>
        <w:ind w:firstLine="640" w:firstLineChars="200"/>
        <w:rPr>
          <w:rFonts w:ascii="Times New Roman" w:hAnsi="Times New Roman" w:eastAsia="仿宋_GB2312" w:cs="Times New Roman"/>
          <w:sz w:val="32"/>
          <w:szCs w:val="32"/>
        </w:rPr>
      </w:pPr>
    </w:p>
    <w:p/>
    <w:p/>
    <w:p/>
    <w:p>
      <w:r>
        <w:rPr>
          <w:rFonts w:hint="eastAsia"/>
          <w:lang w:val="en-US" w:eastAsia="zh-CN"/>
        </w:rPr>
        <w:t xml:space="preserve">                                        </w:t>
      </w:r>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eastAsia="楷体_GB2312" w:cs="Times New Roman"/>
          <w:b w:val="0"/>
          <w:bCs w:val="0"/>
          <w:kern w:val="0"/>
          <w:sz w:val="24"/>
          <w:lang w:eastAsia="zh-CN"/>
        </w:rPr>
        <w:t>长沙市雨花区退役军人事务局</w:t>
      </w:r>
      <w:r>
        <w:rPr>
          <w:rFonts w:hint="eastAsia" w:eastAsia="楷体_GB2312" w:cs="Times New Roman"/>
          <w:b w:val="0"/>
          <w:bCs w:val="0"/>
          <w:kern w:val="0"/>
          <w:sz w:val="24"/>
          <w:lang w:val="en-US" w:eastAsia="zh-CN"/>
        </w:rPr>
        <w:t xml:space="preserve">                      单位：万元</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16</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17</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106%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2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ind w:firstLine="1000" w:firstLineChars="500"/>
              <w:jc w:val="both"/>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 xml:space="preserve"> 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0.2</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8719.84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8361.22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8719.84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8361.22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42.03</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41.74</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lang w:val="en-US" w:eastAsia="zh-CN"/>
              </w:rPr>
            </w:pPr>
            <w:r>
              <w:rPr>
                <w:rFonts w:hint="eastAsia" w:cs="Times New Roman"/>
                <w:b w:val="0"/>
                <w:bCs w:val="0"/>
                <w:color w:val="FF0000"/>
                <w:kern w:val="0"/>
                <w:sz w:val="20"/>
                <w:szCs w:val="20"/>
                <w:lang w:val="en-US" w:eastAsia="zh-CN"/>
              </w:rPr>
              <w:t>70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lang w:val="en-US" w:eastAsia="zh-CN"/>
              </w:rPr>
            </w:pPr>
            <w:r>
              <w:rPr>
                <w:rFonts w:hint="default" w:ascii="Times New Roman" w:hAnsi="Times New Roman" w:eastAsia="宋体" w:cs="Times New Roman"/>
                <w:b w:val="0"/>
                <w:bCs w:val="0"/>
                <w:color w:val="FF0000"/>
                <w:kern w:val="0"/>
                <w:sz w:val="20"/>
                <w:szCs w:val="20"/>
              </w:rPr>
              <w:t>　</w:t>
            </w:r>
            <w:r>
              <w:rPr>
                <w:rFonts w:hint="eastAsia" w:cs="Times New Roman"/>
                <w:b w:val="0"/>
                <w:bCs w:val="0"/>
                <w:color w:val="FF0000"/>
                <w:kern w:val="0"/>
                <w:sz w:val="20"/>
                <w:szCs w:val="20"/>
                <w:lang w:val="en-US" w:eastAsia="zh-CN"/>
              </w:rPr>
              <w:t>42.03</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lang w:val="en-US" w:eastAsia="zh-CN"/>
              </w:rPr>
            </w:pPr>
            <w:r>
              <w:rPr>
                <w:rFonts w:hint="eastAsia" w:cs="Times New Roman"/>
                <w:b w:val="0"/>
                <w:bCs w:val="0"/>
                <w:color w:val="FF0000"/>
                <w:kern w:val="0"/>
                <w:sz w:val="20"/>
                <w:szCs w:val="20"/>
                <w:lang w:val="en-US" w:eastAsia="zh-CN"/>
              </w:rPr>
              <w:t>41.74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eastAsia="宋体" w:cs="Times New Roman"/>
                <w:b w:val="0"/>
                <w:bCs w:val="0"/>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150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137.9</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9134.76</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8742.86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方正小标宋简体" w:cs="Times New Roman"/>
          <w:kern w:val="0"/>
          <w:sz w:val="44"/>
          <w:szCs w:val="4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①符合国家相关法律法规，本市国民经济和社会发展规划，计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00" w:firstLineChars="200"/>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①预算完成率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（预算完成数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②支付序时进度</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（序时执行数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序时指标下达数）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③部门预算项目支出调剂到区县。</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①全年预算完成率</w:t>
            </w:r>
            <w:r>
              <w:rPr>
                <w:rStyle w:val="7"/>
                <w:rFonts w:hint="default" w:ascii="Times New Roman" w:hAnsi="Times New Roman" w:eastAsia="宋体" w:cs="Times New Roman"/>
                <w:sz w:val="20"/>
                <w:szCs w:val="20"/>
                <w:lang w:val="en-US" w:eastAsia="zh-CN" w:bidi="ar"/>
              </w:rPr>
              <w:t>95%</w:t>
            </w:r>
            <w:r>
              <w:rPr>
                <w:rStyle w:val="6"/>
                <w:rFonts w:hint="default" w:ascii="Times New Roman" w:hAnsi="Times New Roman" w:cs="Times New Roman"/>
                <w:sz w:val="20"/>
                <w:szCs w:val="20"/>
                <w:lang w:val="en-US" w:eastAsia="zh-CN" w:bidi="ar"/>
              </w:rPr>
              <w:t>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95-90%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90-80%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分，小于</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②一、二、三季度末支付序时进度分别达到</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（含）以上计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个百分点扣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③部门预算项目支出调剂到区县小于等于项目支出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根据市政府文件规定，预算单位年度安排的市级预算资金不能结转。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预算单位严格执行</w:t>
            </w:r>
            <w:r>
              <w:rPr>
                <w:rStyle w:val="6"/>
                <w:rFonts w:hint="eastAsia" w:cs="Times New Roman"/>
                <w:sz w:val="20"/>
                <w:szCs w:val="20"/>
                <w:lang w:val="en-US" w:eastAsia="zh-CN" w:bidi="ar"/>
              </w:rPr>
              <w:t>《中华人民共和国政府采购法》</w:t>
            </w:r>
            <w:r>
              <w:rPr>
                <w:rStyle w:val="6"/>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根据市财政局2020年考核结果，评审为优，计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账实相符</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95.3</w:t>
            </w:r>
          </w:p>
        </w:tc>
      </w:tr>
    </w:tbl>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554B33"/>
    <w:rsid w:val="015313F8"/>
    <w:rsid w:val="016B0D3C"/>
    <w:rsid w:val="028B3EAC"/>
    <w:rsid w:val="0290143F"/>
    <w:rsid w:val="03834C57"/>
    <w:rsid w:val="04350D91"/>
    <w:rsid w:val="04444498"/>
    <w:rsid w:val="05597AB2"/>
    <w:rsid w:val="056576B7"/>
    <w:rsid w:val="06B45D48"/>
    <w:rsid w:val="076D7773"/>
    <w:rsid w:val="08342B4D"/>
    <w:rsid w:val="08695F90"/>
    <w:rsid w:val="09450761"/>
    <w:rsid w:val="0A6065E6"/>
    <w:rsid w:val="0BF87FAA"/>
    <w:rsid w:val="0C211F47"/>
    <w:rsid w:val="0D4528B2"/>
    <w:rsid w:val="0D726ED8"/>
    <w:rsid w:val="0ED60D6A"/>
    <w:rsid w:val="0F0A0C68"/>
    <w:rsid w:val="10335958"/>
    <w:rsid w:val="10805243"/>
    <w:rsid w:val="10D61EDC"/>
    <w:rsid w:val="113F156B"/>
    <w:rsid w:val="122751BD"/>
    <w:rsid w:val="125556F7"/>
    <w:rsid w:val="12562ABD"/>
    <w:rsid w:val="133F3948"/>
    <w:rsid w:val="13C97D35"/>
    <w:rsid w:val="144439AD"/>
    <w:rsid w:val="159D2C2B"/>
    <w:rsid w:val="15D4124A"/>
    <w:rsid w:val="16A40750"/>
    <w:rsid w:val="16FD6211"/>
    <w:rsid w:val="17174A37"/>
    <w:rsid w:val="17874106"/>
    <w:rsid w:val="17F4635B"/>
    <w:rsid w:val="19166E8A"/>
    <w:rsid w:val="195570B7"/>
    <w:rsid w:val="19E05252"/>
    <w:rsid w:val="1B057612"/>
    <w:rsid w:val="1B114E2C"/>
    <w:rsid w:val="1C746559"/>
    <w:rsid w:val="1CAF3CE7"/>
    <w:rsid w:val="1DEF2EC2"/>
    <w:rsid w:val="1DF45B8B"/>
    <w:rsid w:val="1EA65BC4"/>
    <w:rsid w:val="1EF449CC"/>
    <w:rsid w:val="1FBE3597"/>
    <w:rsid w:val="202021C9"/>
    <w:rsid w:val="2075592E"/>
    <w:rsid w:val="21025804"/>
    <w:rsid w:val="21661C82"/>
    <w:rsid w:val="22012C2D"/>
    <w:rsid w:val="23135C47"/>
    <w:rsid w:val="232B40AA"/>
    <w:rsid w:val="23FE41FA"/>
    <w:rsid w:val="242124B6"/>
    <w:rsid w:val="25FB64DA"/>
    <w:rsid w:val="269F40F7"/>
    <w:rsid w:val="26D92514"/>
    <w:rsid w:val="26DD7549"/>
    <w:rsid w:val="27DA4AF4"/>
    <w:rsid w:val="292913DD"/>
    <w:rsid w:val="29E133D8"/>
    <w:rsid w:val="2A310083"/>
    <w:rsid w:val="2BDE4C52"/>
    <w:rsid w:val="2DE0016E"/>
    <w:rsid w:val="2E453C95"/>
    <w:rsid w:val="2F691B8F"/>
    <w:rsid w:val="2F7D712F"/>
    <w:rsid w:val="2F8D5511"/>
    <w:rsid w:val="2FE61316"/>
    <w:rsid w:val="314165E4"/>
    <w:rsid w:val="314313DD"/>
    <w:rsid w:val="31CC0748"/>
    <w:rsid w:val="32A160EE"/>
    <w:rsid w:val="33201541"/>
    <w:rsid w:val="333C0BAB"/>
    <w:rsid w:val="346D4B70"/>
    <w:rsid w:val="35692841"/>
    <w:rsid w:val="36FE74D8"/>
    <w:rsid w:val="370C3143"/>
    <w:rsid w:val="372F4A1D"/>
    <w:rsid w:val="38A30345"/>
    <w:rsid w:val="38F957B5"/>
    <w:rsid w:val="39962828"/>
    <w:rsid w:val="3B6E33EF"/>
    <w:rsid w:val="3E975658"/>
    <w:rsid w:val="3EA6717C"/>
    <w:rsid w:val="3F514AE3"/>
    <w:rsid w:val="3F5F4B71"/>
    <w:rsid w:val="404D0052"/>
    <w:rsid w:val="41C16412"/>
    <w:rsid w:val="43216793"/>
    <w:rsid w:val="43E937D2"/>
    <w:rsid w:val="440B23F3"/>
    <w:rsid w:val="469706E1"/>
    <w:rsid w:val="474F5FEF"/>
    <w:rsid w:val="47502CD4"/>
    <w:rsid w:val="47566461"/>
    <w:rsid w:val="48036C2C"/>
    <w:rsid w:val="485E01C9"/>
    <w:rsid w:val="4A8E6C55"/>
    <w:rsid w:val="4ABA2B6C"/>
    <w:rsid w:val="4B09462A"/>
    <w:rsid w:val="4C212765"/>
    <w:rsid w:val="4DA17E99"/>
    <w:rsid w:val="4E775DE4"/>
    <w:rsid w:val="4E805A24"/>
    <w:rsid w:val="4EA258F2"/>
    <w:rsid w:val="4F323A67"/>
    <w:rsid w:val="50754D5D"/>
    <w:rsid w:val="50E71B35"/>
    <w:rsid w:val="517B3C1B"/>
    <w:rsid w:val="52206009"/>
    <w:rsid w:val="543B43C4"/>
    <w:rsid w:val="544B02EE"/>
    <w:rsid w:val="551430AD"/>
    <w:rsid w:val="560401CE"/>
    <w:rsid w:val="56C23EEC"/>
    <w:rsid w:val="570A0CA7"/>
    <w:rsid w:val="594D6174"/>
    <w:rsid w:val="59905C1C"/>
    <w:rsid w:val="5A9554CC"/>
    <w:rsid w:val="5B0B47D7"/>
    <w:rsid w:val="5BA96A27"/>
    <w:rsid w:val="5C1B5157"/>
    <w:rsid w:val="5C9D7EAE"/>
    <w:rsid w:val="5CC25911"/>
    <w:rsid w:val="5CFE44AB"/>
    <w:rsid w:val="5D460F42"/>
    <w:rsid w:val="5E4E4A7E"/>
    <w:rsid w:val="5E98549B"/>
    <w:rsid w:val="5EE86EEC"/>
    <w:rsid w:val="5F3A5289"/>
    <w:rsid w:val="5F77471D"/>
    <w:rsid w:val="6094253D"/>
    <w:rsid w:val="61823693"/>
    <w:rsid w:val="61B02B2F"/>
    <w:rsid w:val="62832762"/>
    <w:rsid w:val="62AC0DC4"/>
    <w:rsid w:val="63AB595E"/>
    <w:rsid w:val="63B1182B"/>
    <w:rsid w:val="63D01CF9"/>
    <w:rsid w:val="64DD09ED"/>
    <w:rsid w:val="65D70DCA"/>
    <w:rsid w:val="66AA7E36"/>
    <w:rsid w:val="66B57A78"/>
    <w:rsid w:val="6762156C"/>
    <w:rsid w:val="67691D6B"/>
    <w:rsid w:val="6940125B"/>
    <w:rsid w:val="6B0810E8"/>
    <w:rsid w:val="6C336840"/>
    <w:rsid w:val="6D1D02EE"/>
    <w:rsid w:val="6D6668B9"/>
    <w:rsid w:val="6DB45F33"/>
    <w:rsid w:val="6DBC7270"/>
    <w:rsid w:val="6DF67C63"/>
    <w:rsid w:val="6E7A541B"/>
    <w:rsid w:val="6EC31145"/>
    <w:rsid w:val="6F1012F3"/>
    <w:rsid w:val="727B004A"/>
    <w:rsid w:val="730C2F5B"/>
    <w:rsid w:val="731C47E6"/>
    <w:rsid w:val="73E27E87"/>
    <w:rsid w:val="74136745"/>
    <w:rsid w:val="743A218A"/>
    <w:rsid w:val="758621CE"/>
    <w:rsid w:val="76A22DFE"/>
    <w:rsid w:val="77FA66F7"/>
    <w:rsid w:val="78CC2D58"/>
    <w:rsid w:val="79467FEB"/>
    <w:rsid w:val="79781D3D"/>
    <w:rsid w:val="7BD954E4"/>
    <w:rsid w:val="7C3127DF"/>
    <w:rsid w:val="7C963770"/>
    <w:rsid w:val="7CBB509F"/>
    <w:rsid w:val="7E0D3E8D"/>
    <w:rsid w:val="7F183124"/>
    <w:rsid w:val="7F926625"/>
    <w:rsid w:val="7F93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6885</Words>
  <Characters>7479</Characters>
  <Lines>0</Lines>
  <Paragraphs>0</Paragraphs>
  <TotalTime>9</TotalTime>
  <ScaleCrop>false</ScaleCrop>
  <LinksUpToDate>false</LinksUpToDate>
  <CharactersWithSpaces>7720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2021-04-07T06:56:00Z</cp:lastPrinted>
  <dcterms:modified xsi:type="dcterms:W3CDTF">2023-03-16T06:33:38Z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BEA6568D02F84098A4FA3DFEE3871641</vt:lpwstr>
  </property>
</Properties>
</file>