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/>
          <w:color w:val="1D1B11"/>
          <w:kern w:val="0"/>
          <w:szCs w:val="32"/>
        </w:rPr>
      </w:pPr>
      <w:r>
        <w:rPr>
          <w:rFonts w:hint="eastAsia" w:ascii="黑体" w:hAnsi="黑体" w:eastAsia="黑体"/>
          <w:color w:val="1D1B11"/>
          <w:kern w:val="0"/>
          <w:szCs w:val="32"/>
        </w:rPr>
        <w:t>附件</w:t>
      </w:r>
      <w:r>
        <w:rPr>
          <w:rFonts w:ascii="黑体" w:hAnsi="黑体" w:eastAsia="黑体"/>
          <w:color w:val="1D1B11"/>
          <w:kern w:val="0"/>
          <w:szCs w:val="32"/>
        </w:rPr>
        <w:t>1</w:t>
      </w:r>
    </w:p>
    <w:p>
      <w:pPr>
        <w:widowControl/>
        <w:jc w:val="center"/>
        <w:rPr>
          <w:rFonts w:hAnsi="黑体" w:eastAsia="黑体"/>
          <w:kern w:val="0"/>
          <w:szCs w:val="32"/>
        </w:rPr>
      </w:pPr>
      <w:r>
        <w:rPr>
          <w:rFonts w:hint="eastAsia" w:eastAsia="方正小标宋简体"/>
          <w:color w:val="1D1B11"/>
          <w:w w:val="95"/>
          <w:sz w:val="44"/>
          <w:szCs w:val="44"/>
        </w:rPr>
        <w:t>湖南省城镇老旧小区改造内容清单</w:t>
      </w:r>
    </w:p>
    <w:tbl>
      <w:tblPr>
        <w:tblStyle w:val="5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399"/>
        <w:gridCol w:w="650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类别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具体内容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基础类改造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内容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违章建筑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依法妥善处理老旧小区内侵占公共空间的违章建筑（构筑物）和侵占绿地、道路等违法设施。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满足居民安全需要和基本生活需求的改造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房屋公共部分修缮（涉及安全基本功能）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对房屋公共部分进行排查，对存在安全隐患和影响基本功能的进行修缮，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楼顶屋面维修和防水</w:t>
            </w: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供排水设施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维修改造小区内的供水管线，实施“一户一表”，优先加装智能水表；维护改造不符合相关技术、卫生以及安全防范标准的老旧二次供水设施；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实施小区雨污分流，设置单独污水立管，卫生间、厨房、阳台等污水全部纳入污水管道集中收集；推进小区室外排水管网雨污分流改造和雨污混、错接改造；疏浚、改造排水管网、检查井及化粪池，更换破损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窨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井盖；对处于低洼地带或配有地下车库的老旧小区增设排水防涝设施，提升小区防涝水平。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供电设施及管线设施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维修改造小区内的供电管线，实施“一户一表”；整理归并小区内弱电线缆，拆除无用缆线，具备条件的下地铺设。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通信设施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对新增广电、电信、移动、联通等光纤线路实行统一设计、统一走管，集中设置室外、楼道内光纤分配箱。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道路设施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整治翻修小区破损道路；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清除各类占道物品，合理设置机动车和非机动车停车位，保障机动车和非机动车道通行功能，标识标线清晰</w:t>
            </w: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供气设施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具备条件的接入管道天然气，改造和置换老旧的管道、阀门和调压箱柜等燃气设施，有条件的用户改造安装远传智能气表。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环卫设施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改造原有垃圾收集点、垃圾房和转运站等设施，合理设置密封式垃圾桶（箱）或垃圾分类厢房，明确大件垃圾、建筑垃圾临时堆放点；逐步取缔垃圾道、垃圾池，按标准配建垃圾收集点；改造提升小区原有老旧公共厕所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基础类改造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内容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9</w:t>
            </w: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照明设施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合理布置路灯管线，改造和增设公共照明设施，满足小区夜间照明和安全用电标准。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满足居民安全需要和基本生活需求的改造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10.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围墙大门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修缮存在安全隐患或老化的围墙、大门。鼓励采取“围墙腾退”或“拆除围墙”的方式释放内部公共空间，或打通道路微循环系统。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11.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消防设施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清除消防通道上的障碍物，确保救护和消防通道畅通。清理楼栋间和楼道内乱堆杂物，完善消防配套设施。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12.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电梯</w:t>
            </w: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和适老、无障碍设施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加大对老旧小区加装电梯的扶持力度，具备条件的老旧小区楼房加装电梯，并按照《湖南省城市既有住宅增设电梯指导意见》（湘建房〔</w:t>
            </w:r>
            <w:r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  <w:t>2018</w:t>
            </w: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〕</w:t>
            </w:r>
            <w:r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  <w:t>159</w:t>
            </w: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号）实施；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完善无障碍和适老设施；建设无障碍通道。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13</w:t>
            </w:r>
            <w:r>
              <w:rPr>
                <w:rFonts w:ascii="宋体" w:hAnsi="宋体" w:eastAsia="宋体"/>
                <w:b/>
                <w:color w:val="1D1B11"/>
                <w:spacing w:val="-6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b/>
                <w:color w:val="1D1B11"/>
                <w:spacing w:val="-6"/>
                <w:kern w:val="0"/>
                <w:sz w:val="21"/>
                <w:szCs w:val="21"/>
              </w:rPr>
              <w:t>与小区直接相关的城市、县城</w:t>
            </w:r>
            <w:r>
              <w:rPr>
                <w:rFonts w:ascii="宋体" w:hAnsi="宋体" w:eastAsia="宋体"/>
                <w:b/>
                <w:color w:val="1D1B11"/>
                <w:spacing w:val="-6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color w:val="1D1B11"/>
                <w:spacing w:val="-6"/>
                <w:kern w:val="0"/>
                <w:sz w:val="21"/>
                <w:szCs w:val="21"/>
              </w:rPr>
              <w:t>城关镇</w:t>
            </w:r>
            <w:r>
              <w:rPr>
                <w:rFonts w:ascii="宋体" w:hAnsi="宋体" w:eastAsia="宋体"/>
                <w:b/>
                <w:color w:val="1D1B11"/>
                <w:spacing w:val="-6"/>
                <w:kern w:val="0"/>
                <w:sz w:val="21"/>
                <w:szCs w:val="21"/>
              </w:rPr>
              <w:t xml:space="preserve">) </w:t>
            </w:r>
            <w:r>
              <w:rPr>
                <w:rFonts w:hint="eastAsia" w:ascii="宋体" w:hAnsi="宋体" w:eastAsia="宋体"/>
                <w:b/>
                <w:color w:val="1D1B11"/>
                <w:spacing w:val="-6"/>
                <w:kern w:val="0"/>
                <w:sz w:val="21"/>
                <w:szCs w:val="21"/>
              </w:rPr>
              <w:t>基础设施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与小区直接相关的城市、县城</w:t>
            </w:r>
            <w:r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城关镇</w:t>
            </w:r>
            <w:r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道路和公共交通、通信、供电、供排水、供气、供热、停车库</w:t>
            </w:r>
            <w:r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场</w:t>
            </w:r>
            <w:r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、污水与垃圾处理等基础设施的改造升级。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完善类改造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内容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房屋公共部分修缮（不涉及安全和基本功能）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对房屋公共部分进行排查，对确需修缮但不存在安全隐患和不影响基本功能的进行修缮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满足居民改善型生活需求和生活便利性需要的改造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道路和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停车设施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对具备条件的路面公共停车位、休闲广场、人行道等进行海绵化改造；利用空坪隙地规划增设停车位，合理设置机动车和非机动车停车场地；推广建设机械式立体车库；配置充电桩，规范充电设施。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安防和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便民设施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完善小区安防监控设施，在小区出入口及重要区域配置安防监控设备，并建立小区监控室等；修缮、配建邮政、快递设施和公告宣传栏；安装健身器材，增设休闲座椅，完善适老设施，配建养老、托幼等服务设施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完善类改造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内容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环境景观整治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整治小区“脏、乱、差”，清理楼道各类小广告；整治餐饮油烟等环境污染问题。整修、打通小区内部道路，疏通步行网络，连接城市慢行系统。按照节约型园林绿化要求实施园林绿化提质工程，建设小区游园、林荫路等可进入林荫空间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对小区绿地实施海绵化改造。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满足居民改善型生活需求和生活便利性需要的改造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、建筑节能改造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对有条件的，进行既有建筑节能改造。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提升类改造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内容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立面整治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规范整治老旧小区立面。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1D1B11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/>
                <w:color w:val="1D1B1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丰富社会服务供给的改造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服务设施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增设小区党建活动室、读书阅览室、便民服务站等，提标改造城市农贸市场，配套便民市场、助餐、家政、健身、便利店、医疗等配套服务设施。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智慧管理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推进移动通信</w:t>
            </w:r>
            <w:r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  <w:t>5G</w:t>
            </w: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网络的深度覆盖，建立小区管理和服务综合信息平台；增设小区可视化大门、智能门禁系统及道闸，安装楼道智能门禁系统。推广应用具有“一杆多用”功能的小区智慧灯杆。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1D1B11"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/>
                <w:b/>
                <w:color w:val="1D1B11"/>
                <w:kern w:val="0"/>
                <w:sz w:val="21"/>
                <w:szCs w:val="21"/>
              </w:rPr>
              <w:t>特色风貌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1D1B11"/>
                <w:kern w:val="0"/>
                <w:sz w:val="21"/>
                <w:szCs w:val="21"/>
              </w:rPr>
              <w:t>挖掘小区历史文化内涵和特色风貌，打造特色景观、雕塑等，制作文化长廊、社区历史、文化展示墙等。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color w:val="1D1B11"/>
                <w:kern w:val="0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hAnsi="黑体" w:eastAsia="黑体"/>
          <w:kern w:val="0"/>
          <w:szCs w:val="32"/>
        </w:rPr>
      </w:pPr>
    </w:p>
    <w:p/>
    <w:sectPr>
      <w:footerReference r:id="rId5" w:type="default"/>
      <w:footerReference r:id="rId6" w:type="even"/>
      <w:pgSz w:w="11906" w:h="16838"/>
      <w:pgMar w:top="1418" w:right="1418" w:bottom="1418" w:left="1418" w:header="1134" w:footer="1134" w:gutter="0"/>
      <w:pgNumType w:start="1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left="320" w:leftChars="100" w:right="320" w:rightChars="100"/>
      <w:jc w:val="right"/>
      <w:rPr>
        <w:rFonts w:asciiTheme="majorEastAsia" w:hAnsiTheme="majorEastAsia" w:eastAsiaTheme="majorEastAsia"/>
        <w:sz w:val="28"/>
        <w:szCs w:val="28"/>
      </w:rPr>
    </w:pPr>
    <w:sdt>
      <w:sdtPr>
        <w:id w:val="-1693365164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sdtContent>
    </w:sdt>
    <w:r>
      <w:rPr>
        <w:rFonts w:hint="eastAsia" w:asciiTheme="majorEastAsia" w:hAnsiTheme="majorEastAsia" w:eastAsiaTheme="maj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  <w:rPr>
        <w:rFonts w:asciiTheme="majorEastAsia" w:hAnsiTheme="majorEastAsia" w:eastAsiaTheme="majorEastAsia"/>
        <w:sz w:val="28"/>
        <w:szCs w:val="28"/>
      </w:rPr>
    </w:pPr>
    <w:sdt>
      <w:sdtPr>
        <w:id w:val="-2042808333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sdtContent>
    </w:sdt>
    <w:r>
      <w:rPr>
        <w:rFonts w:hint="eastAsia" w:asciiTheme="majorEastAsia" w:hAnsiTheme="majorEastAsia" w:eastAsiaTheme="major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NWY1NDU2NmFjNGU5NWVjMDcyOTgxMDAzMmQ0NmEifQ=="/>
  </w:docVars>
  <w:rsids>
    <w:rsidRoot w:val="00A164D6"/>
    <w:rsid w:val="000129A1"/>
    <w:rsid w:val="00023BD1"/>
    <w:rsid w:val="000922DF"/>
    <w:rsid w:val="000B45AB"/>
    <w:rsid w:val="000C79A7"/>
    <w:rsid w:val="001A70DD"/>
    <w:rsid w:val="001C6D82"/>
    <w:rsid w:val="001E31B6"/>
    <w:rsid w:val="00216710"/>
    <w:rsid w:val="00236954"/>
    <w:rsid w:val="002B762F"/>
    <w:rsid w:val="00305CF5"/>
    <w:rsid w:val="00473B92"/>
    <w:rsid w:val="004752A7"/>
    <w:rsid w:val="004F64F8"/>
    <w:rsid w:val="00537860"/>
    <w:rsid w:val="005575E5"/>
    <w:rsid w:val="005C4C23"/>
    <w:rsid w:val="00601276"/>
    <w:rsid w:val="00634D36"/>
    <w:rsid w:val="00680113"/>
    <w:rsid w:val="00724CD7"/>
    <w:rsid w:val="0075103D"/>
    <w:rsid w:val="007758B7"/>
    <w:rsid w:val="007E340C"/>
    <w:rsid w:val="008003FF"/>
    <w:rsid w:val="009C24E7"/>
    <w:rsid w:val="009C4891"/>
    <w:rsid w:val="00A164D6"/>
    <w:rsid w:val="00B519D4"/>
    <w:rsid w:val="00BC1E90"/>
    <w:rsid w:val="00BD08A6"/>
    <w:rsid w:val="00D0073D"/>
    <w:rsid w:val="00D07C6E"/>
    <w:rsid w:val="00DB2B58"/>
    <w:rsid w:val="00E15C1E"/>
    <w:rsid w:val="00E21092"/>
    <w:rsid w:val="2C9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289</Words>
  <Characters>1649</Characters>
  <Lines>13</Lines>
  <Paragraphs>3</Paragraphs>
  <TotalTime>0</TotalTime>
  <ScaleCrop>false</ScaleCrop>
  <LinksUpToDate>false</LinksUpToDate>
  <CharactersWithSpaces>1935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2020-04-10T02:31:00Z</dcterms:created>
  <dc:creator>叶昂 192.168.17.20</dc:creator>
  <cp:lastModifiedBy>Freya.囡</cp:lastModifiedBy>
  <cp:lastPrinted>2020-04-10T02:31:00Z</cp:lastPrinted>
  <dcterms:modified xsi:type="dcterms:W3CDTF">2023-12-12T07:17:09Z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6228C286FF1B4D7992CF424CF9E4CBE3_12</vt:lpwstr>
  </property>
</Properties>
</file>