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w:t>
      </w:r>
      <w:r>
        <w:rPr>
          <w:rFonts w:hint="eastAsia" w:eastAsia="方正小标宋简体"/>
          <w:bCs/>
          <w:sz w:val="46"/>
          <w:szCs w:val="46"/>
          <w:lang w:val="en-US" w:eastAsia="zh-CN"/>
        </w:rPr>
        <w:t>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长沙火车南站地区综合管理办公室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071</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报告日期：20</w:t>
      </w:r>
      <w:r>
        <w:rPr>
          <w:rFonts w:hint="eastAsia" w:eastAsia="仿宋_GB2312"/>
          <w:sz w:val="32"/>
          <w:lang w:val="en-US" w:eastAsia="zh-CN"/>
        </w:rPr>
        <w:t>23</w:t>
      </w:r>
      <w:r>
        <w:rPr>
          <w:rFonts w:hint="eastAsia" w:eastAsia="仿宋_GB2312"/>
          <w:sz w:val="32"/>
        </w:rPr>
        <w:t>年</w:t>
      </w:r>
      <w:r>
        <w:rPr>
          <w:rFonts w:hint="eastAsia" w:eastAsia="仿宋_GB2312"/>
          <w:sz w:val="32"/>
          <w:lang w:val="en-US" w:eastAsia="zh-CN"/>
        </w:rPr>
        <w:t>5</w:t>
      </w:r>
      <w:r>
        <w:rPr>
          <w:rFonts w:hint="eastAsia" w:eastAsia="仿宋_GB2312"/>
          <w:sz w:val="32"/>
        </w:rPr>
        <w:t xml:space="preserve">月 </w:t>
      </w:r>
      <w:r>
        <w:rPr>
          <w:rFonts w:hint="eastAsia" w:eastAsia="仿宋_GB2312"/>
          <w:sz w:val="32"/>
          <w:lang w:val="en-US" w:eastAsia="zh-CN"/>
        </w:rPr>
        <w:t>1</w:t>
      </w:r>
      <w:r>
        <w:rPr>
          <w:rFonts w:hint="eastAsia" w:eastAsia="仿宋_GB2312"/>
          <w:sz w:val="32"/>
        </w:rPr>
        <w:t>0日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6"/>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wBefore w:w="0" w:type="dxa"/>
          <w:wAfter w:w="0" w:type="dxa"/>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strike w:val="0"/>
                <w:dstrike w:val="0"/>
                <w:color w:val="FF0000"/>
                <w:kern w:val="0"/>
                <w:sz w:val="24"/>
                <w:lang w:val="en-US" w:eastAsia="zh-CN"/>
              </w:rPr>
              <w:t>3</w:t>
            </w:r>
          </w:p>
        </w:tc>
      </w:tr>
      <w:tr>
        <w:tblPrEx>
          <w:tblCellMar>
            <w:top w:w="0" w:type="dxa"/>
            <w:left w:w="108" w:type="dxa"/>
            <w:bottom w:w="0" w:type="dxa"/>
            <w:right w:w="108" w:type="dxa"/>
          </w:tblCellMar>
        </w:tblPrEx>
        <w:trPr>
          <w:wBefore w:w="0" w:type="dxa"/>
          <w:wAfter w:w="0" w:type="dxa"/>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strike w:val="0"/>
                <w:dstrike w:val="0"/>
                <w:kern w:val="0"/>
                <w:sz w:val="24"/>
              </w:rPr>
              <w:t>　</w:t>
            </w:r>
            <w:r>
              <w:rPr>
                <w:rFonts w:hint="eastAsia" w:ascii="宋体" w:hAnsi="宋体" w:cs="宋体"/>
                <w:strike w:val="0"/>
                <w:dstrike w:val="0"/>
                <w:color w:val="FF0000"/>
                <w:kern w:val="0"/>
                <w:sz w:val="24"/>
                <w:lang w:val="en-US" w:eastAsia="zh-CN"/>
              </w:rPr>
              <w:t>4</w:t>
            </w:r>
          </w:p>
        </w:tc>
      </w:tr>
      <w:tr>
        <w:tblPrEx>
          <w:tblCellMar>
            <w:top w:w="0" w:type="dxa"/>
            <w:left w:w="108" w:type="dxa"/>
            <w:bottom w:w="0" w:type="dxa"/>
            <w:right w:w="108" w:type="dxa"/>
          </w:tblCellMar>
        </w:tblPrEx>
        <w:trPr>
          <w:wBefore w:w="0" w:type="dxa"/>
          <w:wAfter w:w="0" w:type="dxa"/>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该指标以2017年完工的新建楼堂馆所为评价内容。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wBefore w:w="0" w:type="dxa"/>
          <w:wAfter w:w="0" w:type="dxa"/>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该指标以2017年完工的新建楼堂馆所为评价内容。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5　</w:t>
            </w:r>
          </w:p>
        </w:tc>
      </w:tr>
      <w:tr>
        <w:tblPrEx>
          <w:tblCellMar>
            <w:top w:w="0" w:type="dxa"/>
            <w:left w:w="108" w:type="dxa"/>
            <w:bottom w:w="0" w:type="dxa"/>
            <w:right w:w="108" w:type="dxa"/>
          </w:tblCellMar>
        </w:tblPrEx>
        <w:trPr>
          <w:wBefore w:w="0" w:type="dxa"/>
          <w:wAfter w:w="0" w:type="dxa"/>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strike w:val="0"/>
                <w:dstrike w:val="0"/>
                <w:color w:val="FF0000"/>
                <w:kern w:val="0"/>
                <w:sz w:val="24"/>
              </w:rPr>
              <w:t>8</w:t>
            </w:r>
          </w:p>
        </w:tc>
      </w:tr>
      <w:tr>
        <w:tblPrEx>
          <w:tblCellMar>
            <w:top w:w="0" w:type="dxa"/>
            <w:left w:w="108" w:type="dxa"/>
            <w:bottom w:w="0" w:type="dxa"/>
            <w:right w:w="108" w:type="dxa"/>
          </w:tblCellMar>
        </w:tblPrEx>
        <w:trPr>
          <w:wBefore w:w="0" w:type="dxa"/>
          <w:wAfter w:w="0" w:type="dxa"/>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strike w:val="0"/>
                <w:dstrike w:val="0"/>
                <w:color w:val="FF0000"/>
                <w:kern w:val="0"/>
                <w:sz w:val="24"/>
              </w:rPr>
              <w:t>8</w:t>
            </w:r>
          </w:p>
        </w:tc>
      </w:tr>
      <w:tr>
        <w:tblPrEx>
          <w:tblCellMar>
            <w:top w:w="0" w:type="dxa"/>
            <w:left w:w="108" w:type="dxa"/>
            <w:bottom w:w="0" w:type="dxa"/>
            <w:right w:w="108" w:type="dxa"/>
          </w:tblCellMar>
        </w:tblPrEx>
        <w:trPr>
          <w:wBefore w:w="0" w:type="dxa"/>
          <w:wAfter w:w="0" w:type="dxa"/>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strike w:val="0"/>
                <w:dstrike w:val="0"/>
                <w:kern w:val="0"/>
                <w:sz w:val="24"/>
              </w:rPr>
              <w:t>　</w:t>
            </w:r>
            <w:r>
              <w:rPr>
                <w:rFonts w:hint="eastAsia" w:ascii="宋体" w:hAnsi="宋体" w:cs="宋体"/>
                <w:strike w:val="0"/>
                <w:dstrike w:val="0"/>
                <w:color w:val="FF0000"/>
                <w:kern w:val="0"/>
                <w:sz w:val="24"/>
                <w:lang w:val="en-US" w:eastAsia="zh-CN"/>
              </w:rPr>
              <w:t>2</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①有内部财务管理制度、会计核算制度等管理制度；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③相关管理制度合法、合规、完整；④相关管理制度得到有效执行。</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①按规定内容公开预决算信息；②按规定时限公开预决算信息；③基础数据信息和会计信息资料真实；④基础数据信息和会计信息资料完整；⑤基础数据信息和汇集信息资料准确。  </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5</w:t>
            </w:r>
          </w:p>
        </w:tc>
      </w:tr>
      <w:tr>
        <w:tblPrEx>
          <w:tblCellMar>
            <w:top w:w="0" w:type="dxa"/>
            <w:left w:w="108" w:type="dxa"/>
            <w:bottom w:w="0" w:type="dxa"/>
            <w:right w:w="108" w:type="dxa"/>
          </w:tblCellMar>
        </w:tblPrEx>
        <w:trPr>
          <w:wBefore w:w="0" w:type="dxa"/>
          <w:wAfter w:w="0" w:type="dxa"/>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根据绩效办2017年对各部门为民办实事和部门重点工程与重点工作考核分数折算。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8</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6</w:t>
            </w:r>
          </w:p>
        </w:tc>
      </w:tr>
      <w:tr>
        <w:tblPrEx>
          <w:tblCellMar>
            <w:top w:w="0" w:type="dxa"/>
            <w:left w:w="108" w:type="dxa"/>
            <w:bottom w:w="0" w:type="dxa"/>
            <w:right w:w="108" w:type="dxa"/>
          </w:tblCellMar>
        </w:tblPrEx>
        <w:trPr>
          <w:wBefore w:w="0" w:type="dxa"/>
          <w:wAfter w:w="0" w:type="dxa"/>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6</w:t>
            </w:r>
          </w:p>
        </w:tc>
      </w:tr>
    </w:tbl>
    <w:p>
      <w:pPr>
        <w:rPr>
          <w:rFonts w:hint="eastAsia" w:ascii="黑体" w:eastAsia="黑体"/>
          <w:sz w:val="28"/>
          <w:szCs w:val="28"/>
          <w:lang w:val="en-US" w:eastAsia="zh-CN"/>
        </w:rPr>
      </w:pPr>
      <w:r>
        <w:rPr>
          <w:rFonts w:hint="eastAsia" w:ascii="黑体" w:eastAsia="黑体"/>
          <w:sz w:val="28"/>
          <w:szCs w:val="28"/>
          <w:lang w:val="en-US" w:eastAsia="zh-CN"/>
        </w:rPr>
        <w:t xml:space="preserve">                                                  合计</w:t>
      </w:r>
      <w:r>
        <w:rPr>
          <w:rFonts w:hint="eastAsia" w:ascii="黑体" w:eastAsia="黑体"/>
          <w:strike w:val="0"/>
          <w:dstrike w:val="0"/>
          <w:sz w:val="28"/>
          <w:szCs w:val="28"/>
          <w:u w:val="single"/>
          <w:lang w:val="en-US" w:eastAsia="zh-CN"/>
        </w:rPr>
        <w:t xml:space="preserve">93 </w:t>
      </w:r>
      <w:r>
        <w:rPr>
          <w:rFonts w:hint="eastAsia" w:ascii="黑体" w:eastAsia="黑体"/>
          <w:sz w:val="28"/>
          <w:szCs w:val="28"/>
          <w:lang w:val="en-US" w:eastAsia="zh-CN"/>
        </w:rPr>
        <w:t>分</w:t>
      </w: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5745"/>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hint="eastAsia" w:ascii="宋体" w:hAnsi="宋体" w:cs="宋体"/>
          <w:kern w:val="0"/>
          <w:sz w:val="24"/>
        </w:rPr>
        <w:t>单位：万元</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6"/>
        <w:tblW w:w="0" w:type="auto"/>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wBefore w:w="0" w:type="dxa"/>
          <w:wAfter w:w="0" w:type="dxa"/>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default" w:ascii="Times New Roman" w:hAnsi="Times New Roman" w:eastAsia="黑体" w:cs="Times New Roman"/>
                <w:b w:val="0"/>
                <w:bCs w:val="0"/>
                <w:color w:val="auto"/>
                <w:kern w:val="0"/>
                <w:sz w:val="20"/>
                <w:szCs w:val="20"/>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default" w:ascii="Times New Roman" w:hAnsi="Times New Roman" w:eastAsia="黑体" w:cs="Times New Roman"/>
                <w:b w:val="0"/>
                <w:bCs w:val="0"/>
                <w:color w:val="auto"/>
                <w:kern w:val="0"/>
                <w:sz w:val="20"/>
                <w:szCs w:val="20"/>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default" w:ascii="Times New Roman" w:hAnsi="Times New Roman" w:eastAsia="黑体" w:cs="Times New Roman"/>
                <w:b w:val="0"/>
                <w:bCs w:val="0"/>
                <w:color w:val="auto"/>
                <w:kern w:val="0"/>
                <w:sz w:val="20"/>
                <w:szCs w:val="20"/>
              </w:rPr>
              <w:t>20</w:t>
            </w:r>
            <w:r>
              <w:rPr>
                <w:rFonts w:hint="default" w:ascii="Times New Roman" w:hAnsi="Times New Roman" w:eastAsia="黑体" w:cs="Times New Roman"/>
                <w:b w:val="0"/>
                <w:bCs w:val="0"/>
                <w:color w:val="auto"/>
                <w:kern w:val="0"/>
                <w:sz w:val="20"/>
                <w:szCs w:val="20"/>
                <w:lang w:val="en-US" w:eastAsia="zh-CN"/>
              </w:rPr>
              <w:t>2</w:t>
            </w:r>
            <w:r>
              <w:rPr>
                <w:rFonts w:hint="eastAsia" w:ascii="Times New Roman" w:hAnsi="Times New Roman" w:eastAsia="黑体" w:cs="Times New Roman"/>
                <w:b w:val="0"/>
                <w:bCs w:val="0"/>
                <w:color w:val="auto"/>
                <w:kern w:val="0"/>
                <w:sz w:val="20"/>
                <w:szCs w:val="20"/>
                <w:lang w:val="en-US" w:eastAsia="zh-CN"/>
              </w:rPr>
              <w:t>2</w:t>
            </w:r>
            <w:r>
              <w:rPr>
                <w:rFonts w:hint="default" w:ascii="Times New Roman" w:hAnsi="Times New Roman" w:eastAsia="黑体" w:cs="Times New Roman"/>
                <w:b w:val="0"/>
                <w:bCs w:val="0"/>
                <w:color w:val="auto"/>
                <w:kern w:val="0"/>
                <w:sz w:val="20"/>
                <w:szCs w:val="20"/>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default" w:ascii="Times New Roman" w:hAnsi="Times New Roman" w:eastAsia="黑体" w:cs="Times New Roman"/>
                <w:b w:val="0"/>
                <w:bCs w:val="0"/>
                <w:color w:val="auto"/>
                <w:kern w:val="0"/>
                <w:sz w:val="20"/>
                <w:szCs w:val="20"/>
              </w:rPr>
              <w:t>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color w:val="auto"/>
                <w:kern w:val="0"/>
                <w:sz w:val="24"/>
              </w:rPr>
              <w:t>　30</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color w:val="auto"/>
                <w:kern w:val="0"/>
                <w:sz w:val="24"/>
              </w:rPr>
              <w:t>　</w:t>
            </w:r>
            <w:r>
              <w:rPr>
                <w:rFonts w:hint="eastAsia" w:ascii="宋体" w:hAnsi="宋体" w:cs="宋体"/>
                <w:color w:val="auto"/>
                <w:kern w:val="0"/>
                <w:sz w:val="24"/>
                <w:lang w:val="en-US" w:eastAsia="zh-CN"/>
              </w:rPr>
              <w:t>29</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color w:val="auto"/>
                <w:kern w:val="0"/>
                <w:sz w:val="24"/>
                <w:lang w:val="en-US" w:eastAsia="zh-CN"/>
              </w:rPr>
              <w:t>97</w:t>
            </w:r>
            <w:r>
              <w:rPr>
                <w:rFonts w:hint="eastAsia" w:ascii="宋体" w:hAnsi="宋体" w:cs="宋体"/>
                <w:color w:val="auto"/>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default" w:ascii="Times New Roman" w:hAnsi="Times New Roman" w:eastAsia="黑体" w:cs="Times New Roman"/>
                <w:b w:val="0"/>
                <w:bCs w:val="0"/>
                <w:color w:val="auto"/>
                <w:kern w:val="0"/>
                <w:sz w:val="20"/>
                <w:szCs w:val="20"/>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Times New Roman" w:hAnsi="Times New Roman" w:eastAsia="黑体" w:cs="Times New Roman"/>
                <w:b w:val="0"/>
                <w:bCs w:val="0"/>
                <w:color w:val="auto"/>
                <w:kern w:val="0"/>
                <w:sz w:val="20"/>
                <w:szCs w:val="20"/>
                <w:lang w:eastAsia="zh-CN"/>
              </w:rPr>
              <w:t>202</w:t>
            </w:r>
            <w:r>
              <w:rPr>
                <w:rFonts w:hint="eastAsia" w:ascii="Times New Roman" w:hAnsi="Times New Roman" w:eastAsia="黑体" w:cs="Times New Roman"/>
                <w:b w:val="0"/>
                <w:bCs w:val="0"/>
                <w:color w:val="auto"/>
                <w:kern w:val="0"/>
                <w:sz w:val="20"/>
                <w:szCs w:val="20"/>
                <w:lang w:val="en-US" w:eastAsia="zh-CN"/>
              </w:rPr>
              <w:t>1</w:t>
            </w:r>
            <w:r>
              <w:rPr>
                <w:rFonts w:hint="eastAsia" w:ascii="Times New Roman" w:hAnsi="Times New Roman" w:eastAsia="黑体" w:cs="Times New Roman"/>
                <w:b w:val="0"/>
                <w:bCs w:val="0"/>
                <w:color w:val="auto"/>
                <w:kern w:val="0"/>
                <w:sz w:val="20"/>
                <w:szCs w:val="20"/>
                <w:lang w:eastAsia="zh-CN"/>
              </w:rPr>
              <w:t>年</w:t>
            </w:r>
            <w:r>
              <w:rPr>
                <w:rFonts w:hint="eastAsia" w:ascii="Times New Roman" w:hAnsi="Times New Roman" w:eastAsia="黑体" w:cs="Times New Roman"/>
                <w:b w:val="0"/>
                <w:bCs w:val="0"/>
                <w:color w:val="auto"/>
                <w:kern w:val="0"/>
                <w:sz w:val="20"/>
                <w:szCs w:val="20"/>
              </w:rPr>
              <w:t>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Times New Roman" w:hAnsi="Times New Roman" w:eastAsia="黑体" w:cs="Times New Roman"/>
                <w:b w:val="0"/>
                <w:bCs w:val="0"/>
                <w:color w:val="auto"/>
                <w:kern w:val="0"/>
                <w:sz w:val="20"/>
                <w:szCs w:val="20"/>
                <w:lang w:eastAsia="zh-CN"/>
              </w:rPr>
              <w:t>20</w:t>
            </w:r>
            <w:r>
              <w:rPr>
                <w:rFonts w:hint="eastAsia" w:ascii="Times New Roman" w:hAnsi="Times New Roman" w:eastAsia="黑体" w:cs="Times New Roman"/>
                <w:b w:val="0"/>
                <w:bCs w:val="0"/>
                <w:color w:val="auto"/>
                <w:kern w:val="0"/>
                <w:sz w:val="20"/>
                <w:szCs w:val="20"/>
                <w:lang w:val="en-US" w:eastAsia="zh-CN"/>
              </w:rPr>
              <w:t>22</w:t>
            </w:r>
            <w:r>
              <w:rPr>
                <w:rFonts w:hint="eastAsia" w:ascii="Times New Roman" w:hAnsi="Times New Roman" w:eastAsia="黑体" w:cs="Times New Roman"/>
                <w:b w:val="0"/>
                <w:bCs w:val="0"/>
                <w:color w:val="auto"/>
                <w:kern w:val="0"/>
                <w:sz w:val="20"/>
                <w:szCs w:val="20"/>
                <w:lang w:eastAsia="zh-CN"/>
              </w:rPr>
              <w:t>年</w:t>
            </w:r>
            <w:r>
              <w:rPr>
                <w:rFonts w:hint="eastAsia" w:ascii="Times New Roman" w:hAnsi="Times New Roman" w:eastAsia="黑体" w:cs="Times New Roman"/>
                <w:b w:val="0"/>
                <w:bCs w:val="0"/>
                <w:color w:val="auto"/>
                <w:kern w:val="0"/>
                <w:sz w:val="20"/>
                <w:szCs w:val="20"/>
              </w:rPr>
              <w:t>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Times New Roman" w:hAnsi="Times New Roman" w:eastAsia="黑体" w:cs="Times New Roman"/>
                <w:b w:val="0"/>
                <w:bCs w:val="0"/>
                <w:color w:val="auto"/>
                <w:kern w:val="0"/>
                <w:sz w:val="20"/>
                <w:szCs w:val="20"/>
                <w:lang w:eastAsia="zh-CN"/>
              </w:rPr>
              <w:t>202</w:t>
            </w:r>
            <w:r>
              <w:rPr>
                <w:rFonts w:hint="eastAsia" w:ascii="Times New Roman" w:hAnsi="Times New Roman" w:eastAsia="黑体" w:cs="Times New Roman"/>
                <w:b w:val="0"/>
                <w:bCs w:val="0"/>
                <w:color w:val="auto"/>
                <w:kern w:val="0"/>
                <w:sz w:val="20"/>
                <w:szCs w:val="20"/>
                <w:lang w:val="en-US" w:eastAsia="zh-CN"/>
              </w:rPr>
              <w:t>2</w:t>
            </w:r>
            <w:r>
              <w:rPr>
                <w:rFonts w:hint="eastAsia" w:ascii="Times New Roman" w:hAnsi="Times New Roman" w:eastAsia="黑体" w:cs="Times New Roman"/>
                <w:b w:val="0"/>
                <w:bCs w:val="0"/>
                <w:color w:val="auto"/>
                <w:kern w:val="0"/>
                <w:sz w:val="20"/>
                <w:szCs w:val="20"/>
                <w:lang w:eastAsia="zh-CN"/>
              </w:rPr>
              <w:t>年</w:t>
            </w:r>
            <w:r>
              <w:rPr>
                <w:rFonts w:hint="eastAsia" w:ascii="Times New Roman" w:hAnsi="Times New Roman" w:eastAsia="黑体" w:cs="Times New Roman"/>
                <w:b w:val="0"/>
                <w:bCs w:val="0"/>
                <w:color w:val="auto"/>
                <w:kern w:val="0"/>
                <w:sz w:val="20"/>
                <w:szCs w:val="20"/>
              </w:rPr>
              <w:t>决算数</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3.40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3.97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3.14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2.97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2.94</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3.14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2.97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2.94</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0.26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0.06</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1292.38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1973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2298.07</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default" w:ascii="Times New Roman" w:hAnsi="Times New Roman" w:eastAsia="宋体" w:cs="Times New Roman"/>
                <w:b w:val="0"/>
                <w:bCs w:val="0"/>
                <w:color w:val="auto"/>
                <w:kern w:val="0"/>
                <w:sz w:val="20"/>
                <w:szCs w:val="20"/>
              </w:rPr>
              <w:t>……</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eastAsia="宋体" w:cs="宋体"/>
                <w:color w:val="auto"/>
                <w:kern w:val="0"/>
                <w:sz w:val="24"/>
                <w:szCs w:val="24"/>
                <w:lang w:val="en-US" w:eastAsia="zh-CN" w:bidi="ar-SA"/>
              </w:rPr>
              <w:t>53.42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119.52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79.02</w:t>
            </w:r>
          </w:p>
        </w:tc>
      </w:tr>
      <w:tr>
        <w:tblPrEx>
          <w:tblCellMar>
            <w:top w:w="0" w:type="dxa"/>
            <w:left w:w="108" w:type="dxa"/>
            <w:bottom w:w="0" w:type="dxa"/>
            <w:right w:w="108" w:type="dxa"/>
          </w:tblCellMar>
        </w:tblPrEx>
        <w:trPr>
          <w:wBefore w:w="0" w:type="dxa"/>
          <w:wAfter w:w="0" w:type="dxa"/>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eastAsia="宋体" w:cs="宋体"/>
                <w:color w:val="auto"/>
                <w:kern w:val="0"/>
                <w:sz w:val="24"/>
                <w:szCs w:val="24"/>
                <w:lang w:val="en-US" w:eastAsia="zh-CN" w:bidi="ar-SA"/>
              </w:rPr>
              <w:t>0.8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eastAsia="宋体" w:cs="宋体"/>
                <w:color w:val="FF0000"/>
                <w:kern w:val="0"/>
                <w:sz w:val="24"/>
                <w:lang w:val="en-US" w:eastAsia="zh-CN"/>
              </w:rPr>
              <w:t>37.7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eastAsia="宋体" w:cs="宋体"/>
                <w:color w:val="FF0000"/>
                <w:kern w:val="0"/>
                <w:sz w:val="24"/>
                <w:lang w:val="en-US" w:eastAsia="zh-CN"/>
              </w:rPr>
              <w:t>11.52</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eastAsia="宋体" w:cs="宋体"/>
                <w:color w:val="FF0000"/>
                <w:kern w:val="0"/>
                <w:sz w:val="24"/>
                <w:lang w:val="en-US" w:eastAsia="zh-CN"/>
              </w:rPr>
              <w:t>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eastAsia="宋体" w:cs="宋体"/>
                <w:color w:val="FF0000"/>
                <w:kern w:val="0"/>
                <w:sz w:val="24"/>
                <w:lang w:val="en-US" w:eastAsia="zh-CN"/>
              </w:rPr>
              <w:t>1.21</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FF0000"/>
                <w:kern w:val="0"/>
                <w:sz w:val="24"/>
              </w:rPr>
            </w:pPr>
            <w:r>
              <w:rPr>
                <w:rFonts w:hint="eastAsia" w:ascii="宋体" w:hAnsi="宋体" w:eastAsia="宋体" w:cs="宋体"/>
                <w:color w:val="auto"/>
                <w:kern w:val="0"/>
                <w:sz w:val="24"/>
                <w:szCs w:val="24"/>
                <w:lang w:val="en-US" w:eastAsia="zh-CN" w:bidi="ar-SA"/>
              </w:rPr>
              <w:t>0.69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r>
              <w:rPr>
                <w:rFonts w:hint="eastAsia" w:ascii="宋体" w:hAnsi="宋体" w:eastAsia="宋体" w:cs="宋体"/>
                <w:color w:val="FF0000"/>
                <w:kern w:val="0"/>
                <w:sz w:val="24"/>
                <w:lang w:val="en-US" w:eastAsia="zh-CN"/>
              </w:rPr>
              <w:t>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lang w:val="en-US" w:eastAsia="zh-CN"/>
              </w:rPr>
            </w:pP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default" w:ascii="Times New Roman" w:hAnsi="Times New Roman" w:eastAsia="宋体" w:cs="Times New Roman"/>
                <w:b w:val="0"/>
                <w:bCs w:val="0"/>
                <w:color w:val="auto"/>
                <w:kern w:val="0"/>
                <w:sz w:val="20"/>
                <w:szCs w:val="20"/>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color w:val="auto"/>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rPr>
            </w:pPr>
            <w:r>
              <w:rPr>
                <w:rFonts w:hint="eastAsia" w:ascii="宋体" w:hAnsi="宋体" w:eastAsia="宋体" w:cs="宋体"/>
                <w:color w:val="auto"/>
                <w:kern w:val="0"/>
                <w:sz w:val="24"/>
                <w:szCs w:val="24"/>
                <w:lang w:val="en-US" w:eastAsia="zh-CN" w:bidi="ar-SA"/>
              </w:rPr>
              <w:t>352.43</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wBefore w:w="0" w:type="dxa"/>
          <w:wAfter w:w="0" w:type="dxa"/>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wBefore w:w="0" w:type="dxa"/>
          <w:wAfter w:w="0" w:type="dxa"/>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keepNext w:val="0"/>
        <w:keepLines w:val="0"/>
        <w:pageBreakBefore w:val="0"/>
        <w:kinsoku/>
        <w:wordWrap/>
        <w:overflowPunct/>
        <w:topLinePunct w:val="0"/>
        <w:autoSpaceDE/>
        <w:autoSpaceDN/>
        <w:bidi w:val="0"/>
        <w:adjustRightInd w:val="0"/>
        <w:snapToGrid w:val="0"/>
        <w:spacing w:line="560" w:lineRule="atLeast"/>
        <w:ind w:firstLine="753" w:firstLineChars="250"/>
        <w:textAlignment w:val="auto"/>
        <w:rPr>
          <w:rFonts w:hint="eastAsia" w:ascii="仿宋_GB2312" w:eastAsia="仿宋_GB2312"/>
          <w:b/>
          <w:color w:val="auto"/>
          <w:sz w:val="30"/>
          <w:szCs w:val="30"/>
        </w:rPr>
      </w:pPr>
      <w:r>
        <w:rPr>
          <w:rFonts w:hint="eastAsia" w:ascii="仿宋_GB2312" w:eastAsia="仿宋_GB2312"/>
          <w:b/>
          <w:color w:val="auto"/>
          <w:sz w:val="30"/>
          <w:szCs w:val="30"/>
        </w:rPr>
        <w:t>一、</w:t>
      </w:r>
      <w:r>
        <w:rPr>
          <w:rFonts w:hint="eastAsia" w:ascii="仿宋_GB2312" w:hAnsi="仿宋_GB2312" w:eastAsia="仿宋_GB2312" w:cs="仿宋_GB2312"/>
          <w:b/>
          <w:bCs/>
          <w:color w:val="auto"/>
          <w:sz w:val="32"/>
          <w:szCs w:val="32"/>
        </w:rPr>
        <w:t>部门、单位基本情况</w:t>
      </w:r>
      <w:r>
        <w:rPr>
          <w:rFonts w:hint="eastAsia" w:ascii="仿宋_GB2312" w:eastAsia="仿宋_GB2312"/>
          <w:b/>
          <w:color w:val="auto"/>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atLeas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（一）部门基本情况：综管办是全额拨款的事业单位，事业编制30人，实有</w:t>
      </w:r>
      <w:r>
        <w:rPr>
          <w:rFonts w:hint="eastAsia" w:ascii="仿宋" w:hAnsi="仿宋" w:eastAsia="仿宋" w:cs="仿宋"/>
          <w:color w:val="auto"/>
          <w:sz w:val="30"/>
          <w:szCs w:val="30"/>
          <w:lang w:val="en-US" w:eastAsia="zh-CN"/>
        </w:rPr>
        <w:t>29</w:t>
      </w:r>
      <w:r>
        <w:rPr>
          <w:rFonts w:hint="eastAsia" w:ascii="仿宋" w:hAnsi="仿宋" w:eastAsia="仿宋" w:cs="仿宋"/>
          <w:color w:val="auto"/>
          <w:sz w:val="30"/>
          <w:szCs w:val="30"/>
        </w:rPr>
        <w:t>人；其中领导职位数</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名：主任1名由副县级干部兼任，副主任</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名，综合管理部、社会事务部、执法协调部</w:t>
      </w:r>
      <w:r>
        <w:rPr>
          <w:rFonts w:hint="eastAsia" w:ascii="仿宋" w:hAnsi="仿宋" w:eastAsia="仿宋" w:cs="仿宋"/>
          <w:color w:val="auto"/>
          <w:sz w:val="30"/>
          <w:szCs w:val="30"/>
          <w:lang w:val="en-US" w:eastAsia="zh-CN"/>
        </w:rPr>
        <w:t>正副</w:t>
      </w:r>
      <w:r>
        <w:rPr>
          <w:rFonts w:hint="eastAsia" w:ascii="仿宋" w:hAnsi="仿宋" w:eastAsia="仿宋" w:cs="仿宋"/>
          <w:color w:val="auto"/>
          <w:sz w:val="30"/>
          <w:szCs w:val="30"/>
        </w:rPr>
        <w:t>部长各1名。另有雇员3人，</w:t>
      </w:r>
      <w:r>
        <w:rPr>
          <w:rFonts w:hint="eastAsia" w:ascii="仿宋" w:hAnsi="仿宋" w:eastAsia="仿宋" w:cs="仿宋"/>
          <w:color w:val="auto"/>
          <w:sz w:val="30"/>
          <w:szCs w:val="30"/>
          <w:lang w:eastAsia="zh-CN"/>
        </w:rPr>
        <w:t>转业士官</w:t>
      </w:r>
      <w:r>
        <w:rPr>
          <w:rFonts w:hint="eastAsia" w:ascii="仿宋" w:hAnsi="仿宋" w:eastAsia="仿宋" w:cs="仿宋"/>
          <w:color w:val="auto"/>
          <w:sz w:val="30"/>
          <w:szCs w:val="30"/>
          <w:lang w:val="en-US" w:eastAsia="zh-CN"/>
        </w:rPr>
        <w:t>1名，</w:t>
      </w:r>
      <w:r>
        <w:rPr>
          <w:rFonts w:hint="eastAsia" w:ascii="仿宋" w:hAnsi="仿宋" w:eastAsia="仿宋" w:cs="仿宋"/>
          <w:color w:val="auto"/>
          <w:sz w:val="30"/>
          <w:szCs w:val="30"/>
        </w:rPr>
        <w:t>聘用协警120人。</w:t>
      </w:r>
    </w:p>
    <w:p>
      <w:pPr>
        <w:keepNext w:val="0"/>
        <w:keepLines w:val="0"/>
        <w:pageBreakBefore w:val="0"/>
        <w:kinsoku/>
        <w:wordWrap/>
        <w:overflowPunct/>
        <w:topLinePunct w:val="0"/>
        <w:autoSpaceDE/>
        <w:autoSpaceDN/>
        <w:bidi w:val="0"/>
        <w:adjustRightInd w:val="0"/>
        <w:snapToGrid w:val="0"/>
        <w:spacing w:line="560" w:lineRule="atLeas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（二）内设机构：综合管理部、社会事务部、执法协调部。</w:t>
      </w:r>
    </w:p>
    <w:p>
      <w:pPr>
        <w:keepNext w:val="0"/>
        <w:keepLines w:val="0"/>
        <w:pageBreakBefore w:val="0"/>
        <w:kinsoku/>
        <w:wordWrap/>
        <w:overflowPunct/>
        <w:topLinePunct w:val="0"/>
        <w:autoSpaceDE/>
        <w:autoSpaceDN/>
        <w:bidi w:val="0"/>
        <w:adjustRightInd w:val="0"/>
        <w:snapToGrid w:val="0"/>
        <w:spacing w:line="560" w:lineRule="atLeas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（三）主要职能：</w:t>
      </w:r>
    </w:p>
    <w:p>
      <w:pPr>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1、贯彻执行国家及地方有关法律、法规和政策。</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2、负责维护火车南站地区的社会稳定，拟定并实施火车南站地区应急预案。</w:t>
      </w:r>
      <w:r>
        <w:rPr>
          <w:rFonts w:hint="eastAsia" w:ascii="仿宋" w:hAnsi="仿宋" w:eastAsia="仿宋" w:cs="仿宋"/>
          <w:color w:val="auto"/>
          <w:kern w:val="0"/>
          <w:sz w:val="28"/>
          <w:szCs w:val="28"/>
        </w:rPr>
        <w:br w:type="textWrapping"/>
      </w:r>
      <w:r>
        <w:rPr>
          <w:rFonts w:hint="eastAsia" w:ascii="仿宋" w:hAnsi="仿宋" w:eastAsia="仿宋" w:cs="仿宋"/>
          <w:color w:val="auto"/>
          <w:kern w:val="0"/>
          <w:sz w:val="28"/>
          <w:szCs w:val="28"/>
        </w:rPr>
        <w:t xml:space="preserve">     3、负责火车南站地区的交通秩序管理、市容秩序管理（不含环卫、市政、园林管理和维护作业）、治安秩序管理、经营秩序管理及其综合服务工作 。</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4、负责做好火车南站等铁路部门、政府有关职能部门、企事业单位的综合协调工作。</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5、牵头做好火车南站地区公共配套设施管理和维护的协调工作。</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6、协调配合有关部门做好与火车南站地区综合管理有关的规划、建设等工作的审议、审查。</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7、协调配合有关部门办理涉及火车南站地区的市政、环卫、园林、道路交通等行政许可工作。</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8、协助做好长沙火车南站地区客流高峰期的组织工作。</w:t>
      </w:r>
    </w:p>
    <w:p>
      <w:pPr>
        <w:keepNext w:val="0"/>
        <w:keepLines w:val="0"/>
        <w:pageBreakBefore w:val="0"/>
        <w:tabs>
          <w:tab w:val="left" w:pos="540"/>
        </w:tabs>
        <w:kinsoku/>
        <w:wordWrap/>
        <w:overflowPunct/>
        <w:topLinePunct w:val="0"/>
        <w:autoSpaceDE/>
        <w:autoSpaceDN/>
        <w:bidi w:val="0"/>
        <w:adjustRightInd w:val="0"/>
        <w:snapToGrid w:val="0"/>
        <w:spacing w:line="560" w:lineRule="atLeast"/>
        <w:ind w:firstLine="537" w:firstLineChars="192"/>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9、承办上级交办的其他事项。</w:t>
      </w:r>
    </w:p>
    <w:p>
      <w:pPr>
        <w:keepNext w:val="0"/>
        <w:keepLines w:val="0"/>
        <w:pageBreakBefore w:val="0"/>
        <w:kinsoku/>
        <w:wordWrap/>
        <w:overflowPunct/>
        <w:topLinePunct w:val="0"/>
        <w:autoSpaceDE/>
        <w:autoSpaceDN/>
        <w:bidi w:val="0"/>
        <w:adjustRightInd w:val="0"/>
        <w:snapToGrid w:val="0"/>
        <w:spacing w:line="560" w:lineRule="atLeast"/>
        <w:ind w:firstLine="600" w:firstLineChars="200"/>
        <w:textAlignment w:val="auto"/>
        <w:rPr>
          <w:rFonts w:hint="eastAsia" w:ascii="仿宋_GB2312" w:eastAsia="仿宋_GB2312"/>
          <w:color w:val="auto"/>
          <w:sz w:val="30"/>
          <w:szCs w:val="30"/>
        </w:rPr>
      </w:pPr>
    </w:p>
    <w:p>
      <w:pPr>
        <w:keepNext w:val="0"/>
        <w:keepLines w:val="0"/>
        <w:pageBreakBefore w:val="0"/>
        <w:kinsoku/>
        <w:wordWrap/>
        <w:overflowPunct/>
        <w:topLinePunct w:val="0"/>
        <w:autoSpaceDE/>
        <w:autoSpaceDN/>
        <w:bidi w:val="0"/>
        <w:adjustRightInd w:val="0"/>
        <w:snapToGrid w:val="0"/>
        <w:spacing w:line="560" w:lineRule="atLeast"/>
        <w:ind w:firstLine="600"/>
        <w:textAlignment w:val="auto"/>
        <w:rPr>
          <w:rFonts w:hint="eastAsia" w:ascii="仿宋_GB2312" w:eastAsia="仿宋_GB2312"/>
          <w:color w:val="auto"/>
          <w:sz w:val="30"/>
          <w:szCs w:val="30"/>
        </w:rPr>
      </w:pPr>
      <w:r>
        <w:rPr>
          <w:rFonts w:hint="eastAsia" w:ascii="仿宋_GB2312" w:eastAsia="仿宋_GB2312"/>
          <w:color w:val="auto"/>
          <w:sz w:val="30"/>
          <w:szCs w:val="30"/>
        </w:rPr>
        <w:t>二、</w:t>
      </w:r>
      <w:r>
        <w:rPr>
          <w:rFonts w:hint="eastAsia" w:ascii="仿宋_GB2312" w:hAnsi="仿宋_GB2312" w:eastAsia="仿宋_GB2312" w:cs="仿宋_GB2312"/>
          <w:b/>
          <w:bCs/>
          <w:color w:val="auto"/>
          <w:sz w:val="32"/>
          <w:szCs w:val="32"/>
          <w:lang w:eastAsia="zh-CN"/>
        </w:rPr>
        <w:t>部门整体</w:t>
      </w:r>
      <w:r>
        <w:rPr>
          <w:rFonts w:hint="eastAsia" w:ascii="仿宋_GB2312" w:hAnsi="仿宋_GB2312" w:eastAsia="仿宋_GB2312" w:cs="仿宋_GB2312"/>
          <w:b/>
          <w:bCs/>
          <w:color w:val="auto"/>
          <w:sz w:val="32"/>
          <w:szCs w:val="32"/>
        </w:rPr>
        <w:t>预算支出情况</w:t>
      </w:r>
      <w:r>
        <w:rPr>
          <w:rFonts w:hint="eastAsia" w:ascii="仿宋_GB2312" w:eastAsia="仿宋_GB2312"/>
          <w:color w:val="auto"/>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atLeast"/>
        <w:ind w:firstLine="600"/>
        <w:textAlignment w:val="auto"/>
        <w:rPr>
          <w:rFonts w:hint="eastAsia" w:ascii="仿宋_GB2312" w:eastAsia="仿宋_GB2312"/>
          <w:color w:val="auto"/>
          <w:sz w:val="30"/>
          <w:szCs w:val="30"/>
        </w:rPr>
      </w:pPr>
      <w:r>
        <w:rPr>
          <w:rFonts w:hint="eastAsia" w:ascii="仿宋_GB2312" w:eastAsia="仿宋_GB2312"/>
          <w:color w:val="auto"/>
          <w:sz w:val="30"/>
          <w:szCs w:val="30"/>
        </w:rPr>
        <w:t>（一）</w:t>
      </w:r>
      <w:r>
        <w:rPr>
          <w:rFonts w:hint="eastAsia" w:ascii="仿宋_GB2312" w:hAnsi="仿宋_GB2312" w:eastAsia="仿宋_GB2312" w:cs="仿宋_GB2312"/>
          <w:b/>
          <w:bCs/>
          <w:color w:val="auto"/>
          <w:sz w:val="32"/>
          <w:szCs w:val="32"/>
        </w:rPr>
        <w:t>基本支出情况</w:t>
      </w:r>
    </w:p>
    <w:p>
      <w:pPr>
        <w:keepNext w:val="0"/>
        <w:keepLines w:val="0"/>
        <w:pageBreakBefore w:val="0"/>
        <w:kinsoku/>
        <w:wordWrap/>
        <w:overflowPunct/>
        <w:topLinePunct w:val="0"/>
        <w:autoSpaceDE/>
        <w:autoSpaceDN/>
        <w:bidi w:val="0"/>
        <w:adjustRightInd w:val="0"/>
        <w:snapToGrid w:val="0"/>
        <w:spacing w:line="560" w:lineRule="atLeast"/>
        <w:ind w:firstLine="600" w:firstLineChars="200"/>
        <w:textAlignment w:val="auto"/>
        <w:rPr>
          <w:rFonts w:hint="eastAsia" w:ascii="仿宋_GB2312" w:eastAsia="仿宋_GB2312"/>
          <w:color w:val="auto"/>
          <w:sz w:val="30"/>
          <w:szCs w:val="30"/>
        </w:rPr>
      </w:pPr>
      <w:r>
        <w:rPr>
          <w:rFonts w:hint="eastAsia" w:ascii="仿宋_GB2312" w:eastAsia="仿宋_GB2312"/>
          <w:color w:val="auto"/>
          <w:sz w:val="30"/>
          <w:szCs w:val="30"/>
        </w:rPr>
        <w:t>单位年初基本支出预算</w:t>
      </w:r>
      <w:r>
        <w:rPr>
          <w:rFonts w:hint="eastAsia" w:ascii="仿宋_GB2312" w:eastAsia="仿宋_GB2312"/>
          <w:strike w:val="0"/>
          <w:dstrike w:val="0"/>
          <w:color w:val="auto"/>
          <w:sz w:val="30"/>
          <w:szCs w:val="30"/>
          <w:u w:val="none"/>
          <w:lang w:val="en-US" w:eastAsia="zh-CN"/>
        </w:rPr>
        <w:t>951.2</w:t>
      </w:r>
      <w:r>
        <w:rPr>
          <w:rFonts w:hint="eastAsia" w:ascii="仿宋_GB2312" w:eastAsia="仿宋_GB2312"/>
          <w:color w:val="auto"/>
          <w:sz w:val="30"/>
          <w:szCs w:val="30"/>
        </w:rPr>
        <w:t>万元，主要用于工资福利支出、商品服务支出、对个人和家庭的补助支出等，实际使用</w:t>
      </w:r>
      <w:r>
        <w:rPr>
          <w:rFonts w:hint="eastAsia" w:ascii="仿宋_GB2312" w:eastAsia="仿宋_GB2312"/>
          <w:strike w:val="0"/>
          <w:dstrike w:val="0"/>
          <w:color w:val="auto"/>
          <w:sz w:val="30"/>
          <w:szCs w:val="30"/>
          <w:u w:val="none"/>
          <w:lang w:val="en-US" w:eastAsia="zh-CN"/>
        </w:rPr>
        <w:t>829.5</w:t>
      </w:r>
      <w:r>
        <w:rPr>
          <w:rFonts w:hint="eastAsia" w:ascii="仿宋_GB2312" w:eastAsia="仿宋_GB2312"/>
          <w:color w:val="auto"/>
          <w:sz w:val="30"/>
          <w:szCs w:val="30"/>
        </w:rPr>
        <w:t>万元。20</w:t>
      </w:r>
      <w:r>
        <w:rPr>
          <w:rFonts w:hint="eastAsia" w:ascii="仿宋_GB2312" w:eastAsia="仿宋_GB2312"/>
          <w:color w:val="auto"/>
          <w:sz w:val="30"/>
          <w:szCs w:val="30"/>
          <w:lang w:val="en-US" w:eastAsia="zh-CN"/>
        </w:rPr>
        <w:t>22</w:t>
      </w:r>
      <w:r>
        <w:rPr>
          <w:rFonts w:hint="eastAsia" w:ascii="仿宋_GB2312" w:eastAsia="仿宋_GB2312"/>
          <w:color w:val="auto"/>
          <w:sz w:val="30"/>
          <w:szCs w:val="30"/>
        </w:rPr>
        <w:t>年度公务接待费</w:t>
      </w:r>
      <w:r>
        <w:rPr>
          <w:rFonts w:hint="eastAsia" w:ascii="仿宋_GB2312" w:eastAsia="仿宋_GB2312"/>
          <w:strike w:val="0"/>
          <w:dstrike w:val="0"/>
          <w:color w:val="auto"/>
          <w:sz w:val="30"/>
          <w:szCs w:val="30"/>
          <w:u w:val="none"/>
        </w:rPr>
        <w:t>0</w:t>
      </w:r>
      <w:r>
        <w:rPr>
          <w:rFonts w:hint="eastAsia" w:ascii="仿宋_GB2312" w:eastAsia="仿宋_GB2312"/>
          <w:strike w:val="0"/>
          <w:dstrike w:val="0"/>
          <w:color w:val="auto"/>
          <w:sz w:val="30"/>
          <w:szCs w:val="30"/>
          <w:u w:val="none"/>
          <w:lang w:val="en-US" w:eastAsia="zh-CN"/>
        </w:rPr>
        <w:t>.06</w:t>
      </w:r>
      <w:r>
        <w:rPr>
          <w:rFonts w:hint="eastAsia" w:ascii="仿宋_GB2312" w:eastAsia="仿宋_GB2312"/>
          <w:color w:val="auto"/>
          <w:sz w:val="30"/>
          <w:szCs w:val="30"/>
        </w:rPr>
        <w:t>万元，公务用车运维费</w:t>
      </w:r>
      <w:r>
        <w:rPr>
          <w:rFonts w:hint="eastAsia" w:ascii="仿宋_GB2312" w:eastAsia="仿宋_GB2312"/>
          <w:strike w:val="0"/>
          <w:dstrike w:val="0"/>
          <w:color w:val="auto"/>
          <w:sz w:val="30"/>
          <w:szCs w:val="30"/>
          <w:u w:val="none"/>
          <w:lang w:val="en-US" w:eastAsia="zh-CN"/>
        </w:rPr>
        <w:t>2.94</w:t>
      </w:r>
      <w:r>
        <w:rPr>
          <w:rFonts w:hint="eastAsia" w:ascii="仿宋_GB2312" w:eastAsia="仿宋_GB2312"/>
          <w:color w:val="auto"/>
          <w:sz w:val="30"/>
          <w:szCs w:val="30"/>
        </w:rPr>
        <w:t>万元，因公出国费0万元。</w:t>
      </w:r>
    </w:p>
    <w:p>
      <w:pPr>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综管办的基本支出主要用于单位在职人员</w:t>
      </w:r>
      <w:r>
        <w:rPr>
          <w:rFonts w:hint="eastAsia" w:ascii="仿宋" w:hAnsi="仿宋" w:eastAsia="仿宋" w:cs="仿宋"/>
          <w:color w:val="auto"/>
          <w:kern w:val="0"/>
          <w:sz w:val="28"/>
          <w:szCs w:val="28"/>
          <w:lang w:eastAsia="zh-CN"/>
        </w:rPr>
        <w:t>和</w:t>
      </w:r>
      <w:r>
        <w:rPr>
          <w:rFonts w:hint="eastAsia" w:ascii="仿宋" w:hAnsi="仿宋" w:eastAsia="仿宋" w:cs="仿宋"/>
          <w:color w:val="auto"/>
          <w:kern w:val="0"/>
          <w:sz w:val="28"/>
          <w:szCs w:val="28"/>
        </w:rPr>
        <w:t>雇员等人员工资福利支出和行政运行支出。各项开支都能依法依程序审批和支付。在行政运行支出中，综管办对“三公”经费控制严格，因公出国（境）费用和公务接待费均未开支，公务用车运行及维护发生费用</w:t>
      </w:r>
      <w:r>
        <w:rPr>
          <w:rFonts w:hint="eastAsia" w:ascii="仿宋" w:hAnsi="仿宋" w:eastAsia="仿宋" w:cs="仿宋"/>
          <w:strike w:val="0"/>
          <w:dstrike w:val="0"/>
          <w:color w:val="auto"/>
          <w:kern w:val="0"/>
          <w:sz w:val="28"/>
          <w:szCs w:val="28"/>
          <w:u w:val="none"/>
          <w:lang w:val="en-US" w:eastAsia="zh-CN"/>
        </w:rPr>
        <w:t>2.94</w:t>
      </w:r>
      <w:r>
        <w:rPr>
          <w:rFonts w:hint="eastAsia" w:ascii="仿宋" w:hAnsi="仿宋" w:eastAsia="仿宋" w:cs="仿宋"/>
          <w:color w:val="auto"/>
          <w:kern w:val="0"/>
          <w:sz w:val="28"/>
          <w:szCs w:val="28"/>
          <w:u w:val="none"/>
        </w:rPr>
        <w:t>万元</w:t>
      </w:r>
      <w:r>
        <w:rPr>
          <w:rFonts w:hint="eastAsia" w:ascii="仿宋" w:hAnsi="仿宋" w:eastAsia="仿宋" w:cs="仿宋"/>
          <w:color w:val="auto"/>
          <w:kern w:val="0"/>
          <w:sz w:val="28"/>
          <w:szCs w:val="28"/>
        </w:rPr>
        <w:t>。</w:t>
      </w:r>
    </w:p>
    <w:p>
      <w:pPr>
        <w:keepNext w:val="0"/>
        <w:keepLines w:val="0"/>
        <w:pageBreakBefore w:val="0"/>
        <w:kinsoku/>
        <w:wordWrap/>
        <w:overflowPunct/>
        <w:topLinePunct w:val="0"/>
        <w:autoSpaceDE/>
        <w:autoSpaceDN/>
        <w:bidi w:val="0"/>
        <w:adjustRightInd w:val="0"/>
        <w:snapToGrid w:val="0"/>
        <w:spacing w:line="560" w:lineRule="atLeast"/>
        <w:ind w:firstLine="600"/>
        <w:textAlignment w:val="auto"/>
        <w:rPr>
          <w:rFonts w:hint="eastAsia" w:ascii="仿宋_GB2312" w:eastAsia="仿宋_GB2312"/>
          <w:color w:val="auto"/>
          <w:sz w:val="30"/>
          <w:szCs w:val="30"/>
        </w:rPr>
      </w:pPr>
    </w:p>
    <w:p>
      <w:pPr>
        <w:keepNext w:val="0"/>
        <w:keepLines w:val="0"/>
        <w:pageBreakBefore w:val="0"/>
        <w:kinsoku/>
        <w:wordWrap/>
        <w:overflowPunct/>
        <w:topLinePunct w:val="0"/>
        <w:autoSpaceDE/>
        <w:autoSpaceDN/>
        <w:bidi w:val="0"/>
        <w:adjustRightInd w:val="0"/>
        <w:snapToGrid w:val="0"/>
        <w:spacing w:line="560" w:lineRule="atLeast"/>
        <w:ind w:firstLine="600"/>
        <w:textAlignment w:val="auto"/>
        <w:rPr>
          <w:rFonts w:hint="eastAsia" w:ascii="仿宋_GB2312" w:eastAsia="仿宋_GB2312"/>
          <w:color w:val="auto"/>
          <w:sz w:val="30"/>
          <w:szCs w:val="30"/>
        </w:rPr>
      </w:pPr>
      <w:r>
        <w:rPr>
          <w:rFonts w:hint="eastAsia" w:ascii="仿宋_GB2312" w:eastAsia="仿宋_GB2312"/>
          <w:color w:val="auto"/>
          <w:sz w:val="30"/>
          <w:szCs w:val="30"/>
        </w:rPr>
        <w:t>（二）</w:t>
      </w:r>
      <w:r>
        <w:rPr>
          <w:rFonts w:hint="eastAsia" w:ascii="仿宋_GB2312" w:hAnsi="仿宋_GB2312" w:eastAsia="仿宋_GB2312" w:cs="仿宋_GB2312"/>
          <w:b/>
          <w:bCs/>
          <w:color w:val="auto"/>
          <w:sz w:val="32"/>
          <w:szCs w:val="32"/>
        </w:rPr>
        <w:t>专项支出</w:t>
      </w:r>
      <w:r>
        <w:rPr>
          <w:rFonts w:hint="eastAsia" w:ascii="仿宋_GB2312" w:hAnsi="仿宋_GB2312" w:eastAsia="仿宋_GB2312" w:cs="仿宋_GB2312"/>
          <w:b/>
          <w:bCs/>
          <w:color w:val="auto"/>
          <w:sz w:val="32"/>
          <w:szCs w:val="32"/>
          <w:lang w:eastAsia="zh-CN"/>
        </w:rPr>
        <w:t>情况</w:t>
      </w:r>
      <w:r>
        <w:rPr>
          <w:rFonts w:hint="eastAsia" w:ascii="仿宋_GB2312" w:eastAsia="仿宋_GB2312"/>
          <w:color w:val="auto"/>
          <w:sz w:val="30"/>
          <w:szCs w:val="30"/>
        </w:rPr>
        <w:t xml:space="preserve"> </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eastAsia" w:ascii="仿宋_GB2312" w:eastAsia="仿宋_GB2312"/>
          <w:strike w:val="0"/>
          <w:dstrike w:val="0"/>
          <w:color w:val="auto"/>
          <w:sz w:val="30"/>
          <w:szCs w:val="30"/>
        </w:rPr>
      </w:pPr>
      <w:r>
        <w:rPr>
          <w:rFonts w:hint="eastAsia" w:ascii="仿宋_GB2312" w:eastAsia="仿宋_GB2312"/>
          <w:color w:val="auto"/>
          <w:sz w:val="30"/>
          <w:szCs w:val="30"/>
        </w:rPr>
        <w:t>单位有</w:t>
      </w:r>
      <w:r>
        <w:rPr>
          <w:rFonts w:hint="eastAsia" w:ascii="仿宋_GB2312" w:eastAsia="仿宋_GB2312"/>
          <w:color w:val="auto"/>
          <w:sz w:val="30"/>
          <w:szCs w:val="30"/>
          <w:lang w:val="en-US" w:eastAsia="zh-CN"/>
        </w:rPr>
        <w:t>7</w:t>
      </w:r>
      <w:r>
        <w:rPr>
          <w:rFonts w:hint="eastAsia" w:ascii="仿宋_GB2312" w:eastAsia="仿宋_GB2312"/>
          <w:color w:val="auto"/>
          <w:sz w:val="30"/>
          <w:szCs w:val="30"/>
        </w:rPr>
        <w:t>个专项，分别为:综合管理工作经费</w:t>
      </w:r>
      <w:r>
        <w:rPr>
          <w:rFonts w:hint="eastAsia" w:ascii="仿宋_GB2312" w:eastAsia="仿宋_GB2312"/>
          <w:color w:val="auto"/>
          <w:sz w:val="30"/>
          <w:szCs w:val="30"/>
          <w:lang w:val="en-US" w:eastAsia="zh-CN"/>
        </w:rPr>
        <w:t>120</w:t>
      </w:r>
      <w:r>
        <w:rPr>
          <w:rFonts w:hint="eastAsia" w:ascii="仿宋_GB2312" w:eastAsia="仿宋_GB2312"/>
          <w:color w:val="auto"/>
          <w:sz w:val="30"/>
          <w:szCs w:val="30"/>
        </w:rPr>
        <w:t>万元，办公物业及后勤保障</w:t>
      </w:r>
      <w:r>
        <w:rPr>
          <w:rFonts w:hint="eastAsia" w:ascii="仿宋_GB2312" w:eastAsia="仿宋_GB2312"/>
          <w:color w:val="auto"/>
          <w:sz w:val="30"/>
          <w:szCs w:val="30"/>
          <w:lang w:val="en-US" w:eastAsia="zh-CN"/>
        </w:rPr>
        <w:t>200</w:t>
      </w:r>
      <w:r>
        <w:rPr>
          <w:rFonts w:hint="eastAsia" w:ascii="仿宋_GB2312" w:eastAsia="仿宋_GB2312"/>
          <w:color w:val="auto"/>
          <w:sz w:val="30"/>
          <w:szCs w:val="30"/>
        </w:rPr>
        <w:t>万元，服装装备购置及维护</w:t>
      </w:r>
      <w:r>
        <w:rPr>
          <w:rFonts w:hint="eastAsia" w:ascii="仿宋_GB2312" w:eastAsia="仿宋_GB2312"/>
          <w:color w:val="auto"/>
          <w:sz w:val="30"/>
          <w:szCs w:val="30"/>
          <w:lang w:val="en-US" w:eastAsia="zh-CN"/>
        </w:rPr>
        <w:t>29</w:t>
      </w:r>
      <w:r>
        <w:rPr>
          <w:rFonts w:hint="eastAsia" w:ascii="仿宋_GB2312" w:eastAsia="仿宋_GB2312"/>
          <w:color w:val="auto"/>
          <w:sz w:val="30"/>
          <w:szCs w:val="30"/>
        </w:rPr>
        <w:t>万元，执法与环境整治</w:t>
      </w:r>
      <w:r>
        <w:rPr>
          <w:rFonts w:hint="eastAsia" w:ascii="仿宋_GB2312" w:eastAsia="仿宋_GB2312"/>
          <w:color w:val="auto"/>
          <w:sz w:val="30"/>
          <w:szCs w:val="30"/>
          <w:lang w:val="en-US" w:eastAsia="zh-CN"/>
        </w:rPr>
        <w:t>103</w:t>
      </w:r>
      <w:r>
        <w:rPr>
          <w:rFonts w:hint="eastAsia" w:ascii="仿宋_GB2312" w:eastAsia="仿宋_GB2312"/>
          <w:color w:val="auto"/>
          <w:sz w:val="30"/>
          <w:szCs w:val="30"/>
        </w:rPr>
        <w:t>万元，协警工资福利及驻站绩效</w:t>
      </w:r>
      <w:r>
        <w:rPr>
          <w:rFonts w:hint="eastAsia" w:ascii="仿宋_GB2312" w:eastAsia="仿宋_GB2312"/>
          <w:color w:val="auto"/>
          <w:sz w:val="30"/>
          <w:szCs w:val="30"/>
          <w:lang w:val="en-US" w:eastAsia="zh-CN"/>
        </w:rPr>
        <w:t>1036</w:t>
      </w:r>
      <w:r>
        <w:rPr>
          <w:rFonts w:hint="eastAsia" w:ascii="仿宋_GB2312" w:eastAsia="仿宋_GB2312"/>
          <w:color w:val="auto"/>
          <w:sz w:val="30"/>
          <w:szCs w:val="30"/>
        </w:rPr>
        <w:t>万元，</w:t>
      </w:r>
      <w:r>
        <w:rPr>
          <w:rFonts w:hint="eastAsia" w:ascii="仿宋_GB2312" w:eastAsia="仿宋_GB2312"/>
          <w:color w:val="auto"/>
          <w:sz w:val="30"/>
          <w:szCs w:val="30"/>
          <w:lang w:eastAsia="zh-CN"/>
        </w:rPr>
        <w:t>疫情防控支出</w:t>
      </w:r>
      <w:r>
        <w:rPr>
          <w:rFonts w:hint="eastAsia" w:ascii="仿宋_GB2312" w:eastAsia="仿宋_GB2312"/>
          <w:color w:val="auto"/>
          <w:sz w:val="30"/>
          <w:szCs w:val="30"/>
          <w:lang w:val="en-US" w:eastAsia="zh-CN"/>
        </w:rPr>
        <w:t>300万元，应急停车场管理及网格化平台经费185万元，</w:t>
      </w:r>
      <w:r>
        <w:rPr>
          <w:rFonts w:hint="eastAsia" w:ascii="仿宋_GB2312" w:eastAsia="仿宋_GB2312"/>
          <w:color w:val="auto"/>
          <w:sz w:val="30"/>
          <w:szCs w:val="30"/>
        </w:rPr>
        <w:t>共计1</w:t>
      </w:r>
      <w:r>
        <w:rPr>
          <w:rFonts w:hint="eastAsia" w:ascii="仿宋_GB2312" w:eastAsia="仿宋_GB2312"/>
          <w:color w:val="auto"/>
          <w:sz w:val="30"/>
          <w:szCs w:val="30"/>
          <w:lang w:val="en-US" w:eastAsia="zh-CN"/>
        </w:rPr>
        <w:t>973</w:t>
      </w:r>
      <w:r>
        <w:rPr>
          <w:rFonts w:hint="eastAsia" w:ascii="仿宋_GB2312" w:eastAsia="仿宋_GB2312"/>
          <w:color w:val="auto"/>
          <w:sz w:val="30"/>
          <w:szCs w:val="30"/>
        </w:rPr>
        <w:t>万元</w:t>
      </w:r>
      <w:r>
        <w:rPr>
          <w:rFonts w:hint="eastAsia" w:ascii="仿宋_GB2312" w:eastAsia="仿宋_GB2312"/>
          <w:strike w:val="0"/>
          <w:dstrike w:val="0"/>
          <w:color w:val="auto"/>
          <w:sz w:val="30"/>
          <w:szCs w:val="30"/>
        </w:rPr>
        <w:t>。</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eastAsia="仿宋_GB2312"/>
          <w:strike w:val="0"/>
          <w:dstrike w:val="0"/>
          <w:color w:val="auto"/>
          <w:sz w:val="30"/>
          <w:szCs w:val="30"/>
          <w:lang w:val="en-US" w:eastAsia="zh-CN"/>
        </w:rPr>
      </w:pPr>
      <w:r>
        <w:rPr>
          <w:rFonts w:hint="eastAsia" w:ascii="仿宋_GB2312" w:eastAsia="仿宋_GB2312"/>
          <w:strike w:val="0"/>
          <w:dstrike w:val="0"/>
          <w:color w:val="auto"/>
          <w:sz w:val="30"/>
          <w:szCs w:val="30"/>
          <w:lang w:val="en-US" w:eastAsia="zh-CN"/>
        </w:rPr>
        <w:t>各项执行情况如下：</w:t>
      </w:r>
      <w:r>
        <w:rPr>
          <w:rFonts w:hint="eastAsia" w:ascii="仿宋_GB2312" w:eastAsia="仿宋_GB2312"/>
          <w:color w:val="auto"/>
          <w:sz w:val="30"/>
          <w:szCs w:val="30"/>
          <w:u w:val="none"/>
        </w:rPr>
        <w:t>综合管理工作经费</w:t>
      </w:r>
      <w:r>
        <w:rPr>
          <w:rFonts w:hint="eastAsia" w:ascii="仿宋_GB2312" w:eastAsia="仿宋_GB2312"/>
          <w:color w:val="auto"/>
          <w:sz w:val="30"/>
          <w:szCs w:val="30"/>
          <w:u w:val="none"/>
          <w:lang w:val="en-US" w:eastAsia="zh-CN"/>
        </w:rPr>
        <w:t>95.02</w:t>
      </w:r>
      <w:r>
        <w:rPr>
          <w:rFonts w:hint="eastAsia" w:ascii="仿宋_GB2312" w:eastAsia="仿宋_GB2312"/>
          <w:color w:val="auto"/>
          <w:sz w:val="30"/>
          <w:szCs w:val="30"/>
          <w:u w:val="none"/>
        </w:rPr>
        <w:t>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79.19%；</w:t>
      </w:r>
      <w:r>
        <w:rPr>
          <w:rFonts w:hint="eastAsia" w:ascii="仿宋_GB2312" w:eastAsia="仿宋_GB2312"/>
          <w:color w:val="auto"/>
          <w:sz w:val="30"/>
          <w:szCs w:val="30"/>
          <w:u w:val="none"/>
        </w:rPr>
        <w:t>办公物业及后勤保障</w:t>
      </w:r>
      <w:r>
        <w:rPr>
          <w:rFonts w:hint="eastAsia" w:ascii="仿宋_GB2312" w:eastAsia="仿宋_GB2312"/>
          <w:color w:val="auto"/>
          <w:sz w:val="30"/>
          <w:szCs w:val="30"/>
          <w:u w:val="none"/>
          <w:lang w:val="en-US" w:eastAsia="zh-CN"/>
        </w:rPr>
        <w:t>199.94</w:t>
      </w:r>
      <w:r>
        <w:rPr>
          <w:rFonts w:hint="eastAsia" w:ascii="仿宋_GB2312" w:eastAsia="仿宋_GB2312"/>
          <w:color w:val="auto"/>
          <w:sz w:val="30"/>
          <w:szCs w:val="30"/>
          <w:u w:val="none"/>
        </w:rPr>
        <w:t>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99.97%；</w:t>
      </w:r>
      <w:r>
        <w:rPr>
          <w:rFonts w:hint="eastAsia" w:ascii="仿宋_GB2312" w:eastAsia="仿宋_GB2312"/>
          <w:color w:val="auto"/>
          <w:sz w:val="30"/>
          <w:szCs w:val="30"/>
          <w:u w:val="none"/>
        </w:rPr>
        <w:t>服装装备购置及维护</w:t>
      </w:r>
      <w:r>
        <w:rPr>
          <w:rFonts w:hint="eastAsia" w:ascii="仿宋_GB2312" w:eastAsia="仿宋_GB2312"/>
          <w:color w:val="auto"/>
          <w:sz w:val="30"/>
          <w:szCs w:val="30"/>
          <w:u w:val="none"/>
          <w:lang w:val="en-US" w:eastAsia="zh-CN"/>
        </w:rPr>
        <w:t>6.05</w:t>
      </w:r>
      <w:r>
        <w:rPr>
          <w:rFonts w:hint="eastAsia" w:ascii="仿宋_GB2312" w:eastAsia="仿宋_GB2312"/>
          <w:color w:val="auto"/>
          <w:sz w:val="30"/>
          <w:szCs w:val="30"/>
          <w:u w:val="none"/>
        </w:rPr>
        <w:t>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20.85%；</w:t>
      </w:r>
      <w:r>
        <w:rPr>
          <w:rFonts w:hint="eastAsia" w:ascii="仿宋_GB2312" w:eastAsia="仿宋_GB2312"/>
          <w:color w:val="auto"/>
          <w:sz w:val="30"/>
          <w:szCs w:val="30"/>
          <w:u w:val="none"/>
        </w:rPr>
        <w:t>执法与环境整治</w:t>
      </w:r>
      <w:r>
        <w:rPr>
          <w:rFonts w:hint="eastAsia" w:ascii="仿宋_GB2312" w:eastAsia="仿宋_GB2312"/>
          <w:color w:val="auto"/>
          <w:sz w:val="30"/>
          <w:szCs w:val="30"/>
          <w:u w:val="none"/>
          <w:lang w:val="en-US" w:eastAsia="zh-CN"/>
        </w:rPr>
        <w:t>84.13</w:t>
      </w:r>
      <w:r>
        <w:rPr>
          <w:rFonts w:hint="eastAsia" w:ascii="仿宋_GB2312" w:eastAsia="仿宋_GB2312"/>
          <w:color w:val="auto"/>
          <w:sz w:val="30"/>
          <w:szCs w:val="30"/>
          <w:u w:val="none"/>
        </w:rPr>
        <w:t>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81.68%；</w:t>
      </w:r>
      <w:r>
        <w:rPr>
          <w:rFonts w:hint="eastAsia" w:ascii="仿宋_GB2312" w:eastAsia="仿宋_GB2312"/>
          <w:color w:val="auto"/>
          <w:sz w:val="30"/>
          <w:szCs w:val="30"/>
          <w:u w:val="none"/>
        </w:rPr>
        <w:t>协警工资福利及驻站绩效</w:t>
      </w:r>
      <w:r>
        <w:rPr>
          <w:rFonts w:hint="eastAsia" w:ascii="仿宋_GB2312" w:eastAsia="仿宋_GB2312"/>
          <w:color w:val="auto"/>
          <w:sz w:val="30"/>
          <w:szCs w:val="30"/>
          <w:u w:val="none"/>
          <w:lang w:val="en-US" w:eastAsia="zh-CN"/>
        </w:rPr>
        <w:t>890.45</w:t>
      </w:r>
      <w:r>
        <w:rPr>
          <w:rFonts w:hint="eastAsia" w:ascii="仿宋_GB2312" w:eastAsia="仿宋_GB2312"/>
          <w:color w:val="auto"/>
          <w:sz w:val="30"/>
          <w:szCs w:val="30"/>
          <w:u w:val="none"/>
        </w:rPr>
        <w:t>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85.95%；</w:t>
      </w:r>
      <w:r>
        <w:rPr>
          <w:rFonts w:hint="eastAsia" w:ascii="仿宋_GB2312" w:eastAsia="仿宋_GB2312"/>
          <w:color w:val="auto"/>
          <w:sz w:val="30"/>
          <w:szCs w:val="30"/>
          <w:lang w:eastAsia="zh-CN"/>
        </w:rPr>
        <w:t>疫情防控支出</w:t>
      </w:r>
      <w:r>
        <w:rPr>
          <w:rFonts w:hint="eastAsia" w:ascii="仿宋_GB2312" w:eastAsia="仿宋_GB2312"/>
          <w:color w:val="auto"/>
          <w:sz w:val="30"/>
          <w:szCs w:val="30"/>
          <w:lang w:val="en-US" w:eastAsia="zh-CN"/>
        </w:rPr>
        <w:t>299.99万元，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100%；</w:t>
      </w:r>
      <w:r>
        <w:rPr>
          <w:rFonts w:hint="eastAsia" w:ascii="仿宋_GB2312" w:eastAsia="仿宋_GB2312"/>
          <w:color w:val="auto"/>
          <w:sz w:val="30"/>
          <w:szCs w:val="30"/>
          <w:lang w:val="en-US" w:eastAsia="zh-CN"/>
        </w:rPr>
        <w:t>应急停车场管理及网格化平台经费60.52万元，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32.72%，所有预算项目支出总额为1636.11万元，</w:t>
      </w:r>
      <w:r>
        <w:rPr>
          <w:rFonts w:hint="eastAsia" w:ascii="仿宋_GB2312" w:eastAsia="仿宋_GB2312"/>
          <w:color w:val="auto"/>
          <w:sz w:val="30"/>
          <w:szCs w:val="30"/>
          <w:u w:val="none"/>
          <w:lang w:eastAsia="zh-CN"/>
        </w:rPr>
        <w:t>执行率为</w:t>
      </w:r>
      <w:r>
        <w:rPr>
          <w:rFonts w:hint="eastAsia" w:ascii="仿宋_GB2312" w:eastAsia="仿宋_GB2312"/>
          <w:color w:val="auto"/>
          <w:sz w:val="30"/>
          <w:szCs w:val="30"/>
          <w:u w:val="none"/>
          <w:lang w:val="en-US" w:eastAsia="zh-CN"/>
        </w:rPr>
        <w:t>82.93%.</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综管办的项目开支主要用于</w:t>
      </w:r>
      <w:r>
        <w:rPr>
          <w:rFonts w:hint="eastAsia" w:ascii="仿宋" w:hAnsi="仿宋" w:eastAsia="仿宋" w:cs="仿宋"/>
          <w:color w:val="auto"/>
          <w:kern w:val="0"/>
          <w:sz w:val="28"/>
          <w:szCs w:val="28"/>
          <w:lang w:eastAsia="zh-CN"/>
        </w:rPr>
        <w:t>协警人员工资绩效</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驻站单位相关水电及物资保障</w:t>
      </w:r>
      <w:r>
        <w:rPr>
          <w:rFonts w:hint="eastAsia" w:ascii="仿宋" w:hAnsi="仿宋" w:eastAsia="仿宋" w:cs="仿宋"/>
          <w:color w:val="auto"/>
          <w:kern w:val="0"/>
          <w:sz w:val="28"/>
          <w:szCs w:val="28"/>
        </w:rPr>
        <w:t>、食堂专项经费、服装装备经费、岗亭和落客平台改造与管理经费、执法部门整治行动经费、节假日特护期维护经费、驻站执法单位考核经费等。以上经费支出均按照财经要求，严格遵守审批程序实行国库集中支付。</w:t>
      </w:r>
    </w:p>
    <w:p>
      <w:pPr>
        <w:keepNext w:val="0"/>
        <w:keepLines w:val="0"/>
        <w:pageBreakBefore w:val="0"/>
        <w:kinsoku/>
        <w:wordWrap/>
        <w:overflowPunct/>
        <w:topLinePunct w:val="0"/>
        <w:autoSpaceDE/>
        <w:autoSpaceDN/>
        <w:bidi w:val="0"/>
        <w:adjustRightInd w:val="0"/>
        <w:snapToGrid w:val="0"/>
        <w:spacing w:line="560" w:lineRule="atLeast"/>
        <w:ind w:firstLine="600"/>
        <w:textAlignment w:val="auto"/>
        <w:rPr>
          <w:rFonts w:hint="eastAsia" w:ascii="仿宋_GB2312" w:eastAsia="仿宋_GB2312"/>
          <w:color w:val="auto"/>
          <w:sz w:val="30"/>
          <w:szCs w:val="30"/>
        </w:rPr>
      </w:pP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atLeast"/>
        <w:jc w:val="both"/>
        <w:textAlignment w:val="auto"/>
        <w:rPr>
          <w:rFonts w:hint="eastAsia"/>
          <w:b/>
          <w:color w:val="auto"/>
          <w:sz w:val="28"/>
          <w:szCs w:val="28"/>
        </w:rPr>
      </w:pPr>
      <w:r>
        <w:rPr>
          <w:rFonts w:hint="eastAsia"/>
          <w:b/>
          <w:color w:val="auto"/>
          <w:sz w:val="28"/>
          <w:szCs w:val="28"/>
        </w:rPr>
        <w:t xml:space="preserve">    三、</w:t>
      </w:r>
      <w:r>
        <w:rPr>
          <w:rFonts w:hint="eastAsia" w:ascii="仿宋_GB2312" w:hAnsi="仿宋_GB2312" w:eastAsia="仿宋_GB2312" w:cs="仿宋_GB2312"/>
          <w:b/>
          <w:bCs/>
          <w:color w:val="auto"/>
          <w:sz w:val="32"/>
          <w:szCs w:val="32"/>
        </w:rPr>
        <w:t>部门整体支出绩效情况</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综管办对资金采取归口集中管理。规范了财务行为, 严格履行了报帐审批程序，实行国库集中支付，达到限额的标的一律进入政府采购程序，并严格执行相关采购制度和规定。对驻站单位考核及保障经费综管办严格按照支付规定，遵守审批程序，实行国库集中支付。整体支出情况均按照厉行节约的原则予以实施，经济、有效的使用资金。强化举措抓重点，集中精力攻难点，精心谋划造亮点，站区面貌有了显著改善，管理服务有了明显提升，较好的完成了全年各项工作任务，较好的保障了站区基本运行。</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hAnsi="Calibri" w:eastAsia="仿宋_GB2312" w:cs="Times New Roman"/>
          <w:color w:val="auto"/>
          <w:sz w:val="30"/>
          <w:szCs w:val="30"/>
          <w:lang w:val="en-US" w:eastAsia="zh-CN"/>
        </w:rPr>
      </w:pPr>
      <w:r>
        <w:rPr>
          <w:rFonts w:hint="default" w:ascii="仿宋_GB2312" w:hAnsi="Calibri" w:eastAsia="仿宋_GB2312" w:cs="Times New Roman"/>
          <w:color w:val="auto"/>
          <w:sz w:val="30"/>
          <w:szCs w:val="30"/>
          <w:lang w:val="en-US" w:eastAsia="zh-CN"/>
        </w:rPr>
        <w:t>2022年，</w:t>
      </w:r>
      <w:r>
        <w:rPr>
          <w:rFonts w:hint="eastAsia" w:ascii="仿宋_GB2312" w:hAnsi="Calibri" w:eastAsia="仿宋_GB2312" w:cs="Times New Roman"/>
          <w:color w:val="auto"/>
          <w:sz w:val="30"/>
          <w:szCs w:val="30"/>
          <w:lang w:val="en-US" w:eastAsia="zh-CN"/>
        </w:rPr>
        <w:t>长沙火车南站地区综管办</w:t>
      </w:r>
      <w:r>
        <w:rPr>
          <w:rFonts w:hint="default" w:ascii="仿宋_GB2312" w:hAnsi="Calibri" w:eastAsia="仿宋_GB2312" w:cs="Times New Roman"/>
          <w:color w:val="auto"/>
          <w:sz w:val="30"/>
          <w:szCs w:val="30"/>
          <w:lang w:val="en-US" w:eastAsia="zh-CN"/>
        </w:rPr>
        <w:t>紧紧围绕“扮靓省会窗口形象 建设人民满意站区”工作总目标，齐心协力、主动作为、攻坚克难，</w:t>
      </w:r>
      <w:r>
        <w:rPr>
          <w:rFonts w:hint="eastAsia" w:ascii="仿宋_GB2312" w:hAnsi="Calibri" w:eastAsia="仿宋_GB2312" w:cs="Times New Roman"/>
          <w:color w:val="auto"/>
          <w:sz w:val="30"/>
          <w:szCs w:val="30"/>
          <w:lang w:val="en-US" w:eastAsia="zh-CN"/>
        </w:rPr>
        <w:t>持续推动站区综合管理品质提升。先后荣获</w:t>
      </w:r>
      <w:r>
        <w:rPr>
          <w:rFonts w:hint="default" w:ascii="仿宋_GB2312" w:hAnsi="Calibri" w:eastAsia="仿宋_GB2312" w:cs="Times New Roman"/>
          <w:color w:val="auto"/>
          <w:sz w:val="30"/>
          <w:szCs w:val="30"/>
          <w:lang w:val="en-US" w:eastAsia="zh-CN"/>
        </w:rPr>
        <w:t>一星级“全国青年文明号”、湖南省巾帼文明岗等荣誉。</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eastAsia"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一是筑牢疫情关键防线。严格落细落实疫情防控各项部署，严格按照“五个100%”的要求，织密疫情防护网，对外省来长人员做到“应检尽检”，</w:t>
      </w:r>
      <w:bookmarkStart w:id="0" w:name="_GoBack"/>
      <w:bookmarkEnd w:id="0"/>
      <w:r>
        <w:rPr>
          <w:rFonts w:hint="eastAsia" w:ascii="仿宋_GB2312" w:hAnsi="Calibri" w:eastAsia="仿宋_GB2312" w:cs="Times New Roman"/>
          <w:color w:val="auto"/>
          <w:sz w:val="30"/>
          <w:szCs w:val="30"/>
          <w:lang w:val="en-US" w:eastAsia="zh-CN"/>
        </w:rPr>
        <w:t>累计为旅客提供免费核酸检测811.44万人次；检测旅客体温20589.19万人次，共筛查出发热病人306人；共接待境外来长18852人，国内高中风险地区77227人，查验旅客健康码12223.93万人次。圆满完成上海专班转运任务，全体党员干部持续坚守26天，成功转运上海来长旅客40030人，成功守住了“外防输入”的关键防线。</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eastAsia"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二是积极应对客流高峰。</w:t>
      </w:r>
      <w:r>
        <w:rPr>
          <w:rFonts w:hint="default" w:ascii="仿宋_GB2312" w:hAnsi="Calibri" w:eastAsia="仿宋_GB2312" w:cs="Times New Roman"/>
          <w:color w:val="auto"/>
          <w:sz w:val="30"/>
          <w:szCs w:val="30"/>
          <w:lang w:val="en-US" w:eastAsia="zh-CN"/>
        </w:rPr>
        <w:t>2022年</w:t>
      </w:r>
      <w:r>
        <w:rPr>
          <w:rFonts w:hint="eastAsia" w:ascii="仿宋_GB2312" w:hAnsi="Calibri" w:eastAsia="仿宋_GB2312" w:cs="Times New Roman"/>
          <w:color w:val="auto"/>
          <w:sz w:val="30"/>
          <w:szCs w:val="30"/>
          <w:lang w:val="en-US" w:eastAsia="zh-CN"/>
        </w:rPr>
        <w:t>，</w:t>
      </w:r>
      <w:r>
        <w:rPr>
          <w:rFonts w:hint="default" w:ascii="仿宋_GB2312" w:hAnsi="Calibri" w:eastAsia="仿宋_GB2312" w:cs="Times New Roman"/>
          <w:color w:val="auto"/>
          <w:sz w:val="30"/>
          <w:szCs w:val="30"/>
          <w:lang w:val="en-US" w:eastAsia="zh-CN"/>
        </w:rPr>
        <w:t>长沙火车南站到发旅客5564.8万人，日均到发旅客15.3万人次左右，单日最高峰到发旅客达32.1万人次。综管办牵头制定《火车南站地区重大节假日夜间旅客接驳方案》，通过南站共享客流信息，根据客流等级和到达时段准确研判，及时协调增开地铁车次及延长运营时间，通过GPS提前调度的士，增开“夜间专线巴士”，定向运送凌晨到站旅客，实现站区快进快出、安全有序。</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 xml:space="preserve">    三是持续推进最严管理。充分运用</w:t>
      </w:r>
      <w:r>
        <w:rPr>
          <w:rFonts w:hint="default" w:ascii="仿宋_GB2312" w:hAnsi="Calibri" w:eastAsia="仿宋_GB2312" w:cs="Times New Roman"/>
          <w:color w:val="auto"/>
          <w:sz w:val="30"/>
          <w:szCs w:val="30"/>
          <w:lang w:val="en-US" w:eastAsia="zh-CN"/>
        </w:rPr>
        <w:t>“联勤联动”</w:t>
      </w:r>
      <w:r>
        <w:rPr>
          <w:rFonts w:hint="eastAsia" w:ascii="仿宋_GB2312" w:hAnsi="Calibri" w:eastAsia="仿宋_GB2312" w:cs="Times New Roman"/>
          <w:color w:val="auto"/>
          <w:sz w:val="30"/>
          <w:szCs w:val="30"/>
          <w:lang w:val="en-US" w:eastAsia="zh-CN"/>
        </w:rPr>
        <w:t>执法管理</w:t>
      </w:r>
      <w:r>
        <w:rPr>
          <w:rFonts w:hint="default" w:ascii="仿宋_GB2312" w:hAnsi="Calibri" w:eastAsia="仿宋_GB2312" w:cs="Times New Roman"/>
          <w:color w:val="auto"/>
          <w:sz w:val="30"/>
          <w:szCs w:val="30"/>
          <w:lang w:val="en-US" w:eastAsia="zh-CN"/>
        </w:rPr>
        <w:t>优势，持续推进治安秩序、交通秩序专项整治行动，对“喊客拉客”“非法营运”“乱停乱靠”“乱吐乱丢”等违法行为从严管理、从重处罚。</w:t>
      </w:r>
      <w:r>
        <w:rPr>
          <w:rFonts w:hint="eastAsia" w:ascii="仿宋_GB2312" w:hAnsi="Calibri" w:eastAsia="仿宋_GB2312" w:cs="Times New Roman"/>
          <w:color w:val="auto"/>
          <w:sz w:val="30"/>
          <w:szCs w:val="30"/>
          <w:lang w:val="en-US" w:eastAsia="zh-CN"/>
        </w:rPr>
        <w:t>2022年</w:t>
      </w:r>
      <w:r>
        <w:rPr>
          <w:rFonts w:hint="default" w:ascii="仿宋_GB2312" w:hAnsi="Calibri" w:eastAsia="仿宋_GB2312" w:cs="Times New Roman"/>
          <w:color w:val="auto"/>
          <w:sz w:val="30"/>
          <w:szCs w:val="30"/>
          <w:lang w:val="en-US" w:eastAsia="zh-CN"/>
        </w:rPr>
        <w:t>，共查扣涉嫌非法营运车辆314台；查处喊客拉客人员2522人，其中治安拘留266人，训诫1201人，行政罚款1055人；抄牌30427起，查扣电动车1355台，查处电动车违法3660起。</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四是全力提升环境品质。督促物业单位加强日常普扫和动态保洁，积极落实“周末大扫除”行动；推进站区排水系统改造工程进度，完成站房内管网改造；</w:t>
      </w:r>
      <w:r>
        <w:rPr>
          <w:rFonts w:hint="default" w:ascii="仿宋_GB2312" w:hAnsi="Calibri" w:eastAsia="仿宋_GB2312" w:cs="Times New Roman"/>
          <w:color w:val="auto"/>
          <w:sz w:val="30"/>
          <w:szCs w:val="30"/>
          <w:lang w:val="en-US" w:eastAsia="zh-CN"/>
        </w:rPr>
        <w:t>对西广场及花侯路、杜花路进行绿化提质改造，周边绿化提质1万平方米，营造了良好的环境氛围；推进站区亮化照明提质改造，完成600余盏照明提质，站区“亮化”品质进一步提升。</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五是全面优化志愿服务。</w:t>
      </w:r>
      <w:r>
        <w:rPr>
          <w:rFonts w:hint="default" w:ascii="仿宋_GB2312" w:hAnsi="Calibri" w:eastAsia="仿宋_GB2312" w:cs="Times New Roman"/>
          <w:color w:val="auto"/>
          <w:sz w:val="30"/>
          <w:szCs w:val="30"/>
          <w:lang w:val="en-US" w:eastAsia="zh-CN"/>
        </w:rPr>
        <w:t>每天组织11名专职志愿者在东、西6个旅客服务台、自助售票处、扶梯等多个岗位主动为旅客提供</w:t>
      </w:r>
      <w:r>
        <w:rPr>
          <w:rFonts w:hint="eastAsia" w:ascii="仿宋_GB2312" w:hAnsi="Calibri" w:eastAsia="仿宋_GB2312" w:cs="Times New Roman"/>
          <w:color w:val="auto"/>
          <w:sz w:val="30"/>
          <w:szCs w:val="30"/>
          <w:lang w:val="en-US" w:eastAsia="zh-CN"/>
        </w:rPr>
        <w:t>咨询引导、行李搬运、健康码申领等</w:t>
      </w:r>
      <w:r>
        <w:rPr>
          <w:rFonts w:hint="default" w:ascii="仿宋_GB2312" w:hAnsi="Calibri" w:eastAsia="仿宋_GB2312" w:cs="Times New Roman"/>
          <w:color w:val="auto"/>
          <w:sz w:val="30"/>
          <w:szCs w:val="30"/>
          <w:lang w:val="en-US" w:eastAsia="zh-CN"/>
        </w:rPr>
        <w:t>志愿服务</w:t>
      </w:r>
      <w:r>
        <w:rPr>
          <w:rFonts w:hint="eastAsia" w:ascii="仿宋_GB2312" w:hAnsi="Calibri" w:eastAsia="仿宋_GB2312" w:cs="Times New Roman"/>
          <w:color w:val="auto"/>
          <w:sz w:val="30"/>
          <w:szCs w:val="30"/>
          <w:lang w:val="en-US" w:eastAsia="zh-CN"/>
        </w:rPr>
        <w:t>。</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_GB2312" w:hAnsi="Calibri" w:eastAsia="仿宋_GB2312" w:cs="Times New Roman"/>
          <w:color w:val="auto"/>
          <w:sz w:val="30"/>
          <w:szCs w:val="30"/>
          <w:lang w:val="en-US" w:eastAsia="zh-CN"/>
        </w:rPr>
      </w:pPr>
      <w:r>
        <w:rPr>
          <w:rFonts w:hint="eastAsia" w:ascii="仿宋_GB2312" w:hAnsi="Calibri" w:eastAsia="仿宋_GB2312" w:cs="Times New Roman"/>
          <w:color w:val="auto"/>
          <w:sz w:val="30"/>
          <w:szCs w:val="30"/>
          <w:lang w:val="en-US" w:eastAsia="zh-CN"/>
        </w:rPr>
        <w:t>2022年，共有8000多名志愿者参与站区志愿行动，指导400余万旅客快速申领“健康码”，帮助重点旅客1800余人次，全力打造全国“最温暖的车站”，被</w:t>
      </w:r>
      <w:r>
        <w:rPr>
          <w:rFonts w:hint="default" w:ascii="仿宋_GB2312" w:hAnsi="Calibri" w:eastAsia="仿宋_GB2312" w:cs="Times New Roman"/>
          <w:color w:val="auto"/>
          <w:sz w:val="30"/>
          <w:szCs w:val="30"/>
          <w:lang w:val="en-US" w:eastAsia="zh-CN"/>
        </w:rPr>
        <w:t>《光明日报》《人民日报》《学习强国》《湖南日报》《长沙晚报》以及中央电视台、湖南卫视等10多家媒体报道。</w:t>
      </w:r>
    </w:p>
    <w:p>
      <w:pPr>
        <w:keepNext w:val="0"/>
        <w:keepLines w:val="0"/>
        <w:pageBreakBefore w:val="0"/>
        <w:kinsoku/>
        <w:wordWrap/>
        <w:overflowPunct/>
        <w:topLinePunct w:val="0"/>
        <w:autoSpaceDE/>
        <w:autoSpaceDN/>
        <w:bidi w:val="0"/>
        <w:adjustRightInd w:val="0"/>
        <w:snapToGrid w:val="0"/>
        <w:spacing w:line="560" w:lineRule="atLeast"/>
        <w:ind w:firstLine="560"/>
        <w:textAlignment w:val="auto"/>
        <w:rPr>
          <w:rFonts w:hint="default" w:ascii="仿宋" w:hAnsi="仿宋" w:eastAsia="仿宋" w:cs="仿宋"/>
          <w:color w:val="auto"/>
          <w:kern w:val="0"/>
          <w:sz w:val="28"/>
          <w:szCs w:val="28"/>
          <w:lang w:val="en-US" w:eastAsia="zh-CN"/>
        </w:rPr>
      </w:pPr>
    </w:p>
    <w:p>
      <w:pPr>
        <w:keepNext w:val="0"/>
        <w:keepLines w:val="0"/>
        <w:pageBreakBefore w:val="0"/>
        <w:kinsoku/>
        <w:wordWrap/>
        <w:overflowPunct/>
        <w:topLinePunct w:val="0"/>
        <w:autoSpaceDE/>
        <w:autoSpaceDN/>
        <w:bidi w:val="0"/>
        <w:adjustRightInd w:val="0"/>
        <w:snapToGrid w:val="0"/>
        <w:spacing w:line="560" w:lineRule="atLeast"/>
        <w:ind w:firstLine="602" w:firstLineChars="200"/>
        <w:textAlignment w:val="auto"/>
        <w:rPr>
          <w:rFonts w:hint="eastAsia" w:ascii="仿宋_GB2312" w:eastAsia="仿宋_GB2312"/>
          <w:b/>
          <w:color w:val="auto"/>
          <w:sz w:val="30"/>
          <w:szCs w:val="30"/>
        </w:rPr>
      </w:pPr>
      <w:r>
        <w:rPr>
          <w:rFonts w:hint="eastAsia" w:ascii="仿宋_GB2312" w:eastAsia="仿宋_GB2312"/>
          <w:b/>
          <w:color w:val="auto"/>
          <w:sz w:val="30"/>
          <w:szCs w:val="30"/>
          <w:lang w:eastAsia="zh-CN"/>
        </w:rPr>
        <w:t>四</w:t>
      </w:r>
      <w:r>
        <w:rPr>
          <w:rFonts w:hint="eastAsia" w:ascii="仿宋_GB2312" w:eastAsia="仿宋_GB2312"/>
          <w:b/>
          <w:color w:val="auto"/>
          <w:sz w:val="30"/>
          <w:szCs w:val="30"/>
        </w:rPr>
        <w:t>、存在的主要问题</w:t>
      </w:r>
      <w:r>
        <w:rPr>
          <w:rFonts w:hint="eastAsia" w:ascii="仿宋_GB2312" w:eastAsia="仿宋_GB2312"/>
          <w:b/>
          <w:color w:val="auto"/>
          <w:sz w:val="30"/>
          <w:szCs w:val="30"/>
          <w:lang w:eastAsia="zh-CN"/>
        </w:rPr>
        <w:t>及原因分析</w:t>
      </w:r>
      <w:r>
        <w:rPr>
          <w:rFonts w:hint="eastAsia" w:ascii="仿宋_GB2312" w:eastAsia="仿宋_GB2312"/>
          <w:b/>
          <w:color w:val="auto"/>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1、部分项目资金缺口较大，主要是我单位是疫情防控工作重点场所，本年度疫情反复次数大，管控要求严，造成支出成倍增加，年度预算是按照疫情缓和下的状态测算的，故年末缺口非常大。</w:t>
      </w:r>
    </w:p>
    <w:p>
      <w:pPr>
        <w:keepNext w:val="0"/>
        <w:keepLines w:val="0"/>
        <w:pageBreakBefore w:val="0"/>
        <w:widowControl w:val="0"/>
        <w:kinsoku/>
        <w:wordWrap/>
        <w:overflowPunct/>
        <w:topLinePunct w:val="0"/>
        <w:autoSpaceDE/>
        <w:autoSpaceDN/>
        <w:bidi w:val="0"/>
        <w:adjustRightInd w:val="0"/>
        <w:snapToGrid w:val="0"/>
        <w:spacing w:line="560" w:lineRule="atLeas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因客观原因，部分项目支出未能完成支付，如协警工资福利及驻站绩效项目未支付金额196.22万元，应急停车场管理及网格化平台经费未支付金额105.1万元，服装装备购置及维护经费未支付金额19.3万元，协警工资福利及驻站绩效未支付64.92万元，造成年度预算320.62万元未完成支付。</w:t>
      </w:r>
    </w:p>
    <w:p>
      <w:pPr>
        <w:keepNext w:val="0"/>
        <w:keepLines w:val="0"/>
        <w:pageBreakBefore w:val="0"/>
        <w:kinsoku/>
        <w:wordWrap/>
        <w:overflowPunct/>
        <w:topLinePunct w:val="0"/>
        <w:autoSpaceDE/>
        <w:autoSpaceDN/>
        <w:bidi w:val="0"/>
        <w:adjustRightInd w:val="0"/>
        <w:snapToGrid w:val="0"/>
        <w:spacing w:line="560" w:lineRule="atLeast"/>
        <w:ind w:firstLine="602" w:firstLineChars="200"/>
        <w:textAlignment w:val="auto"/>
        <w:rPr>
          <w:rFonts w:hint="eastAsia" w:ascii="仿宋_GB2312" w:eastAsia="仿宋_GB2312"/>
          <w:b/>
          <w:color w:val="auto"/>
          <w:sz w:val="30"/>
          <w:szCs w:val="30"/>
        </w:rPr>
      </w:pPr>
      <w:r>
        <w:rPr>
          <w:rFonts w:hint="eastAsia" w:ascii="仿宋_GB2312" w:eastAsia="仿宋_GB2312"/>
          <w:b/>
          <w:color w:val="auto"/>
          <w:sz w:val="30"/>
          <w:szCs w:val="30"/>
          <w:lang w:eastAsia="zh-CN"/>
        </w:rPr>
        <w:t>五</w:t>
      </w:r>
      <w:r>
        <w:rPr>
          <w:rFonts w:hint="eastAsia" w:ascii="仿宋_GB2312" w:eastAsia="仿宋_GB2312"/>
          <w:b/>
          <w:color w:val="auto"/>
          <w:sz w:val="30"/>
          <w:szCs w:val="30"/>
        </w:rPr>
        <w:t>、</w:t>
      </w:r>
      <w:r>
        <w:rPr>
          <w:rFonts w:hint="eastAsia" w:ascii="仿宋_GB2312" w:eastAsia="仿宋_GB2312"/>
          <w:b/>
          <w:color w:val="auto"/>
          <w:sz w:val="30"/>
          <w:szCs w:val="30"/>
          <w:lang w:eastAsia="zh-CN"/>
        </w:rPr>
        <w:t>下一步</w:t>
      </w:r>
      <w:r>
        <w:rPr>
          <w:rFonts w:hint="eastAsia" w:ascii="仿宋_GB2312" w:eastAsia="仿宋_GB2312"/>
          <w:b/>
          <w:color w:val="auto"/>
          <w:sz w:val="30"/>
          <w:szCs w:val="30"/>
        </w:rPr>
        <w:t>改进措施</w:t>
      </w:r>
    </w:p>
    <w:p>
      <w:pPr>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hint="eastAsia"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1、下一年度预算中合理规划，充分准备项目依据，并与财政密切沟通，确保上年度疫情防控支出未完成的各项支出安排到位，合理安排其他预算项目。</w:t>
      </w:r>
    </w:p>
    <w:p>
      <w:pPr>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hint="default" w:ascii="仿宋_GB2312" w:eastAsia="仿宋_GB2312"/>
          <w:bCs/>
          <w:color w:val="auto"/>
          <w:sz w:val="28"/>
          <w:szCs w:val="28"/>
          <w:lang w:val="en-US" w:eastAsia="zh-CN"/>
        </w:rPr>
      </w:pPr>
      <w:r>
        <w:rPr>
          <w:rFonts w:hint="eastAsia" w:ascii="仿宋_GB2312" w:eastAsia="仿宋_GB2312"/>
          <w:bCs/>
          <w:color w:val="auto"/>
          <w:sz w:val="28"/>
          <w:szCs w:val="28"/>
          <w:lang w:val="en-US" w:eastAsia="zh-CN"/>
        </w:rPr>
        <w:t>2、根据财政要求，合理安排支出，积极推进各项目支出进度，确保年度预算执行到位。</w:t>
      </w:r>
    </w:p>
    <w:p>
      <w:pPr>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ascii="仿宋_GB2312" w:eastAsia="仿宋_GB2312"/>
          <w:bCs/>
          <w:color w:val="auto"/>
          <w:sz w:val="28"/>
          <w:szCs w:val="28"/>
        </w:rPr>
      </w:pPr>
      <w:r>
        <w:rPr>
          <w:rFonts w:hint="eastAsia" w:ascii="仿宋_GB2312" w:eastAsia="仿宋_GB2312"/>
          <w:bCs/>
          <w:color w:val="auto"/>
          <w:sz w:val="28"/>
          <w:szCs w:val="28"/>
          <w:lang w:val="en-US" w:eastAsia="zh-CN"/>
        </w:rPr>
        <w:t>2、</w:t>
      </w:r>
      <w:r>
        <w:rPr>
          <w:rFonts w:hint="eastAsia" w:ascii="仿宋_GB2312" w:eastAsia="仿宋_GB2312"/>
          <w:bCs/>
          <w:color w:val="auto"/>
          <w:sz w:val="28"/>
          <w:szCs w:val="28"/>
        </w:rPr>
        <w:t>提早计划、严格落实、责任到人。</w:t>
      </w:r>
    </w:p>
    <w:p>
      <w:pPr>
        <w:pStyle w:val="2"/>
        <w:keepNext w:val="0"/>
        <w:keepLines w:val="0"/>
        <w:pageBreakBefore w:val="0"/>
        <w:kinsoku/>
        <w:wordWrap/>
        <w:overflowPunct/>
        <w:topLinePunct w:val="0"/>
        <w:autoSpaceDE/>
        <w:autoSpaceDN/>
        <w:bidi w:val="0"/>
        <w:adjustRightInd w:val="0"/>
        <w:snapToGrid w:val="0"/>
        <w:spacing w:line="560" w:lineRule="atLeast"/>
        <w:ind w:firstLine="560" w:firstLineChars="200"/>
        <w:textAlignment w:val="auto"/>
        <w:rPr>
          <w:rFonts w:hint="eastAsia" w:hAnsi="宋体" w:cs="宋体"/>
          <w:kern w:val="0"/>
          <w:sz w:val="28"/>
          <w:szCs w:val="28"/>
        </w:rPr>
      </w:pPr>
      <w:r>
        <w:rPr>
          <w:rFonts w:hint="eastAsia" w:hAnsi="宋体" w:cs="宋体"/>
          <w:kern w:val="0"/>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04668D"/>
    <w:rsid w:val="001114EA"/>
    <w:rsid w:val="0014034A"/>
    <w:rsid w:val="0042515B"/>
    <w:rsid w:val="004A5A6B"/>
    <w:rsid w:val="005566B5"/>
    <w:rsid w:val="00575EB0"/>
    <w:rsid w:val="005F590C"/>
    <w:rsid w:val="008075BE"/>
    <w:rsid w:val="008B63CD"/>
    <w:rsid w:val="009864B1"/>
    <w:rsid w:val="00A16055"/>
    <w:rsid w:val="00C12DB7"/>
    <w:rsid w:val="00CA3463"/>
    <w:rsid w:val="00CD6744"/>
    <w:rsid w:val="00D6464A"/>
    <w:rsid w:val="00DE16D6"/>
    <w:rsid w:val="030853F0"/>
    <w:rsid w:val="05170D17"/>
    <w:rsid w:val="05D002D0"/>
    <w:rsid w:val="0797664C"/>
    <w:rsid w:val="0A034AE1"/>
    <w:rsid w:val="0B640ED4"/>
    <w:rsid w:val="0B796404"/>
    <w:rsid w:val="0D0421AA"/>
    <w:rsid w:val="16A3191D"/>
    <w:rsid w:val="17117E8F"/>
    <w:rsid w:val="227B6974"/>
    <w:rsid w:val="236E0628"/>
    <w:rsid w:val="28BC5E43"/>
    <w:rsid w:val="2F774C52"/>
    <w:rsid w:val="3343793C"/>
    <w:rsid w:val="33544E17"/>
    <w:rsid w:val="34C42847"/>
    <w:rsid w:val="39DE09EE"/>
    <w:rsid w:val="3B4B7C53"/>
    <w:rsid w:val="3C7324DC"/>
    <w:rsid w:val="3DBF4AFE"/>
    <w:rsid w:val="414B0234"/>
    <w:rsid w:val="4274065A"/>
    <w:rsid w:val="49982BC7"/>
    <w:rsid w:val="4C740884"/>
    <w:rsid w:val="4CDF7E2F"/>
    <w:rsid w:val="539E707A"/>
    <w:rsid w:val="5D476A87"/>
    <w:rsid w:val="60355369"/>
    <w:rsid w:val="61505D6B"/>
    <w:rsid w:val="64234145"/>
    <w:rsid w:val="65855D35"/>
    <w:rsid w:val="67DD61CB"/>
    <w:rsid w:val="69837295"/>
    <w:rsid w:val="6E640A40"/>
    <w:rsid w:val="6FEF1C19"/>
    <w:rsid w:val="7BF344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customStyle="1" w:styleId="11">
    <w:name w:val="p0"/>
    <w:basedOn w:val="1"/>
    <w:uiPriority w:val="0"/>
    <w:pPr>
      <w:widowControl/>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11</Pages>
  <Words>4896</Words>
  <Characters>5355</Characters>
  <Lines>37</Lines>
  <Paragraphs>10</Paragraphs>
  <TotalTime>1</TotalTime>
  <ScaleCrop>false</ScaleCrop>
  <LinksUpToDate>false</LinksUpToDate>
  <CharactersWithSpaces>5934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cp:lastPrinted>2023-05-12T06:44:40Z</cp:lastPrinted>
  <dcterms:modified xsi:type="dcterms:W3CDTF">2023-09-25T06:39:56Z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1578FE82E5B8426AA0C5EDFE025098B9_13</vt:lpwstr>
  </property>
</Properties>
</file>