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eastAsia="方正小标宋简体"/>
          <w:bCs/>
          <w:sz w:val="46"/>
          <w:szCs w:val="46"/>
        </w:rPr>
      </w:pPr>
      <w:r>
        <w:rPr>
          <w:rFonts w:hint="eastAsia" w:eastAsia="方正小标宋简体"/>
          <w:bCs/>
          <w:sz w:val="46"/>
          <w:szCs w:val="46"/>
        </w:rPr>
        <w:t>雨花区2020年度部门（单位）整体支出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80" w:firstLineChars="150"/>
        <w:rPr>
          <w:rFonts w:eastAsia="仿宋_GB2312"/>
          <w:sz w:val="32"/>
          <w:u w:val="single"/>
        </w:rPr>
      </w:pPr>
      <w:r>
        <w:rPr>
          <w:rFonts w:hint="eastAsia" w:eastAsia="仿宋_GB2312"/>
          <w:sz w:val="32"/>
        </w:rPr>
        <w:t>部门(单位)名称</w:t>
      </w:r>
      <w:r>
        <w:rPr>
          <w:rFonts w:hint="eastAsia" w:eastAsia="仿宋_GB2312"/>
          <w:sz w:val="32"/>
          <w:u w:val="single"/>
        </w:rPr>
        <w:t xml:space="preserve">       长沙市雨花区交通运输局                  </w:t>
      </w:r>
    </w:p>
    <w:p>
      <w:pPr>
        <w:spacing w:beforeLines="50" w:line="348" w:lineRule="auto"/>
        <w:ind w:firstLine="480" w:firstLineChars="150"/>
        <w:rPr>
          <w:rFonts w:eastAsia="仿宋_GB2312"/>
          <w:sz w:val="32"/>
        </w:rPr>
      </w:pPr>
      <w:r>
        <w:rPr>
          <w:rFonts w:hint="eastAsia" w:eastAsia="仿宋_GB2312"/>
          <w:sz w:val="32"/>
        </w:rPr>
        <w:t>预算编码</w:t>
      </w:r>
      <w:r>
        <w:rPr>
          <w:rFonts w:hint="eastAsia" w:eastAsia="仿宋_GB2312"/>
          <w:sz w:val="32"/>
          <w:u w:val="single"/>
        </w:rPr>
        <w:t xml:space="preserve">                  096001                      </w:t>
      </w:r>
    </w:p>
    <w:p>
      <w:pPr>
        <w:spacing w:line="348" w:lineRule="auto"/>
        <w:ind w:firstLine="2208" w:firstLineChars="690"/>
        <w:rPr>
          <w:rFonts w:eastAsia="仿宋_GB2312"/>
          <w:sz w:val="32"/>
        </w:rPr>
      </w:pPr>
    </w:p>
    <w:p>
      <w:pPr>
        <w:spacing w:line="348" w:lineRule="auto"/>
        <w:ind w:firstLine="2208" w:firstLineChars="690"/>
        <w:rPr>
          <w:rFonts w:eastAsia="仿宋_GB2312"/>
          <w:sz w:val="32"/>
        </w:rPr>
      </w:pPr>
    </w:p>
    <w:p>
      <w:pPr>
        <w:spacing w:line="348" w:lineRule="auto"/>
        <w:ind w:firstLine="2208" w:firstLineChars="690"/>
        <w:rPr>
          <w:rFonts w:eastAsia="仿宋_GB2312"/>
          <w:sz w:val="32"/>
        </w:rPr>
      </w:pPr>
    </w:p>
    <w:p>
      <w:pPr>
        <w:spacing w:line="348" w:lineRule="auto"/>
        <w:ind w:firstLine="2208" w:firstLineChars="690"/>
        <w:rPr>
          <w:rFonts w:eastAsia="仿宋_GB2312"/>
          <w:sz w:val="32"/>
        </w:rPr>
      </w:pPr>
    </w:p>
    <w:p>
      <w:pPr>
        <w:spacing w:line="348" w:lineRule="auto"/>
        <w:ind w:firstLine="2208" w:firstLineChars="690"/>
        <w:rPr>
          <w:rFonts w:eastAsia="仿宋_GB2312"/>
          <w:sz w:val="32"/>
        </w:rPr>
      </w:pPr>
    </w:p>
    <w:p>
      <w:pPr>
        <w:spacing w:line="348" w:lineRule="auto"/>
        <w:ind w:firstLine="2208" w:firstLineChars="690"/>
        <w:rPr>
          <w:rFonts w:eastAsia="仿宋_GB2312"/>
          <w:sz w:val="32"/>
        </w:rPr>
      </w:pPr>
      <w:r>
        <w:rPr>
          <w:rFonts w:hint="eastAsia" w:eastAsia="仿宋_GB2312"/>
          <w:sz w:val="32"/>
        </w:rPr>
        <w:t>报告日期：2021年 3 月 18 日</w:t>
      </w:r>
    </w:p>
    <w:p>
      <w:pPr>
        <w:autoSpaceDN w:val="0"/>
        <w:jc w:val="center"/>
        <w:textAlignment w:val="center"/>
        <w:rPr>
          <w:rFonts w:eastAsia="仿宋_GB2312"/>
          <w:sz w:val="32"/>
          <w:szCs w:val="32"/>
        </w:rPr>
      </w:pPr>
      <w:r>
        <w:rPr>
          <w:rFonts w:hint="eastAsia" w:eastAsia="仿宋_GB2312"/>
          <w:sz w:val="32"/>
        </w:rPr>
        <w:t>雨花区财政</w:t>
      </w:r>
      <w:r>
        <w:rPr>
          <w:rFonts w:hint="eastAsia" w:eastAsia="仿宋_GB2312"/>
          <w:sz w:val="32"/>
          <w:szCs w:val="32"/>
        </w:rPr>
        <w:t>局（制）</w:t>
      </w: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kern w:val="0"/>
          <w:sz w:val="32"/>
          <w:szCs w:val="32"/>
        </w:rPr>
      </w:pPr>
      <w:r>
        <w:rPr>
          <w:rFonts w:eastAsia="黑体"/>
          <w:sz w:val="32"/>
          <w:szCs w:val="32"/>
        </w:rPr>
        <w:t>附件</w:t>
      </w:r>
      <w:r>
        <w:rPr>
          <w:rFonts w:hint="eastAsia" w:eastAsia="黑体"/>
          <w:sz w:val="32"/>
          <w:szCs w:val="32"/>
        </w:rPr>
        <w:t>1</w:t>
      </w:r>
    </w:p>
    <w:p>
      <w:pPr>
        <w:widowControl/>
        <w:jc w:val="center"/>
        <w:rPr>
          <w:rFonts w:eastAsia="方正小标宋简体"/>
          <w:kern w:val="0"/>
          <w:sz w:val="44"/>
          <w:szCs w:val="44"/>
        </w:rPr>
      </w:pPr>
      <w:r>
        <w:rPr>
          <w:rFonts w:eastAsia="方正小标宋简体"/>
          <w:kern w:val="0"/>
          <w:sz w:val="44"/>
          <w:szCs w:val="44"/>
        </w:rPr>
        <w:t>部门整体支出绩效自评基础数据表</w:t>
      </w:r>
    </w:p>
    <w:p>
      <w:pPr>
        <w:widowControl/>
        <w:tabs>
          <w:tab w:val="left" w:pos="3611"/>
          <w:tab w:val="left" w:pos="4791"/>
          <w:tab w:val="left" w:pos="5951"/>
          <w:tab w:val="left" w:pos="7071"/>
          <w:tab w:val="left" w:pos="8191"/>
          <w:tab w:val="left" w:pos="9311"/>
        </w:tabs>
        <w:ind w:left="91"/>
        <w:jc w:val="left"/>
        <w:rPr>
          <w:rFonts w:eastAsia="楷体_GB2312"/>
          <w:b/>
          <w:bCs/>
          <w:kern w:val="0"/>
          <w:sz w:val="24"/>
        </w:rPr>
      </w:pPr>
      <w:r>
        <w:rPr>
          <w:rFonts w:eastAsia="楷体_GB2312"/>
          <w:b/>
          <w:bCs/>
          <w:kern w:val="0"/>
          <w:sz w:val="24"/>
        </w:rPr>
        <w:t>填报单位：</w:t>
      </w:r>
      <w:r>
        <w:rPr>
          <w:rFonts w:hint="eastAsia" w:eastAsia="楷体_GB2312"/>
          <w:b/>
          <w:bCs/>
          <w:kern w:val="0"/>
          <w:sz w:val="24"/>
        </w:rPr>
        <w:t>区交通运输局</w:t>
      </w:r>
    </w:p>
    <w:tbl>
      <w:tblPr>
        <w:tblStyle w:val="5"/>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eastAsia="黑体"/>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编制数</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2020年实际在职人数</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r>
              <w:rPr>
                <w:rFonts w:hint="eastAsia"/>
                <w:kern w:val="0"/>
                <w:sz w:val="20"/>
                <w:szCs w:val="20"/>
              </w:rPr>
              <w:t>5</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r>
              <w:rPr>
                <w:rFonts w:hint="eastAsia"/>
                <w:kern w:val="0"/>
                <w:sz w:val="20"/>
                <w:szCs w:val="20"/>
              </w:rPr>
              <w:t>25</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20%</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2019年决算数</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2020年预算数</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2020年决算数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13.81</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19.82</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11.35</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13.81</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17.82</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11.35</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13.81</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17.82</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11.35</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2</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5478.27</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345</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6992.79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5478.27</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345</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6992.79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82.49</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77.67</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54.26</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3.2</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color w:val="FF0000"/>
                <w:kern w:val="0"/>
                <w:sz w:val="20"/>
                <w:szCs w:val="20"/>
              </w:rPr>
              <w:t>　</w:t>
            </w:r>
            <w:r>
              <w:rPr>
                <w:rFonts w:hint="eastAsia"/>
                <w:color w:val="FF0000"/>
                <w:kern w:val="0"/>
                <w:sz w:val="20"/>
                <w:szCs w:val="20"/>
              </w:rPr>
              <w:t>10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color w:val="FF0000"/>
                <w:kern w:val="0"/>
                <w:sz w:val="20"/>
                <w:szCs w:val="20"/>
              </w:rPr>
              <w:t>　</w:t>
            </w:r>
            <w:r>
              <w:rPr>
                <w:rFonts w:hint="eastAsia"/>
                <w:color w:val="FF0000"/>
                <w:kern w:val="0"/>
                <w:sz w:val="20"/>
                <w:szCs w:val="20"/>
              </w:rPr>
              <w:t>5.34</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color w:val="FF0000"/>
                <w:kern w:val="0"/>
                <w:sz w:val="20"/>
                <w:szCs w:val="20"/>
              </w:rPr>
              <w:t>　</w:t>
            </w:r>
            <w:r>
              <w:rPr>
                <w:rFonts w:hint="eastAsia"/>
                <w:color w:val="FF0000"/>
                <w:kern w:val="0"/>
                <w:sz w:val="20"/>
                <w:szCs w:val="20"/>
              </w:rPr>
              <w:t>3</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color w:val="FF0000"/>
                <w:kern w:val="0"/>
                <w:sz w:val="20"/>
                <w:szCs w:val="20"/>
              </w:rPr>
              <w:t>　</w:t>
            </w:r>
            <w:r>
              <w:rPr>
                <w:rFonts w:hint="eastAsia"/>
                <w:color w:val="FF0000"/>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0.57</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color w:val="FF0000"/>
                <w:kern w:val="0"/>
                <w:sz w:val="20"/>
                <w:szCs w:val="20"/>
              </w:rPr>
              <w:t>　</w:t>
            </w:r>
            <w:r>
              <w:rPr>
                <w:rFonts w:hint="eastAsia"/>
                <w:color w:val="FF0000"/>
                <w:kern w:val="0"/>
                <w:sz w:val="20"/>
                <w:szCs w:val="20"/>
              </w:rPr>
              <w:t>5</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color w:val="FF0000"/>
                <w:kern w:val="0"/>
                <w:sz w:val="20"/>
                <w:szCs w:val="20"/>
              </w:rPr>
              <w:t>　</w:t>
            </w:r>
            <w:r>
              <w:rPr>
                <w:rFonts w:hint="eastAsia"/>
                <w:color w:val="FF0000"/>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799.39</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274</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204.88</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-5.94（减少公务运行维护）</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楼堂馆所控制情况</w:t>
            </w:r>
            <w:r>
              <w:rPr>
                <w:kern w:val="0"/>
                <w:sz w:val="20"/>
                <w:szCs w:val="20"/>
              </w:rPr>
              <w:br w:type="textWrapping"/>
            </w:r>
            <w:r>
              <w:rPr>
                <w:kern w:val="0"/>
                <w:sz w:val="20"/>
                <w:szCs w:val="20"/>
              </w:rPr>
              <w:t>（2020年完工项目）</w:t>
            </w:r>
          </w:p>
        </w:tc>
        <w:tc>
          <w:tcPr>
            <w:tcW w:w="1014"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批复规模</w:t>
            </w:r>
            <w:r>
              <w:rPr>
                <w:kern w:val="0"/>
                <w:sz w:val="20"/>
                <w:szCs w:val="20"/>
              </w:rPr>
              <w:br w:type="textWrapping"/>
            </w:r>
            <w:r>
              <w:rPr>
                <w:kern w:val="0"/>
                <w:sz w:val="20"/>
                <w:szCs w:val="20"/>
              </w:rPr>
              <w:t>（㎡）</w:t>
            </w:r>
          </w:p>
        </w:tc>
        <w:tc>
          <w:tcPr>
            <w:tcW w:w="805"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实际</w:t>
            </w:r>
          </w:p>
          <w:p>
            <w:pPr>
              <w:widowControl/>
              <w:jc w:val="center"/>
              <w:rPr>
                <w:kern w:val="0"/>
                <w:sz w:val="20"/>
                <w:szCs w:val="20"/>
              </w:rPr>
            </w:pPr>
            <w:r>
              <w:rPr>
                <w:kern w:val="0"/>
                <w:sz w:val="20"/>
                <w:szCs w:val="20"/>
              </w:rPr>
              <w:t>规模</w:t>
            </w:r>
            <w:r>
              <w:rPr>
                <w:kern w:val="0"/>
                <w:sz w:val="20"/>
                <w:szCs w:val="20"/>
              </w:rPr>
              <w:br w:type="textWrapping"/>
            </w:r>
            <w:r>
              <w:rPr>
                <w:kern w:val="0"/>
                <w:sz w:val="20"/>
                <w:szCs w:val="20"/>
              </w:rPr>
              <w:t>（㎡）</w:t>
            </w:r>
          </w:p>
        </w:tc>
        <w:tc>
          <w:tcPr>
            <w:tcW w:w="1296"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规模控制率</w:t>
            </w:r>
          </w:p>
        </w:tc>
        <w:tc>
          <w:tcPr>
            <w:tcW w:w="1089"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预算投资</w:t>
            </w:r>
            <w:r>
              <w:rPr>
                <w:kern w:val="0"/>
                <w:sz w:val="20"/>
                <w:szCs w:val="20"/>
              </w:rPr>
              <w:br w:type="textWrapping"/>
            </w:r>
            <w:r>
              <w:rPr>
                <w:kern w:val="0"/>
                <w:sz w:val="20"/>
                <w:szCs w:val="20"/>
              </w:rPr>
              <w:t>（万元）</w:t>
            </w:r>
          </w:p>
        </w:tc>
        <w:tc>
          <w:tcPr>
            <w:tcW w:w="949"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实际</w:t>
            </w:r>
          </w:p>
          <w:p>
            <w:pPr>
              <w:widowControl/>
              <w:jc w:val="center"/>
              <w:rPr>
                <w:kern w:val="0"/>
                <w:sz w:val="20"/>
                <w:szCs w:val="20"/>
              </w:rPr>
            </w:pPr>
            <w:r>
              <w:rPr>
                <w:kern w:val="0"/>
                <w:sz w:val="20"/>
                <w:szCs w:val="20"/>
              </w:rPr>
              <w:t>投资</w:t>
            </w:r>
            <w:r>
              <w:rPr>
                <w:kern w:val="0"/>
                <w:sz w:val="20"/>
                <w:szCs w:val="20"/>
              </w:rPr>
              <w:br w:type="textWrapping"/>
            </w:r>
            <w:r>
              <w:rPr>
                <w:kern w:val="0"/>
                <w:sz w:val="20"/>
                <w:szCs w:val="20"/>
              </w:rPr>
              <w:t>（万元）</w:t>
            </w:r>
          </w:p>
        </w:tc>
        <w:tc>
          <w:tcPr>
            <w:tcW w:w="978"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投资</w:t>
            </w:r>
          </w:p>
          <w:p>
            <w:pPr>
              <w:widowControl/>
              <w:jc w:val="center"/>
              <w:rPr>
                <w:kern w:val="0"/>
                <w:sz w:val="20"/>
                <w:szCs w:val="20"/>
              </w:rPr>
            </w:pPr>
            <w:r>
              <w:rPr>
                <w:kern w:val="0"/>
                <w:sz w:val="20"/>
                <w:szCs w:val="20"/>
              </w:rPr>
              <w:t>概算</w:t>
            </w:r>
          </w:p>
          <w:p>
            <w:pPr>
              <w:widowControl/>
              <w:jc w:val="center"/>
              <w:rPr>
                <w:kern w:val="0"/>
                <w:sz w:val="20"/>
                <w:szCs w:val="20"/>
              </w:rPr>
            </w:pPr>
            <w:r>
              <w:rPr>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c>
          <w:tcPr>
            <w:tcW w:w="805"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r>
              <w:rPr>
                <w:rFonts w:hint="eastAsia"/>
                <w:kern w:val="0"/>
                <w:sz w:val="20"/>
                <w:szCs w:val="20"/>
              </w:rPr>
              <w:t>0</w:t>
            </w:r>
          </w:p>
        </w:tc>
        <w:tc>
          <w:tcPr>
            <w:tcW w:w="1296"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r>
              <w:rPr>
                <w:rFonts w:hint="eastAsia"/>
                <w:kern w:val="0"/>
                <w:sz w:val="20"/>
                <w:szCs w:val="20"/>
              </w:rPr>
              <w:t>0</w:t>
            </w:r>
          </w:p>
        </w:tc>
        <w:tc>
          <w:tcPr>
            <w:tcW w:w="1089"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r>
              <w:rPr>
                <w:rFonts w:hint="eastAsia"/>
                <w:kern w:val="0"/>
                <w:sz w:val="20"/>
                <w:szCs w:val="20"/>
              </w:rPr>
              <w:t>0</w:t>
            </w:r>
          </w:p>
        </w:tc>
        <w:tc>
          <w:tcPr>
            <w:tcW w:w="949"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r>
              <w:rPr>
                <w:rFonts w:hint="eastAsia"/>
                <w:kern w:val="0"/>
                <w:sz w:val="20"/>
                <w:szCs w:val="20"/>
              </w:rPr>
              <w:t>0</w:t>
            </w:r>
          </w:p>
        </w:tc>
        <w:tc>
          <w:tcPr>
            <w:tcW w:w="97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r>
              <w:rPr>
                <w:rFonts w:hint="eastAsia"/>
                <w:kern w:val="0"/>
                <w:sz w:val="20"/>
                <w:szCs w:val="20"/>
              </w:rPr>
              <w:t>100%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1、接待费凭正式公函开支；2、公务车辆用车登记；3、公务车加油统一充值，凭卡加油；4、中层以上领导出国（境）护照集中保管，不得私自出入境。</w:t>
            </w:r>
          </w:p>
        </w:tc>
      </w:tr>
    </w:tbl>
    <w:p>
      <w:pPr>
        <w:spacing w:beforeLines="50"/>
        <w:ind w:left="720" w:hanging="720" w:hangingChars="300"/>
        <w:rPr>
          <w:rFonts w:eastAsia="楷体_GB2312"/>
          <w:sz w:val="24"/>
        </w:rPr>
      </w:pPr>
      <w:r>
        <w:rPr>
          <w:rFonts w:eastAsia="楷体_GB2312"/>
          <w:kern w:val="0"/>
          <w:sz w:val="24"/>
        </w:rPr>
        <w:t>说明：“项目支出”需要填报除公共专项资金和基本支出以外的所有项目情况，包括业务工作项目、运行维护项目等；“公用经费”填报基本支出中的一般商品和服务支出。</w:t>
      </w:r>
      <w:r>
        <w:rPr>
          <w:rFonts w:eastAsia="楷体_GB2312"/>
          <w:sz w:val="24"/>
        </w:rPr>
        <w:t xml:space="preserve"> </w:t>
      </w: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beforeLines="50"/>
        <w:ind w:left="720" w:hanging="720" w:hangingChars="300"/>
        <w:rPr>
          <w:rFonts w:eastAsia="楷体_GB2312"/>
          <w:sz w:val="24"/>
        </w:rPr>
      </w:pPr>
    </w:p>
    <w:p>
      <w:pPr>
        <w:spacing w:line="600" w:lineRule="exact"/>
        <w:rPr>
          <w:rFonts w:eastAsia="方正小标宋_GBK"/>
          <w:kern w:val="0"/>
          <w:sz w:val="36"/>
          <w:szCs w:val="36"/>
        </w:rPr>
      </w:pPr>
      <w:r>
        <w:rPr>
          <w:rFonts w:eastAsia="黑体"/>
          <w:kern w:val="0"/>
          <w:sz w:val="32"/>
          <w:szCs w:val="32"/>
        </w:rPr>
        <w:t>附件</w:t>
      </w:r>
      <w:r>
        <w:rPr>
          <w:rFonts w:hint="eastAsia" w:eastAsia="黑体"/>
          <w:kern w:val="0"/>
          <w:sz w:val="32"/>
          <w:szCs w:val="32"/>
        </w:rPr>
        <w:t>2</w:t>
      </w:r>
    </w:p>
    <w:p>
      <w:pPr>
        <w:widowControl/>
        <w:ind w:left="91"/>
        <w:jc w:val="center"/>
        <w:rPr>
          <w:rFonts w:eastAsia="方正小标宋简体"/>
          <w:kern w:val="0"/>
          <w:sz w:val="44"/>
          <w:szCs w:val="44"/>
        </w:rPr>
      </w:pPr>
      <w:r>
        <w:rPr>
          <w:rFonts w:eastAsia="方正小标宋简体"/>
          <w:kern w:val="0"/>
          <w:sz w:val="44"/>
          <w:szCs w:val="44"/>
        </w:rPr>
        <w:t>部门整体支出绩效自评表</w:t>
      </w:r>
    </w:p>
    <w:tbl>
      <w:tblPr>
        <w:tblStyle w:val="5"/>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59"/>
        <w:gridCol w:w="739"/>
        <w:gridCol w:w="832"/>
        <w:gridCol w:w="330"/>
        <w:gridCol w:w="2986"/>
        <w:gridCol w:w="3311"/>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一级</w:t>
            </w:r>
            <w:r>
              <w:rPr>
                <w:rFonts w:eastAsia="黑体"/>
                <w:color w:val="000000"/>
                <w:kern w:val="0"/>
                <w:sz w:val="20"/>
                <w:szCs w:val="20"/>
              </w:rPr>
              <w:br w:type="textWrapping"/>
            </w:r>
            <w:r>
              <w:rPr>
                <w:rFonts w:eastAsia="黑体"/>
                <w:color w:val="000000"/>
                <w:kern w:val="0"/>
                <w:sz w:val="20"/>
                <w:szCs w:val="20"/>
              </w:rPr>
              <w:t>指标</w:t>
            </w:r>
          </w:p>
        </w:tc>
        <w:tc>
          <w:tcPr>
            <w:tcW w:w="373"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二级</w:t>
            </w:r>
            <w:r>
              <w:rPr>
                <w:rFonts w:eastAsia="黑体"/>
                <w:color w:val="000000"/>
                <w:kern w:val="0"/>
                <w:sz w:val="20"/>
                <w:szCs w:val="20"/>
              </w:rPr>
              <w:br w:type="textWrapping"/>
            </w:r>
            <w:r>
              <w:rPr>
                <w:rFonts w:eastAsia="黑体"/>
                <w:color w:val="000000"/>
                <w:kern w:val="0"/>
                <w:sz w:val="20"/>
                <w:szCs w:val="20"/>
              </w:rPr>
              <w:t>指标</w:t>
            </w:r>
          </w:p>
        </w:tc>
        <w:tc>
          <w:tcPr>
            <w:tcW w:w="420"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eastAsia="黑体"/>
                <w:color w:val="000000"/>
                <w:kern w:val="0"/>
                <w:sz w:val="20"/>
                <w:szCs w:val="20"/>
              </w:rPr>
              <w:t>三级</w:t>
            </w:r>
          </w:p>
          <w:p>
            <w:pPr>
              <w:widowControl/>
              <w:spacing w:line="280" w:lineRule="exact"/>
              <w:jc w:val="center"/>
              <w:textAlignment w:val="center"/>
              <w:rPr>
                <w:rFonts w:eastAsia="黑体"/>
                <w:color w:val="000000"/>
                <w:sz w:val="20"/>
                <w:szCs w:val="20"/>
              </w:rPr>
            </w:pPr>
            <w:r>
              <w:rPr>
                <w:rFonts w:eastAsia="黑体"/>
                <w:color w:val="000000"/>
                <w:kern w:val="0"/>
                <w:sz w:val="20"/>
                <w:szCs w:val="20"/>
              </w:rPr>
              <w:t>指标</w:t>
            </w:r>
          </w:p>
        </w:tc>
        <w:tc>
          <w:tcPr>
            <w:tcW w:w="166"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分值</w:t>
            </w:r>
          </w:p>
        </w:tc>
        <w:tc>
          <w:tcPr>
            <w:tcW w:w="1507"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评分要点</w:t>
            </w:r>
          </w:p>
        </w:tc>
        <w:tc>
          <w:tcPr>
            <w:tcW w:w="1671"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评分标准</w:t>
            </w:r>
          </w:p>
        </w:tc>
        <w:tc>
          <w:tcPr>
            <w:tcW w:w="477"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hint="eastAsia" w:eastAsia="黑体"/>
                <w:color w:val="000000"/>
                <w:kern w:val="0"/>
                <w:sz w:val="20"/>
                <w:szCs w:val="2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tcMar>
              <w:top w:w="15" w:type="dxa"/>
              <w:left w:w="15" w:type="dxa"/>
              <w:right w:w="15" w:type="dxa"/>
            </w:tcMar>
            <w:vAlign w:val="center"/>
          </w:tcPr>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投入</w:t>
            </w:r>
            <w:r>
              <w:rPr>
                <w:rStyle w:val="8"/>
                <w:sz w:val="20"/>
                <w:szCs w:val="20"/>
              </w:rPr>
              <w:br w:type="textWrapping"/>
            </w:r>
            <w:r>
              <w:rPr>
                <w:rStyle w:val="7"/>
                <w:rFonts w:hint="default" w:ascii="Times New Roman" w:hAnsi="Times New Roman" w:cs="Times New Roman"/>
                <w:sz w:val="20"/>
                <w:szCs w:val="20"/>
              </w:rPr>
              <w:t>（10分）</w:t>
            </w:r>
          </w:p>
        </w:tc>
        <w:tc>
          <w:tcPr>
            <w:tcW w:w="373" w:type="pct"/>
            <w:vMerge w:val="restart"/>
            <w:tcMar>
              <w:top w:w="15" w:type="dxa"/>
              <w:left w:w="15" w:type="dxa"/>
              <w:right w:w="15" w:type="dxa"/>
            </w:tcMar>
            <w:vAlign w:val="center"/>
          </w:tcPr>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目标</w:t>
            </w:r>
            <w:r>
              <w:rPr>
                <w:rStyle w:val="8"/>
                <w:sz w:val="20"/>
                <w:szCs w:val="20"/>
              </w:rPr>
              <w:br w:type="textWrapping"/>
            </w:r>
            <w:r>
              <w:rPr>
                <w:rStyle w:val="7"/>
                <w:rFonts w:hint="default" w:ascii="Times New Roman" w:hAnsi="Times New Roman" w:cs="Times New Roman"/>
                <w:sz w:val="20"/>
                <w:szCs w:val="20"/>
              </w:rPr>
              <w:t>设定</w:t>
            </w:r>
            <w:r>
              <w:rPr>
                <w:rStyle w:val="8"/>
                <w:sz w:val="20"/>
                <w:szCs w:val="20"/>
              </w:rPr>
              <w:br w:type="textWrapping"/>
            </w:r>
            <w:r>
              <w:rPr>
                <w:rStyle w:val="7"/>
                <w:rFonts w:hint="default" w:ascii="Times New Roman" w:hAnsi="Times New Roman" w:cs="Times New Roman"/>
                <w:sz w:val="20"/>
                <w:szCs w:val="20"/>
              </w:rPr>
              <w:t>（</w:t>
            </w:r>
            <w:r>
              <w:rPr>
                <w:rStyle w:val="8"/>
                <w:sz w:val="20"/>
                <w:szCs w:val="20"/>
              </w:rPr>
              <w:t>6</w:t>
            </w:r>
            <w:r>
              <w:rPr>
                <w:rStyle w:val="7"/>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绩效目标</w:t>
            </w:r>
            <w:r>
              <w:rPr>
                <w:rStyle w:val="8"/>
                <w:sz w:val="20"/>
                <w:szCs w:val="20"/>
              </w:rPr>
              <w:br w:type="textWrapping"/>
            </w:r>
            <w:r>
              <w:rPr>
                <w:rStyle w:val="7"/>
                <w:rFonts w:hint="default" w:ascii="Times New Roman" w:hAnsi="Times New Roman" w:cs="Times New Roman"/>
                <w:sz w:val="20"/>
                <w:szCs w:val="20"/>
              </w:rPr>
              <w:t>合理性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7"/>
                <w:rFonts w:hint="default" w:ascii="Times New Roman" w:hAnsi="Times New Roman" w:cs="Times New Roman"/>
                <w:sz w:val="20"/>
                <w:szCs w:val="20"/>
              </w:rPr>
              <w:t>①是否符合国家法律法规、国民经济和社会发展总体规划；</w:t>
            </w:r>
            <w:r>
              <w:rPr>
                <w:rStyle w:val="8"/>
                <w:sz w:val="20"/>
                <w:szCs w:val="20"/>
              </w:rPr>
              <w:br w:type="textWrapping"/>
            </w:r>
            <w:r>
              <w:rPr>
                <w:rStyle w:val="7"/>
                <w:rFonts w:hint="default" w:ascii="Times New Roman" w:hAnsi="Times New Roman" w:cs="Times New Roman"/>
                <w:sz w:val="20"/>
                <w:szCs w:val="20"/>
              </w:rPr>
              <w:t>②是否符合部门</w:t>
            </w:r>
            <w:r>
              <w:rPr>
                <w:rStyle w:val="8"/>
                <w:sz w:val="20"/>
                <w:szCs w:val="20"/>
              </w:rPr>
              <w:t>“</w:t>
            </w:r>
            <w:r>
              <w:rPr>
                <w:rStyle w:val="7"/>
                <w:rFonts w:hint="default" w:ascii="Times New Roman" w:hAnsi="Times New Roman" w:cs="Times New Roman"/>
                <w:sz w:val="20"/>
                <w:szCs w:val="20"/>
              </w:rPr>
              <w:t>三定</w:t>
            </w:r>
            <w:r>
              <w:rPr>
                <w:rStyle w:val="8"/>
                <w:sz w:val="20"/>
                <w:szCs w:val="20"/>
              </w:rPr>
              <w:t>”</w:t>
            </w:r>
            <w:r>
              <w:rPr>
                <w:rStyle w:val="7"/>
                <w:rFonts w:hint="default" w:ascii="Times New Roman" w:hAnsi="Times New Roman" w:cs="Times New Roman"/>
                <w:sz w:val="20"/>
                <w:szCs w:val="20"/>
              </w:rPr>
              <w:t>方案确定的职责；</w:t>
            </w:r>
            <w:r>
              <w:rPr>
                <w:rStyle w:val="8"/>
                <w:sz w:val="20"/>
                <w:szCs w:val="20"/>
              </w:rPr>
              <w:br w:type="textWrapping"/>
            </w:r>
            <w:r>
              <w:rPr>
                <w:rStyle w:val="7"/>
                <w:rFonts w:hint="default" w:ascii="Times New Roman" w:hAnsi="Times New Roman" w:cs="Times New Roman"/>
                <w:sz w:val="20"/>
                <w:szCs w:val="20"/>
              </w:rPr>
              <w:t>③是否符合部门制定的发展实施规划。</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7"/>
                <w:rFonts w:hint="default" w:ascii="Times New Roman" w:hAnsi="Times New Roman" w:cs="Times New Roman"/>
                <w:sz w:val="20"/>
                <w:szCs w:val="20"/>
              </w:rPr>
              <w:t>①符合国家相关法律法规，本市国民经济和社会发展规划，计</w:t>
            </w:r>
            <w:r>
              <w:rPr>
                <w:rStyle w:val="8"/>
                <w:sz w:val="20"/>
                <w:szCs w:val="20"/>
              </w:rPr>
              <w:t>0.5</w:t>
            </w:r>
            <w:r>
              <w:rPr>
                <w:rStyle w:val="7"/>
                <w:rFonts w:hint="default" w:ascii="Times New Roman" w:hAnsi="Times New Roman" w:cs="Times New Roman"/>
                <w:sz w:val="20"/>
                <w:szCs w:val="20"/>
              </w:rPr>
              <w:t>分，否则不得分；</w:t>
            </w:r>
            <w:r>
              <w:rPr>
                <w:rStyle w:val="8"/>
                <w:sz w:val="20"/>
                <w:szCs w:val="20"/>
              </w:rPr>
              <w:br w:type="textWrapping"/>
            </w:r>
            <w:r>
              <w:rPr>
                <w:rStyle w:val="7"/>
                <w:rFonts w:hint="default" w:ascii="Times New Roman" w:hAnsi="Times New Roman" w:cs="Times New Roman"/>
                <w:sz w:val="20"/>
                <w:szCs w:val="20"/>
              </w:rPr>
              <w:t>②与部门（单位）职责密切相关，计</w:t>
            </w:r>
            <w:r>
              <w:rPr>
                <w:rStyle w:val="8"/>
                <w:sz w:val="20"/>
                <w:szCs w:val="20"/>
              </w:rPr>
              <w:t>0.5</w:t>
            </w:r>
            <w:r>
              <w:rPr>
                <w:rStyle w:val="7"/>
                <w:rFonts w:hint="default" w:ascii="Times New Roman" w:hAnsi="Times New Roman" w:cs="Times New Roman"/>
                <w:sz w:val="20"/>
                <w:szCs w:val="20"/>
              </w:rPr>
              <w:t>分，否则不得分；</w:t>
            </w:r>
            <w:r>
              <w:rPr>
                <w:rStyle w:val="8"/>
                <w:sz w:val="20"/>
                <w:szCs w:val="20"/>
              </w:rPr>
              <w:br w:type="textWrapping"/>
            </w:r>
            <w:r>
              <w:rPr>
                <w:rStyle w:val="7"/>
                <w:rFonts w:hint="default" w:ascii="Times New Roman" w:hAnsi="Times New Roman" w:cs="Times New Roman"/>
                <w:sz w:val="20"/>
                <w:szCs w:val="20"/>
              </w:rPr>
              <w:t>③符合部门制定的发展实施规划，计</w:t>
            </w:r>
            <w:r>
              <w:rPr>
                <w:rStyle w:val="8"/>
                <w:sz w:val="20"/>
                <w:szCs w:val="20"/>
              </w:rPr>
              <w:t>1</w:t>
            </w:r>
            <w:r>
              <w:rPr>
                <w:rStyle w:val="7"/>
                <w:rFonts w:hint="default" w:ascii="Times New Roman" w:hAnsi="Times New Roman" w:cs="Times New Roman"/>
                <w:sz w:val="20"/>
                <w:szCs w:val="20"/>
              </w:rPr>
              <w:t>分，否则不得分。</w:t>
            </w:r>
          </w:p>
        </w:tc>
        <w:tc>
          <w:tcPr>
            <w:tcW w:w="477" w:type="pct"/>
            <w:tcMar>
              <w:top w:w="15" w:type="dxa"/>
              <w:left w:w="15" w:type="dxa"/>
              <w:right w:w="15" w:type="dxa"/>
            </w:tcMar>
            <w:vAlign w:val="center"/>
          </w:tcPr>
          <w:p>
            <w:pPr>
              <w:widowControl/>
              <w:spacing w:line="27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420"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绩效指标</w:t>
            </w:r>
            <w:r>
              <w:rPr>
                <w:rStyle w:val="8"/>
                <w:sz w:val="20"/>
                <w:szCs w:val="20"/>
              </w:rPr>
              <w:br w:type="textWrapping"/>
            </w:r>
            <w:r>
              <w:rPr>
                <w:rStyle w:val="7"/>
                <w:rFonts w:hint="default" w:ascii="Times New Roman" w:hAnsi="Times New Roman" w:cs="Times New Roman"/>
                <w:sz w:val="20"/>
                <w:szCs w:val="20"/>
              </w:rPr>
              <w:t>明确性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7"/>
                <w:rFonts w:hint="default" w:ascii="Times New Roman" w:hAnsi="Times New Roman" w:cs="Times New Roman"/>
                <w:sz w:val="20"/>
                <w:szCs w:val="20"/>
              </w:rPr>
              <w:t>①是否将部门整体的绩效目标细化分解为具体的工作任务；</w:t>
            </w:r>
            <w:r>
              <w:rPr>
                <w:rStyle w:val="8"/>
                <w:sz w:val="20"/>
                <w:szCs w:val="20"/>
              </w:rPr>
              <w:br w:type="textWrapping"/>
            </w:r>
            <w:r>
              <w:rPr>
                <w:rStyle w:val="7"/>
                <w:rFonts w:hint="default" w:ascii="Times New Roman" w:hAnsi="Times New Roman" w:cs="Times New Roman"/>
                <w:sz w:val="20"/>
                <w:szCs w:val="20"/>
              </w:rPr>
              <w:t>②是否通过清晰、可衡量的指标值予以体现。</w:t>
            </w:r>
            <w:r>
              <w:rPr>
                <w:rStyle w:val="8"/>
                <w:sz w:val="20"/>
                <w:szCs w:val="20"/>
              </w:rPr>
              <w:br w:type="textWrapping"/>
            </w:r>
            <w:r>
              <w:rPr>
                <w:rStyle w:val="7"/>
                <w:rFonts w:hint="default" w:ascii="Times New Roman" w:hAnsi="Times New Roman" w:cs="Times New Roman"/>
                <w:sz w:val="20"/>
                <w:szCs w:val="20"/>
              </w:rPr>
              <w:t>③是否与部门年度的任务数或计划数相对应；</w:t>
            </w:r>
            <w:r>
              <w:rPr>
                <w:rStyle w:val="8"/>
                <w:sz w:val="20"/>
                <w:szCs w:val="20"/>
              </w:rPr>
              <w:br w:type="textWrapping"/>
            </w:r>
            <w:r>
              <w:rPr>
                <w:rStyle w:val="7"/>
                <w:rFonts w:hint="default" w:ascii="Times New Roman" w:hAnsi="Times New Roman" w:cs="Times New Roman"/>
                <w:sz w:val="20"/>
                <w:szCs w:val="20"/>
              </w:rPr>
              <w:t>④是否与本年度部门预算资金相匹配。</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7"/>
                <w:rFonts w:hint="default" w:ascii="Times New Roman" w:hAnsi="Times New Roman" w:cs="Times New Roman"/>
                <w:sz w:val="20"/>
                <w:szCs w:val="20"/>
              </w:rPr>
              <w:t>①有目标，计1分，否则不得分；</w:t>
            </w:r>
            <w:r>
              <w:rPr>
                <w:rStyle w:val="8"/>
                <w:sz w:val="20"/>
                <w:szCs w:val="20"/>
              </w:rPr>
              <w:br w:type="textWrapping"/>
            </w:r>
            <w:r>
              <w:rPr>
                <w:rStyle w:val="7"/>
                <w:rFonts w:hint="default" w:ascii="Times New Roman" w:hAnsi="Times New Roman" w:cs="Times New Roman"/>
                <w:sz w:val="20"/>
                <w:szCs w:val="20"/>
              </w:rPr>
              <w:t>②目标明确，细化量化良好，个性指标中量化指标超过</w:t>
            </w:r>
            <w:r>
              <w:rPr>
                <w:rStyle w:val="8"/>
                <w:sz w:val="20"/>
                <w:szCs w:val="20"/>
              </w:rPr>
              <w:t>3</w:t>
            </w:r>
            <w:r>
              <w:rPr>
                <w:rStyle w:val="7"/>
                <w:rFonts w:hint="default" w:ascii="Times New Roman" w:hAnsi="Times New Roman" w:cs="Times New Roman"/>
                <w:sz w:val="20"/>
                <w:szCs w:val="20"/>
              </w:rPr>
              <w:t>个，计1分，量化指标为</w:t>
            </w:r>
            <w:r>
              <w:rPr>
                <w:rStyle w:val="8"/>
                <w:sz w:val="20"/>
                <w:szCs w:val="20"/>
              </w:rPr>
              <w:t>2</w:t>
            </w:r>
            <w:r>
              <w:rPr>
                <w:rStyle w:val="7"/>
                <w:rFonts w:hint="default" w:ascii="Times New Roman" w:hAnsi="Times New Roman" w:cs="Times New Roman"/>
                <w:sz w:val="20"/>
                <w:szCs w:val="20"/>
              </w:rPr>
              <w:t>个，计</w:t>
            </w:r>
            <w:r>
              <w:rPr>
                <w:rStyle w:val="8"/>
                <w:sz w:val="20"/>
                <w:szCs w:val="20"/>
              </w:rPr>
              <w:t>0.5</w:t>
            </w:r>
            <w:r>
              <w:rPr>
                <w:rStyle w:val="7"/>
                <w:rFonts w:hint="default" w:ascii="Times New Roman" w:hAnsi="Times New Roman" w:cs="Times New Roman"/>
                <w:sz w:val="20"/>
                <w:szCs w:val="20"/>
              </w:rPr>
              <w:t>分，</w:t>
            </w:r>
            <w:r>
              <w:rPr>
                <w:rStyle w:val="8"/>
                <w:sz w:val="20"/>
                <w:szCs w:val="20"/>
              </w:rPr>
              <w:t>2</w:t>
            </w:r>
            <w:r>
              <w:rPr>
                <w:rStyle w:val="7"/>
                <w:rFonts w:hint="default" w:ascii="Times New Roman" w:hAnsi="Times New Roman" w:cs="Times New Roman"/>
                <w:sz w:val="20"/>
                <w:szCs w:val="20"/>
              </w:rPr>
              <w:t>个以下不得分；</w:t>
            </w:r>
            <w:r>
              <w:rPr>
                <w:rStyle w:val="8"/>
                <w:sz w:val="20"/>
                <w:szCs w:val="20"/>
              </w:rPr>
              <w:br w:type="textWrapping"/>
            </w:r>
            <w:r>
              <w:rPr>
                <w:rStyle w:val="7"/>
                <w:rFonts w:hint="default" w:ascii="Times New Roman" w:hAnsi="Times New Roman" w:cs="Times New Roman"/>
                <w:sz w:val="20"/>
                <w:szCs w:val="20"/>
              </w:rPr>
              <w:t>③与年度任务数或计划数相对应，计1分，低于</w:t>
            </w:r>
            <w:r>
              <w:rPr>
                <w:rStyle w:val="8"/>
                <w:sz w:val="20"/>
                <w:szCs w:val="20"/>
              </w:rPr>
              <w:t>2</w:t>
            </w:r>
            <w:r>
              <w:rPr>
                <w:rStyle w:val="7"/>
                <w:rFonts w:hint="default" w:ascii="Times New Roman" w:hAnsi="Times New Roman" w:cs="Times New Roman"/>
                <w:sz w:val="20"/>
                <w:szCs w:val="20"/>
              </w:rPr>
              <w:t>个，计0.5分，低于</w:t>
            </w:r>
            <w:r>
              <w:rPr>
                <w:rStyle w:val="8"/>
                <w:sz w:val="20"/>
                <w:szCs w:val="20"/>
              </w:rPr>
              <w:t>4</w:t>
            </w:r>
            <w:r>
              <w:rPr>
                <w:rStyle w:val="7"/>
                <w:rFonts w:hint="default" w:ascii="Times New Roman" w:hAnsi="Times New Roman" w:cs="Times New Roman"/>
                <w:sz w:val="20"/>
                <w:szCs w:val="20"/>
              </w:rPr>
              <w:t>个不得分；</w:t>
            </w:r>
            <w:r>
              <w:rPr>
                <w:rStyle w:val="8"/>
                <w:sz w:val="20"/>
                <w:szCs w:val="20"/>
              </w:rPr>
              <w:br w:type="textWrapping"/>
            </w:r>
            <w:r>
              <w:rPr>
                <w:rStyle w:val="7"/>
                <w:rFonts w:hint="default" w:ascii="Times New Roman" w:hAnsi="Times New Roman" w:cs="Times New Roman"/>
                <w:sz w:val="20"/>
                <w:szCs w:val="20"/>
              </w:rPr>
              <w:t>④目标与资金匹配良好，逻辑关系明确，计1分，否则不得分。</w:t>
            </w:r>
          </w:p>
        </w:tc>
        <w:tc>
          <w:tcPr>
            <w:tcW w:w="477" w:type="pct"/>
            <w:tcMar>
              <w:top w:w="15" w:type="dxa"/>
              <w:left w:w="15" w:type="dxa"/>
              <w:right w:w="15" w:type="dxa"/>
            </w:tcMar>
            <w:vAlign w:val="center"/>
          </w:tcPr>
          <w:p>
            <w:pPr>
              <w:widowControl/>
              <w:spacing w:line="27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预算</w:t>
            </w:r>
            <w:r>
              <w:rPr>
                <w:rStyle w:val="8"/>
                <w:sz w:val="20"/>
                <w:szCs w:val="20"/>
              </w:rPr>
              <w:br w:type="textWrapping"/>
            </w:r>
            <w:r>
              <w:rPr>
                <w:rStyle w:val="7"/>
                <w:rFonts w:hint="default" w:ascii="Times New Roman" w:hAnsi="Times New Roman" w:cs="Times New Roman"/>
                <w:sz w:val="20"/>
                <w:szCs w:val="20"/>
              </w:rPr>
              <w:t>配置</w:t>
            </w:r>
            <w:r>
              <w:rPr>
                <w:rStyle w:val="8"/>
                <w:sz w:val="20"/>
                <w:szCs w:val="20"/>
              </w:rPr>
              <w:br w:type="textWrapping"/>
            </w:r>
            <w:r>
              <w:rPr>
                <w:rStyle w:val="7"/>
                <w:rFonts w:hint="default" w:ascii="Times New Roman" w:hAnsi="Times New Roman" w:cs="Times New Roman"/>
                <w:sz w:val="20"/>
                <w:szCs w:val="20"/>
              </w:rPr>
              <w:t>（</w:t>
            </w:r>
            <w:r>
              <w:rPr>
                <w:rStyle w:val="8"/>
                <w:sz w:val="20"/>
                <w:szCs w:val="20"/>
              </w:rPr>
              <w:t>4</w:t>
            </w:r>
            <w:r>
              <w:rPr>
                <w:rStyle w:val="7"/>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7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人员</w:t>
            </w:r>
          </w:p>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控制率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7"/>
                <w:rFonts w:hint="default" w:ascii="Times New Roman" w:hAnsi="Times New Roman" w:cs="Times New Roman"/>
                <w:sz w:val="20"/>
                <w:szCs w:val="20"/>
              </w:rPr>
              <w:t>在职人员控制率</w:t>
            </w:r>
            <w:r>
              <w:rPr>
                <w:rStyle w:val="8"/>
                <w:sz w:val="20"/>
                <w:szCs w:val="20"/>
              </w:rPr>
              <w:t>=</w:t>
            </w:r>
            <w:r>
              <w:rPr>
                <w:rStyle w:val="7"/>
                <w:rFonts w:hint="default" w:ascii="Times New Roman" w:hAnsi="Times New Roman" w:cs="Times New Roman"/>
                <w:sz w:val="20"/>
                <w:szCs w:val="20"/>
              </w:rPr>
              <w:t>（在职人员数</w:t>
            </w:r>
            <w:r>
              <w:rPr>
                <w:rStyle w:val="8"/>
                <w:sz w:val="20"/>
                <w:szCs w:val="20"/>
              </w:rPr>
              <w:t>/</w:t>
            </w:r>
            <w:r>
              <w:rPr>
                <w:rStyle w:val="7"/>
                <w:rFonts w:hint="default" w:ascii="Times New Roman" w:hAnsi="Times New Roman" w:cs="Times New Roman"/>
                <w:sz w:val="20"/>
                <w:szCs w:val="20"/>
              </w:rPr>
              <w:t>编制数）</w:t>
            </w:r>
            <w:r>
              <w:rPr>
                <w:rStyle w:val="8"/>
                <w:sz w:val="20"/>
                <w:szCs w:val="20"/>
              </w:rPr>
              <w:t>×100%</w:t>
            </w:r>
            <w:r>
              <w:rPr>
                <w:rStyle w:val="7"/>
                <w:rFonts w:hint="default" w:ascii="Times New Roman" w:hAnsi="Times New Roman" w:cs="Times New Roman"/>
                <w:sz w:val="20"/>
                <w:szCs w:val="20"/>
              </w:rPr>
              <w:t>。</w:t>
            </w:r>
            <w:r>
              <w:rPr>
                <w:rStyle w:val="8"/>
                <w:sz w:val="20"/>
                <w:szCs w:val="20"/>
              </w:rPr>
              <w:br w:type="textWrapping"/>
            </w:r>
            <w:r>
              <w:rPr>
                <w:rStyle w:val="7"/>
                <w:rFonts w:hint="default" w:ascii="Times New Roman" w:hAnsi="Times New Roman" w:cs="Times New Roman"/>
                <w:sz w:val="20"/>
                <w:szCs w:val="20"/>
              </w:rPr>
              <w:t>聘用人员控制率≦人社和编办共同批复的人数；</w:t>
            </w:r>
            <w:r>
              <w:rPr>
                <w:rStyle w:val="8"/>
                <w:sz w:val="20"/>
                <w:szCs w:val="20"/>
              </w:rPr>
              <w:br w:type="textWrapping"/>
            </w:r>
            <w:r>
              <w:rPr>
                <w:rStyle w:val="7"/>
                <w:rFonts w:hint="default" w:ascii="Times New Roman" w:hAnsi="Times New Roman" w:cs="Times New Roman"/>
                <w:sz w:val="20"/>
                <w:szCs w:val="20"/>
              </w:rPr>
              <w:t>在职人员数：部门（单位）实际在职人数</w:t>
            </w:r>
            <w:r>
              <w:rPr>
                <w:rStyle w:val="8"/>
                <w:sz w:val="20"/>
                <w:szCs w:val="20"/>
              </w:rPr>
              <w:t>，</w:t>
            </w:r>
            <w:r>
              <w:rPr>
                <w:rStyle w:val="7"/>
                <w:rFonts w:hint="default" w:ascii="Times New Roman" w:hAnsi="Times New Roman" w:cs="Times New Roman"/>
                <w:sz w:val="20"/>
                <w:szCs w:val="20"/>
              </w:rPr>
              <w:t>以财政部门确定的部门决算编制口径为准。</w:t>
            </w:r>
            <w:r>
              <w:rPr>
                <w:rStyle w:val="8"/>
                <w:sz w:val="20"/>
                <w:szCs w:val="20"/>
              </w:rPr>
              <w:br w:type="textWrapping"/>
            </w:r>
            <w:r>
              <w:rPr>
                <w:rStyle w:val="7"/>
                <w:rFonts w:hint="default" w:ascii="Times New Roman" w:hAnsi="Times New Roman" w:cs="Times New Roman"/>
                <w:sz w:val="20"/>
                <w:szCs w:val="20"/>
              </w:rPr>
              <w:t>编制数：机构编制部门核定批复的部门（单位）的人员编制数。</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7"/>
                <w:rFonts w:hint="default" w:ascii="Times New Roman" w:hAnsi="Times New Roman" w:cs="Times New Roman"/>
                <w:sz w:val="20"/>
                <w:szCs w:val="20"/>
              </w:rPr>
              <w:t>在职人员控制率≦</w:t>
            </w:r>
            <w:r>
              <w:rPr>
                <w:rStyle w:val="8"/>
                <w:sz w:val="20"/>
                <w:szCs w:val="20"/>
              </w:rPr>
              <w:t>100%</w:t>
            </w:r>
            <w:r>
              <w:rPr>
                <w:rStyle w:val="7"/>
                <w:rFonts w:hint="default" w:ascii="Times New Roman" w:hAnsi="Times New Roman" w:cs="Times New Roman"/>
                <w:sz w:val="20"/>
                <w:szCs w:val="20"/>
              </w:rPr>
              <w:t>计</w:t>
            </w:r>
            <w:r>
              <w:rPr>
                <w:rStyle w:val="8"/>
                <w:sz w:val="20"/>
                <w:szCs w:val="20"/>
              </w:rPr>
              <w:t>2</w:t>
            </w:r>
            <w:r>
              <w:rPr>
                <w:rStyle w:val="7"/>
                <w:rFonts w:hint="default" w:ascii="Times New Roman" w:hAnsi="Times New Roman" w:cs="Times New Roman"/>
                <w:sz w:val="20"/>
                <w:szCs w:val="20"/>
              </w:rPr>
              <w:t>分，每超出</w:t>
            </w:r>
            <w:r>
              <w:rPr>
                <w:rStyle w:val="8"/>
                <w:sz w:val="20"/>
                <w:szCs w:val="20"/>
              </w:rPr>
              <w:t>1%</w:t>
            </w:r>
            <w:r>
              <w:rPr>
                <w:rStyle w:val="7"/>
                <w:rFonts w:hint="default" w:ascii="Times New Roman" w:hAnsi="Times New Roman" w:cs="Times New Roman"/>
                <w:sz w:val="20"/>
                <w:szCs w:val="20"/>
              </w:rPr>
              <w:t>扣</w:t>
            </w:r>
            <w:r>
              <w:rPr>
                <w:rStyle w:val="8"/>
                <w:sz w:val="20"/>
                <w:szCs w:val="20"/>
              </w:rPr>
              <w:t>0.2</w:t>
            </w:r>
            <w:r>
              <w:rPr>
                <w:rStyle w:val="7"/>
                <w:rFonts w:hint="default" w:ascii="Times New Roman" w:hAnsi="Times New Roman" w:cs="Times New Roman"/>
                <w:sz w:val="20"/>
                <w:szCs w:val="20"/>
              </w:rPr>
              <w:t>分，扣完为止。</w:t>
            </w:r>
            <w:r>
              <w:rPr>
                <w:rStyle w:val="8"/>
                <w:sz w:val="20"/>
                <w:szCs w:val="20"/>
              </w:rPr>
              <w:br w:type="textWrapping"/>
            </w:r>
            <w:r>
              <w:rPr>
                <w:rStyle w:val="9"/>
                <w:rFonts w:hint="default" w:ascii="Times New Roman" w:hAnsi="Times New Roman" w:cs="Times New Roman"/>
                <w:color w:val="auto"/>
                <w:sz w:val="20"/>
                <w:szCs w:val="20"/>
              </w:rPr>
              <w:t>聘用人员实际使用数小于等于编办人社部门批复数，计</w:t>
            </w:r>
            <w:r>
              <w:rPr>
                <w:rStyle w:val="10"/>
                <w:color w:val="auto"/>
                <w:sz w:val="20"/>
                <w:szCs w:val="20"/>
              </w:rPr>
              <w:t>2</w:t>
            </w:r>
            <w:r>
              <w:rPr>
                <w:rStyle w:val="9"/>
                <w:rFonts w:hint="default" w:ascii="Times New Roman" w:hAnsi="Times New Roman" w:cs="Times New Roman"/>
                <w:color w:val="auto"/>
                <w:sz w:val="20"/>
                <w:szCs w:val="20"/>
              </w:rPr>
              <w:t>分，否则不得分。</w:t>
            </w:r>
          </w:p>
        </w:tc>
        <w:tc>
          <w:tcPr>
            <w:tcW w:w="477" w:type="pct"/>
            <w:tcMar>
              <w:top w:w="15" w:type="dxa"/>
              <w:left w:w="15" w:type="dxa"/>
              <w:right w:w="15" w:type="dxa"/>
            </w:tcMar>
            <w:vAlign w:val="center"/>
          </w:tcPr>
          <w:p>
            <w:pPr>
              <w:widowControl/>
              <w:spacing w:line="27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过程</w:t>
            </w:r>
            <w:r>
              <w:rPr>
                <w:rStyle w:val="8"/>
                <w:sz w:val="20"/>
                <w:szCs w:val="20"/>
              </w:rPr>
              <w:br w:type="textWrapping"/>
            </w:r>
            <w:r>
              <w:rPr>
                <w:rStyle w:val="7"/>
                <w:rFonts w:hint="default" w:ascii="Times New Roman" w:hAnsi="Times New Roman" w:cs="Times New Roman"/>
                <w:sz w:val="20"/>
                <w:szCs w:val="20"/>
              </w:rPr>
              <w:t>（</w:t>
            </w:r>
            <w:r>
              <w:rPr>
                <w:rStyle w:val="8"/>
                <w:sz w:val="20"/>
                <w:szCs w:val="20"/>
              </w:rPr>
              <w:t>40</w:t>
            </w:r>
            <w:r>
              <w:rPr>
                <w:rStyle w:val="7"/>
                <w:rFonts w:hint="default" w:ascii="Times New Roman" w:hAnsi="Times New Roman" w:cs="Times New Roman"/>
                <w:sz w:val="20"/>
                <w:szCs w:val="20"/>
              </w:rPr>
              <w:t>分）</w:t>
            </w:r>
          </w:p>
        </w:tc>
        <w:tc>
          <w:tcPr>
            <w:tcW w:w="373"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预算</w:t>
            </w:r>
            <w:r>
              <w:rPr>
                <w:color w:val="000000"/>
                <w:kern w:val="0"/>
                <w:sz w:val="20"/>
                <w:szCs w:val="20"/>
              </w:rPr>
              <w:br w:type="textWrapping"/>
            </w:r>
            <w:r>
              <w:rPr>
                <w:color w:val="000000"/>
                <w:kern w:val="0"/>
                <w:sz w:val="20"/>
                <w:szCs w:val="20"/>
              </w:rPr>
              <w:t>执行</w:t>
            </w:r>
            <w:r>
              <w:rPr>
                <w:color w:val="000000"/>
                <w:kern w:val="0"/>
                <w:sz w:val="20"/>
                <w:szCs w:val="20"/>
              </w:rPr>
              <w:br w:type="textWrapping"/>
            </w:r>
            <w:r>
              <w:rPr>
                <w:color w:val="000000"/>
                <w:kern w:val="0"/>
                <w:sz w:val="20"/>
                <w:szCs w:val="20"/>
              </w:rPr>
              <w:t>（15分）</w:t>
            </w:r>
          </w:p>
        </w:tc>
        <w:tc>
          <w:tcPr>
            <w:tcW w:w="420" w:type="pct"/>
            <w:tcMar>
              <w:top w:w="15" w:type="dxa"/>
              <w:left w:w="15" w:type="dxa"/>
              <w:right w:w="15" w:type="dxa"/>
            </w:tcMar>
            <w:vAlign w:val="center"/>
          </w:tcPr>
          <w:p>
            <w:pPr>
              <w:widowControl/>
              <w:spacing w:line="27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预算</w:t>
            </w:r>
          </w:p>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执行率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6</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7"/>
                <w:rFonts w:hint="default" w:ascii="Times New Roman" w:hAnsi="Times New Roman" w:cs="Times New Roman"/>
                <w:sz w:val="20"/>
                <w:szCs w:val="20"/>
              </w:rPr>
              <w:t>①预算完成率</w:t>
            </w:r>
            <w:r>
              <w:rPr>
                <w:rStyle w:val="8"/>
                <w:sz w:val="20"/>
                <w:szCs w:val="20"/>
              </w:rPr>
              <w:t>=</w:t>
            </w:r>
            <w:r>
              <w:rPr>
                <w:rStyle w:val="7"/>
                <w:rFonts w:hint="default" w:ascii="Times New Roman" w:hAnsi="Times New Roman" w:cs="Times New Roman"/>
                <w:sz w:val="20"/>
                <w:szCs w:val="20"/>
              </w:rPr>
              <w:t>（预算完成数</w:t>
            </w:r>
            <w:r>
              <w:rPr>
                <w:rStyle w:val="8"/>
                <w:sz w:val="20"/>
                <w:szCs w:val="20"/>
              </w:rPr>
              <w:t>/</w:t>
            </w:r>
            <w:r>
              <w:rPr>
                <w:rStyle w:val="7"/>
                <w:rFonts w:hint="default" w:ascii="Times New Roman" w:hAnsi="Times New Roman" w:cs="Times New Roman"/>
                <w:sz w:val="20"/>
                <w:szCs w:val="20"/>
              </w:rPr>
              <w:t>预算数）</w:t>
            </w:r>
            <w:r>
              <w:rPr>
                <w:rStyle w:val="8"/>
                <w:sz w:val="20"/>
                <w:szCs w:val="20"/>
              </w:rPr>
              <w:t>×100%</w:t>
            </w:r>
            <w:r>
              <w:rPr>
                <w:rStyle w:val="7"/>
                <w:rFonts w:hint="default" w:ascii="Times New Roman" w:hAnsi="Times New Roman" w:cs="Times New Roman"/>
                <w:sz w:val="20"/>
                <w:szCs w:val="20"/>
              </w:rPr>
              <w:t>。</w:t>
            </w:r>
            <w:r>
              <w:rPr>
                <w:rStyle w:val="8"/>
                <w:sz w:val="20"/>
                <w:szCs w:val="20"/>
              </w:rPr>
              <w:br w:type="textWrapping"/>
            </w:r>
            <w:r>
              <w:rPr>
                <w:rStyle w:val="7"/>
                <w:rFonts w:hint="default" w:ascii="Times New Roman" w:hAnsi="Times New Roman" w:cs="Times New Roman"/>
                <w:sz w:val="20"/>
                <w:szCs w:val="20"/>
              </w:rPr>
              <w:t>预算完成数：部门（单位）本年度实际完成的预算数。</w:t>
            </w:r>
            <w:r>
              <w:rPr>
                <w:rStyle w:val="8"/>
                <w:sz w:val="20"/>
                <w:szCs w:val="20"/>
              </w:rPr>
              <w:br w:type="textWrapping"/>
            </w:r>
            <w:r>
              <w:rPr>
                <w:rStyle w:val="7"/>
                <w:rFonts w:hint="default" w:ascii="Times New Roman" w:hAnsi="Times New Roman" w:cs="Times New Roman"/>
                <w:sz w:val="20"/>
                <w:szCs w:val="20"/>
              </w:rPr>
              <w:t>预算数：财政部门批复的本年度部门（单位）预算数及追加的项目预算数。</w:t>
            </w:r>
            <w:r>
              <w:rPr>
                <w:rStyle w:val="8"/>
                <w:sz w:val="20"/>
                <w:szCs w:val="20"/>
              </w:rPr>
              <w:br w:type="textWrapping"/>
            </w:r>
            <w:r>
              <w:rPr>
                <w:rStyle w:val="7"/>
                <w:rFonts w:hint="default" w:ascii="Times New Roman" w:hAnsi="Times New Roman" w:cs="Times New Roman"/>
                <w:sz w:val="20"/>
                <w:szCs w:val="20"/>
              </w:rPr>
              <w:t>②支付序时进度</w:t>
            </w:r>
            <w:r>
              <w:rPr>
                <w:rStyle w:val="8"/>
                <w:sz w:val="20"/>
                <w:szCs w:val="20"/>
              </w:rPr>
              <w:t>=</w:t>
            </w:r>
            <w:r>
              <w:rPr>
                <w:rStyle w:val="7"/>
                <w:rFonts w:hint="default" w:ascii="Times New Roman" w:hAnsi="Times New Roman" w:cs="Times New Roman"/>
                <w:sz w:val="20"/>
                <w:szCs w:val="20"/>
              </w:rPr>
              <w:t>（序时执行数</w:t>
            </w:r>
            <w:r>
              <w:rPr>
                <w:rStyle w:val="8"/>
                <w:sz w:val="20"/>
                <w:szCs w:val="20"/>
              </w:rPr>
              <w:t>/</w:t>
            </w:r>
            <w:r>
              <w:rPr>
                <w:rStyle w:val="7"/>
                <w:rFonts w:hint="default" w:ascii="Times New Roman" w:hAnsi="Times New Roman" w:cs="Times New Roman"/>
                <w:sz w:val="20"/>
                <w:szCs w:val="20"/>
              </w:rPr>
              <w:t>序时指标下达数）</w:t>
            </w:r>
            <w:r>
              <w:rPr>
                <w:rStyle w:val="8"/>
                <w:sz w:val="20"/>
                <w:szCs w:val="20"/>
              </w:rPr>
              <w:t>×100%</w:t>
            </w:r>
            <w:r>
              <w:rPr>
                <w:rStyle w:val="7"/>
                <w:rFonts w:hint="default" w:ascii="Times New Roman" w:hAnsi="Times New Roman" w:cs="Times New Roman"/>
                <w:sz w:val="20"/>
                <w:szCs w:val="20"/>
              </w:rPr>
              <w:t>。</w:t>
            </w:r>
            <w:r>
              <w:rPr>
                <w:rStyle w:val="8"/>
                <w:sz w:val="20"/>
                <w:szCs w:val="20"/>
              </w:rPr>
              <w:br w:type="textWrapping"/>
            </w:r>
            <w:r>
              <w:rPr>
                <w:rStyle w:val="7"/>
                <w:rFonts w:hint="default" w:ascii="Times New Roman" w:hAnsi="Times New Roman" w:cs="Times New Roman"/>
                <w:sz w:val="20"/>
                <w:szCs w:val="20"/>
              </w:rPr>
              <w:t>序时执行数：指按时间节点部门预算项目实际支出数。序时指标下达数：按时间节点给部门预算下达的项目支出和追加的项目支出指标数之和。</w:t>
            </w:r>
            <w:r>
              <w:rPr>
                <w:rStyle w:val="8"/>
                <w:sz w:val="20"/>
                <w:szCs w:val="20"/>
              </w:rPr>
              <w:br w:type="textWrapping"/>
            </w:r>
            <w:r>
              <w:rPr>
                <w:rStyle w:val="7"/>
                <w:rFonts w:hint="default" w:ascii="Times New Roman" w:hAnsi="Times New Roman" w:cs="Times New Roman"/>
                <w:sz w:val="20"/>
                <w:szCs w:val="20"/>
              </w:rPr>
              <w:t>③部门预算项目支出调剂到区县。</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7"/>
                <w:rFonts w:hint="default" w:ascii="Times New Roman" w:hAnsi="Times New Roman" w:cs="Times New Roman"/>
                <w:sz w:val="20"/>
                <w:szCs w:val="20"/>
              </w:rPr>
              <w:t>①全年预算完成率</w:t>
            </w:r>
            <w:r>
              <w:rPr>
                <w:rStyle w:val="8"/>
                <w:sz w:val="20"/>
                <w:szCs w:val="20"/>
              </w:rPr>
              <w:t>95%</w:t>
            </w:r>
            <w:r>
              <w:rPr>
                <w:rStyle w:val="7"/>
                <w:rFonts w:hint="default" w:ascii="Times New Roman" w:hAnsi="Times New Roman" w:cs="Times New Roman"/>
                <w:sz w:val="20"/>
                <w:szCs w:val="20"/>
              </w:rPr>
              <w:t>以上计</w:t>
            </w:r>
            <w:r>
              <w:rPr>
                <w:rStyle w:val="8"/>
                <w:sz w:val="20"/>
                <w:szCs w:val="20"/>
              </w:rPr>
              <w:t>2</w:t>
            </w:r>
            <w:r>
              <w:rPr>
                <w:rStyle w:val="7"/>
                <w:rFonts w:hint="default" w:ascii="Times New Roman" w:hAnsi="Times New Roman" w:cs="Times New Roman"/>
                <w:sz w:val="20"/>
                <w:szCs w:val="20"/>
              </w:rPr>
              <w:t>分，</w:t>
            </w:r>
            <w:r>
              <w:rPr>
                <w:rStyle w:val="8"/>
                <w:sz w:val="20"/>
                <w:szCs w:val="20"/>
              </w:rPr>
              <w:t>95-90%</w:t>
            </w:r>
            <w:r>
              <w:rPr>
                <w:rStyle w:val="7"/>
                <w:rFonts w:hint="default" w:ascii="Times New Roman" w:hAnsi="Times New Roman" w:cs="Times New Roman"/>
                <w:sz w:val="20"/>
                <w:szCs w:val="20"/>
              </w:rPr>
              <w:t>（含），计</w:t>
            </w:r>
            <w:r>
              <w:rPr>
                <w:rStyle w:val="8"/>
                <w:sz w:val="20"/>
                <w:szCs w:val="20"/>
              </w:rPr>
              <w:t>1.5</w:t>
            </w:r>
            <w:r>
              <w:rPr>
                <w:rStyle w:val="7"/>
                <w:rFonts w:hint="default" w:ascii="Times New Roman" w:hAnsi="Times New Roman" w:cs="Times New Roman"/>
                <w:sz w:val="20"/>
                <w:szCs w:val="20"/>
              </w:rPr>
              <w:t>分，</w:t>
            </w:r>
            <w:r>
              <w:rPr>
                <w:rStyle w:val="8"/>
                <w:sz w:val="20"/>
                <w:szCs w:val="20"/>
              </w:rPr>
              <w:t>90-80%</w:t>
            </w:r>
            <w:r>
              <w:rPr>
                <w:rStyle w:val="7"/>
                <w:rFonts w:hint="default" w:ascii="Times New Roman" w:hAnsi="Times New Roman" w:cs="Times New Roman"/>
                <w:sz w:val="20"/>
                <w:szCs w:val="20"/>
              </w:rPr>
              <w:t>（含），计</w:t>
            </w:r>
            <w:r>
              <w:rPr>
                <w:rStyle w:val="8"/>
                <w:sz w:val="20"/>
                <w:szCs w:val="20"/>
              </w:rPr>
              <w:t>1</w:t>
            </w:r>
            <w:r>
              <w:rPr>
                <w:rStyle w:val="7"/>
                <w:rFonts w:hint="default" w:ascii="Times New Roman" w:hAnsi="Times New Roman" w:cs="Times New Roman"/>
                <w:sz w:val="20"/>
                <w:szCs w:val="20"/>
              </w:rPr>
              <w:t>分，小于</w:t>
            </w:r>
            <w:r>
              <w:rPr>
                <w:rStyle w:val="8"/>
                <w:sz w:val="20"/>
                <w:szCs w:val="20"/>
              </w:rPr>
              <w:t>80%</w:t>
            </w:r>
            <w:r>
              <w:rPr>
                <w:rStyle w:val="7"/>
                <w:rFonts w:hint="default" w:ascii="Times New Roman" w:hAnsi="Times New Roman" w:cs="Times New Roman"/>
                <w:sz w:val="20"/>
                <w:szCs w:val="20"/>
              </w:rPr>
              <w:t>不得分；</w:t>
            </w:r>
            <w:r>
              <w:rPr>
                <w:rStyle w:val="8"/>
                <w:sz w:val="20"/>
                <w:szCs w:val="20"/>
              </w:rPr>
              <w:br w:type="textWrapping"/>
            </w:r>
            <w:r>
              <w:rPr>
                <w:rStyle w:val="7"/>
                <w:rFonts w:hint="default" w:ascii="Times New Roman" w:hAnsi="Times New Roman" w:cs="Times New Roman"/>
                <w:sz w:val="20"/>
                <w:szCs w:val="20"/>
              </w:rPr>
              <w:t>②一、二、三季度末支付序时进度分别达到</w:t>
            </w:r>
            <w:r>
              <w:rPr>
                <w:rStyle w:val="8"/>
                <w:sz w:val="20"/>
                <w:szCs w:val="20"/>
              </w:rPr>
              <w:t>20%</w:t>
            </w:r>
            <w:r>
              <w:rPr>
                <w:rStyle w:val="7"/>
                <w:rFonts w:hint="default" w:ascii="Times New Roman" w:hAnsi="Times New Roman" w:cs="Times New Roman"/>
                <w:sz w:val="20"/>
                <w:szCs w:val="20"/>
              </w:rPr>
              <w:t>、</w:t>
            </w:r>
            <w:r>
              <w:rPr>
                <w:rStyle w:val="8"/>
                <w:sz w:val="20"/>
                <w:szCs w:val="20"/>
              </w:rPr>
              <w:t>50%</w:t>
            </w:r>
            <w:r>
              <w:rPr>
                <w:rStyle w:val="7"/>
                <w:rFonts w:hint="default" w:ascii="Times New Roman" w:hAnsi="Times New Roman" w:cs="Times New Roman"/>
                <w:sz w:val="20"/>
                <w:szCs w:val="20"/>
              </w:rPr>
              <w:t>、</w:t>
            </w:r>
            <w:r>
              <w:rPr>
                <w:rStyle w:val="8"/>
                <w:sz w:val="20"/>
                <w:szCs w:val="20"/>
              </w:rPr>
              <w:t>80%</w:t>
            </w:r>
            <w:r>
              <w:rPr>
                <w:rStyle w:val="7"/>
                <w:rFonts w:hint="default" w:ascii="Times New Roman" w:hAnsi="Times New Roman" w:cs="Times New Roman"/>
                <w:sz w:val="20"/>
                <w:szCs w:val="20"/>
              </w:rPr>
              <w:t>（含）以上计</w:t>
            </w:r>
            <w:r>
              <w:rPr>
                <w:rStyle w:val="8"/>
                <w:sz w:val="20"/>
                <w:szCs w:val="20"/>
              </w:rPr>
              <w:t>2</w:t>
            </w:r>
            <w:r>
              <w:rPr>
                <w:rStyle w:val="7"/>
                <w:rFonts w:hint="default" w:ascii="Times New Roman" w:hAnsi="Times New Roman" w:cs="Times New Roman"/>
                <w:sz w:val="20"/>
                <w:szCs w:val="20"/>
              </w:rPr>
              <w:t>分，每低</w:t>
            </w:r>
            <w:r>
              <w:rPr>
                <w:rStyle w:val="8"/>
                <w:sz w:val="20"/>
                <w:szCs w:val="20"/>
              </w:rPr>
              <w:t>1</w:t>
            </w:r>
            <w:r>
              <w:rPr>
                <w:rStyle w:val="7"/>
                <w:rFonts w:hint="default" w:ascii="Times New Roman" w:hAnsi="Times New Roman" w:cs="Times New Roman"/>
                <w:sz w:val="20"/>
                <w:szCs w:val="20"/>
              </w:rPr>
              <w:t>个百分点扣</w:t>
            </w:r>
            <w:r>
              <w:rPr>
                <w:rStyle w:val="8"/>
                <w:sz w:val="20"/>
                <w:szCs w:val="20"/>
              </w:rPr>
              <w:t>0.2</w:t>
            </w:r>
            <w:r>
              <w:rPr>
                <w:rStyle w:val="7"/>
                <w:rFonts w:hint="default" w:ascii="Times New Roman" w:hAnsi="Times New Roman" w:cs="Times New Roman"/>
                <w:sz w:val="20"/>
                <w:szCs w:val="20"/>
              </w:rPr>
              <w:t>分，扣完为止。</w:t>
            </w:r>
            <w:r>
              <w:rPr>
                <w:rStyle w:val="8"/>
                <w:sz w:val="20"/>
                <w:szCs w:val="20"/>
              </w:rPr>
              <w:br w:type="textWrapping"/>
            </w:r>
            <w:r>
              <w:rPr>
                <w:rStyle w:val="7"/>
                <w:rFonts w:hint="default" w:ascii="Times New Roman" w:hAnsi="Times New Roman" w:cs="Times New Roman"/>
                <w:sz w:val="20"/>
                <w:szCs w:val="20"/>
              </w:rPr>
              <w:t>③部门预算项目支出调剂到区县小于等于项目支出</w:t>
            </w:r>
            <w:r>
              <w:rPr>
                <w:rStyle w:val="8"/>
                <w:sz w:val="20"/>
                <w:szCs w:val="20"/>
              </w:rPr>
              <w:t>2%</w:t>
            </w:r>
            <w:r>
              <w:rPr>
                <w:rStyle w:val="7"/>
                <w:rFonts w:hint="default" w:ascii="Times New Roman" w:hAnsi="Times New Roman" w:cs="Times New Roman"/>
                <w:sz w:val="20"/>
                <w:szCs w:val="20"/>
              </w:rPr>
              <w:t>，计</w:t>
            </w:r>
            <w:r>
              <w:rPr>
                <w:rStyle w:val="8"/>
                <w:sz w:val="20"/>
                <w:szCs w:val="20"/>
              </w:rPr>
              <w:t>2</w:t>
            </w:r>
            <w:r>
              <w:rPr>
                <w:rStyle w:val="7"/>
                <w:rFonts w:hint="default" w:ascii="Times New Roman" w:hAnsi="Times New Roman" w:cs="Times New Roman"/>
                <w:sz w:val="20"/>
                <w:szCs w:val="20"/>
              </w:rPr>
              <w:t>分；大于</w:t>
            </w:r>
            <w:r>
              <w:rPr>
                <w:rStyle w:val="8"/>
                <w:sz w:val="20"/>
                <w:szCs w:val="20"/>
              </w:rPr>
              <w:t>2%</w:t>
            </w:r>
            <w:r>
              <w:rPr>
                <w:rStyle w:val="7"/>
                <w:rFonts w:hint="default" w:ascii="Times New Roman" w:hAnsi="Times New Roman" w:cs="Times New Roman"/>
                <w:sz w:val="20"/>
                <w:szCs w:val="20"/>
              </w:rPr>
              <w:t>，不计分；</w:t>
            </w:r>
          </w:p>
        </w:tc>
        <w:tc>
          <w:tcPr>
            <w:tcW w:w="477" w:type="pct"/>
            <w:tcMar>
              <w:top w:w="15" w:type="dxa"/>
              <w:left w:w="15" w:type="dxa"/>
              <w:right w:w="15" w:type="dxa"/>
            </w:tcMar>
            <w:vAlign w:val="center"/>
          </w:tcPr>
          <w:p>
            <w:pPr>
              <w:widowControl/>
              <w:spacing w:line="27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tcMar>
              <w:top w:w="15" w:type="dxa"/>
              <w:left w:w="15" w:type="dxa"/>
              <w:right w:w="15" w:type="dxa"/>
            </w:tcMar>
            <w:vAlign w:val="center"/>
          </w:tcPr>
          <w:p>
            <w:pPr>
              <w:spacing w:line="260" w:lineRule="exact"/>
              <w:jc w:val="center"/>
              <w:rPr>
                <w:color w:val="000000"/>
                <w:sz w:val="20"/>
                <w:szCs w:val="20"/>
              </w:rPr>
            </w:pPr>
            <w:r>
              <w:rPr>
                <w:rStyle w:val="7"/>
                <w:rFonts w:hint="default" w:ascii="Times New Roman" w:hAnsi="Times New Roman" w:cs="Times New Roman"/>
                <w:sz w:val="20"/>
                <w:szCs w:val="20"/>
              </w:rPr>
              <w:t>过程</w:t>
            </w:r>
            <w:r>
              <w:rPr>
                <w:rStyle w:val="8"/>
                <w:sz w:val="20"/>
                <w:szCs w:val="20"/>
              </w:rPr>
              <w:br w:type="textWrapping"/>
            </w:r>
            <w:r>
              <w:rPr>
                <w:rStyle w:val="7"/>
                <w:rFonts w:hint="default" w:ascii="Times New Roman" w:hAnsi="Times New Roman" w:cs="Times New Roman"/>
                <w:sz w:val="20"/>
                <w:szCs w:val="20"/>
              </w:rPr>
              <w:t>（</w:t>
            </w:r>
            <w:r>
              <w:rPr>
                <w:rStyle w:val="8"/>
                <w:sz w:val="20"/>
                <w:szCs w:val="20"/>
              </w:rPr>
              <w:t>40</w:t>
            </w:r>
            <w:r>
              <w:rPr>
                <w:rStyle w:val="7"/>
                <w:rFonts w:hint="default" w:ascii="Times New Roman" w:hAnsi="Times New Roman" w:cs="Times New Roman"/>
                <w:sz w:val="20"/>
                <w:szCs w:val="20"/>
              </w:rPr>
              <w:t>分）</w:t>
            </w: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预算</w:t>
            </w:r>
            <w:r>
              <w:rPr>
                <w:color w:val="000000"/>
                <w:kern w:val="0"/>
                <w:sz w:val="20"/>
                <w:szCs w:val="20"/>
              </w:rPr>
              <w:br w:type="textWrapping"/>
            </w:r>
            <w:r>
              <w:rPr>
                <w:color w:val="000000"/>
                <w:kern w:val="0"/>
                <w:sz w:val="20"/>
                <w:szCs w:val="20"/>
              </w:rPr>
              <w:t>执行</w:t>
            </w:r>
            <w:r>
              <w:rPr>
                <w:color w:val="000000"/>
                <w:kern w:val="0"/>
                <w:sz w:val="20"/>
                <w:szCs w:val="20"/>
              </w:rPr>
              <w:br w:type="textWrapping"/>
            </w:r>
            <w:r>
              <w:rPr>
                <w:color w:val="000000"/>
                <w:kern w:val="0"/>
                <w:sz w:val="20"/>
                <w:szCs w:val="20"/>
              </w:rPr>
              <w:t>（15分）</w:t>
            </w:r>
          </w:p>
        </w:tc>
        <w:tc>
          <w:tcPr>
            <w:tcW w:w="420" w:type="pct"/>
            <w:tcMar>
              <w:top w:w="15" w:type="dxa"/>
              <w:left w:w="15" w:type="dxa"/>
              <w:right w:w="15" w:type="dxa"/>
            </w:tcMar>
            <w:vAlign w:val="center"/>
          </w:tcPr>
          <w:p>
            <w:pPr>
              <w:widowControl/>
              <w:spacing w:line="26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预算</w:t>
            </w:r>
          </w:p>
          <w:p>
            <w:pPr>
              <w:widowControl/>
              <w:spacing w:line="260" w:lineRule="exact"/>
              <w:jc w:val="center"/>
              <w:textAlignment w:val="center"/>
              <w:rPr>
                <w:color w:val="000000"/>
                <w:sz w:val="20"/>
                <w:szCs w:val="20"/>
              </w:rPr>
            </w:pPr>
            <w:r>
              <w:rPr>
                <w:rStyle w:val="7"/>
                <w:rFonts w:hint="default" w:ascii="Times New Roman" w:hAnsi="Times New Roman" w:cs="Times New Roman"/>
                <w:sz w:val="20"/>
                <w:szCs w:val="20"/>
              </w:rPr>
              <w:t>调整率</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7"/>
                <w:rFonts w:hint="default" w:ascii="Times New Roman" w:hAnsi="Times New Roman" w:cs="Times New Roman"/>
                <w:sz w:val="20"/>
                <w:szCs w:val="20"/>
              </w:rPr>
              <w:t>预算调整率</w:t>
            </w:r>
            <w:r>
              <w:rPr>
                <w:rStyle w:val="8"/>
                <w:sz w:val="20"/>
                <w:szCs w:val="20"/>
              </w:rPr>
              <w:t>=</w:t>
            </w:r>
            <w:r>
              <w:rPr>
                <w:rStyle w:val="7"/>
                <w:rFonts w:hint="default" w:ascii="Times New Roman" w:hAnsi="Times New Roman" w:cs="Times New Roman"/>
                <w:sz w:val="20"/>
                <w:szCs w:val="20"/>
              </w:rPr>
              <w:t>（预算调整数</w:t>
            </w:r>
            <w:r>
              <w:rPr>
                <w:rStyle w:val="8"/>
                <w:sz w:val="20"/>
                <w:szCs w:val="20"/>
              </w:rPr>
              <w:t>/</w:t>
            </w:r>
            <w:r>
              <w:rPr>
                <w:rStyle w:val="7"/>
                <w:rFonts w:hint="default" w:ascii="Times New Roman" w:hAnsi="Times New Roman" w:cs="Times New Roman"/>
                <w:sz w:val="20"/>
                <w:szCs w:val="20"/>
              </w:rPr>
              <w:t>预算数）</w:t>
            </w:r>
            <w:r>
              <w:rPr>
                <w:rStyle w:val="8"/>
                <w:sz w:val="20"/>
                <w:szCs w:val="20"/>
              </w:rPr>
              <w:t>×100%</w:t>
            </w:r>
            <w:r>
              <w:rPr>
                <w:rStyle w:val="7"/>
                <w:rFonts w:hint="default" w:ascii="Times New Roman" w:hAnsi="Times New Roman" w:cs="Times New Roman"/>
                <w:sz w:val="20"/>
                <w:szCs w:val="20"/>
              </w:rPr>
              <w:t>。</w:t>
            </w:r>
            <w:r>
              <w:rPr>
                <w:rStyle w:val="8"/>
                <w:sz w:val="20"/>
                <w:szCs w:val="20"/>
              </w:rPr>
              <w:br w:type="textWrapping"/>
            </w:r>
            <w:r>
              <w:rPr>
                <w:rStyle w:val="7"/>
                <w:rFonts w:hint="default" w:ascii="Times New Roman" w:hAnsi="Times New Roman" w:cs="Times New Roman"/>
                <w:sz w:val="20"/>
                <w:szCs w:val="20"/>
              </w:rPr>
              <w:t>预算调整数：部门（单位）在本年度内涉及预算的追加、追减或结构调整的资金总和（因落实国家政策、发生不可抗力，市委、市政府临时交办而产生的调整及经济科目非跨类调整除外）。</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7"/>
                <w:rFonts w:hint="default" w:ascii="Times New Roman" w:hAnsi="Times New Roman" w:cs="Times New Roman"/>
                <w:sz w:val="20"/>
                <w:szCs w:val="20"/>
              </w:rPr>
              <w:t>预算调整率</w:t>
            </w:r>
            <w:r>
              <w:rPr>
                <w:rStyle w:val="8"/>
                <w:sz w:val="20"/>
                <w:szCs w:val="20"/>
              </w:rPr>
              <w:t>&lt;5%</w:t>
            </w:r>
            <w:r>
              <w:rPr>
                <w:rStyle w:val="7"/>
                <w:rFonts w:hint="default" w:ascii="Times New Roman" w:hAnsi="Times New Roman" w:cs="Times New Roman"/>
                <w:sz w:val="20"/>
                <w:szCs w:val="20"/>
              </w:rPr>
              <w:t>，计</w:t>
            </w:r>
            <w:r>
              <w:rPr>
                <w:rStyle w:val="8"/>
                <w:sz w:val="20"/>
                <w:szCs w:val="20"/>
              </w:rPr>
              <w:t>3</w:t>
            </w:r>
            <w:r>
              <w:rPr>
                <w:rStyle w:val="7"/>
                <w:rFonts w:hint="default" w:ascii="Times New Roman" w:hAnsi="Times New Roman" w:cs="Times New Roman"/>
                <w:sz w:val="20"/>
                <w:szCs w:val="20"/>
              </w:rPr>
              <w:t>分；</w:t>
            </w:r>
            <w:r>
              <w:rPr>
                <w:rStyle w:val="8"/>
                <w:sz w:val="20"/>
                <w:szCs w:val="20"/>
              </w:rPr>
              <w:t>5-10%</w:t>
            </w:r>
            <w:r>
              <w:rPr>
                <w:rStyle w:val="7"/>
                <w:rFonts w:hint="default" w:ascii="Times New Roman" w:hAnsi="Times New Roman" w:cs="Times New Roman"/>
                <w:sz w:val="20"/>
                <w:szCs w:val="20"/>
              </w:rPr>
              <w:t>（含），计</w:t>
            </w:r>
            <w:r>
              <w:rPr>
                <w:rStyle w:val="8"/>
                <w:sz w:val="20"/>
                <w:szCs w:val="20"/>
              </w:rPr>
              <w:t>1.5</w:t>
            </w:r>
            <w:r>
              <w:rPr>
                <w:rStyle w:val="7"/>
                <w:rFonts w:hint="default" w:ascii="Times New Roman" w:hAnsi="Times New Roman" w:cs="Times New Roman"/>
                <w:sz w:val="20"/>
                <w:szCs w:val="20"/>
              </w:rPr>
              <w:t>分；大于</w:t>
            </w:r>
            <w:r>
              <w:rPr>
                <w:rStyle w:val="8"/>
                <w:sz w:val="20"/>
                <w:szCs w:val="20"/>
              </w:rPr>
              <w:t>10%</w:t>
            </w:r>
            <w:r>
              <w:rPr>
                <w:rStyle w:val="7"/>
                <w:rFonts w:hint="default" w:ascii="Times New Roman" w:hAnsi="Times New Roman" w:cs="Times New Roman"/>
                <w:sz w:val="20"/>
                <w:szCs w:val="20"/>
              </w:rPr>
              <w:t>不得分。</w:t>
            </w:r>
          </w:p>
        </w:tc>
        <w:tc>
          <w:tcPr>
            <w:tcW w:w="477" w:type="pct"/>
            <w:tcMar>
              <w:top w:w="15" w:type="dxa"/>
              <w:left w:w="15" w:type="dxa"/>
              <w:right w:w="15" w:type="dxa"/>
            </w:tcMar>
            <w:vAlign w:val="center"/>
          </w:tcPr>
          <w:p>
            <w:pPr>
              <w:widowControl/>
              <w:spacing w:line="26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结转结余</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color w:val="000000"/>
                <w:kern w:val="0"/>
                <w:sz w:val="20"/>
                <w:szCs w:val="20"/>
              </w:rPr>
              <w:t>根据市政府文件规定，预算单位年度安排的市级预算资金不能结转。</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color w:val="000000"/>
                <w:kern w:val="0"/>
                <w:sz w:val="20"/>
                <w:szCs w:val="20"/>
              </w:rPr>
              <w:t>市本级资金无结转，计2分；有结转，不计分；</w:t>
            </w:r>
          </w:p>
        </w:tc>
        <w:tc>
          <w:tcPr>
            <w:tcW w:w="477" w:type="pct"/>
            <w:tcMar>
              <w:top w:w="15" w:type="dxa"/>
              <w:left w:w="15" w:type="dxa"/>
              <w:right w:w="15" w:type="dxa"/>
            </w:tcMar>
            <w:vAlign w:val="center"/>
          </w:tcPr>
          <w:p>
            <w:pPr>
              <w:widowControl/>
              <w:spacing w:line="260" w:lineRule="exact"/>
              <w:jc w:val="center"/>
              <w:textAlignment w:val="center"/>
              <w:rPr>
                <w:color w:val="000000"/>
                <w:kern w:val="0"/>
                <w:sz w:val="20"/>
                <w:szCs w:val="20"/>
              </w:rPr>
            </w:pPr>
            <w:r>
              <w:rPr>
                <w:rFonts w:hint="eastAsia"/>
                <w:color w:val="000000"/>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373"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rStyle w:val="7"/>
                <w:rFonts w:hint="default" w:ascii="Times New Roman" w:hAnsi="Times New Roman" w:cs="Times New Roman"/>
                <w:sz w:val="20"/>
                <w:szCs w:val="20"/>
              </w:rPr>
            </w:pPr>
            <w:r>
              <w:rPr>
                <w:rStyle w:val="8"/>
                <w:sz w:val="20"/>
                <w:szCs w:val="20"/>
              </w:rPr>
              <w:t>“</w:t>
            </w:r>
            <w:r>
              <w:rPr>
                <w:rStyle w:val="7"/>
                <w:rFonts w:hint="default" w:ascii="Times New Roman" w:hAnsi="Times New Roman" w:cs="Times New Roman"/>
                <w:sz w:val="20"/>
                <w:szCs w:val="20"/>
              </w:rPr>
              <w:t>三公</w:t>
            </w:r>
          </w:p>
          <w:p>
            <w:pPr>
              <w:widowControl/>
              <w:spacing w:line="260" w:lineRule="exact"/>
              <w:jc w:val="center"/>
              <w:textAlignment w:val="center"/>
              <w:rPr>
                <w:rStyle w:val="8"/>
                <w:sz w:val="20"/>
                <w:szCs w:val="20"/>
              </w:rPr>
            </w:pPr>
            <w:r>
              <w:rPr>
                <w:rStyle w:val="7"/>
                <w:rFonts w:hint="default" w:ascii="Times New Roman" w:hAnsi="Times New Roman" w:cs="Times New Roman"/>
                <w:sz w:val="20"/>
                <w:szCs w:val="20"/>
              </w:rPr>
              <w:t>经费</w:t>
            </w:r>
            <w:r>
              <w:rPr>
                <w:rStyle w:val="8"/>
                <w:sz w:val="20"/>
                <w:szCs w:val="20"/>
              </w:rPr>
              <w:t>”</w:t>
            </w:r>
          </w:p>
          <w:p>
            <w:pPr>
              <w:widowControl/>
              <w:spacing w:line="260" w:lineRule="exact"/>
              <w:jc w:val="center"/>
              <w:textAlignment w:val="center"/>
              <w:rPr>
                <w:color w:val="000000"/>
                <w:sz w:val="20"/>
                <w:szCs w:val="20"/>
              </w:rPr>
            </w:pPr>
            <w:r>
              <w:rPr>
                <w:rStyle w:val="7"/>
                <w:rFonts w:hint="default" w:ascii="Times New Roman" w:hAnsi="Times New Roman" w:cs="Times New Roman"/>
                <w:sz w:val="20"/>
                <w:szCs w:val="20"/>
              </w:rPr>
              <w:t>控制率</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8"/>
                <w:sz w:val="20"/>
                <w:szCs w:val="20"/>
              </w:rPr>
              <w:t>“</w:t>
            </w:r>
            <w:r>
              <w:rPr>
                <w:rStyle w:val="7"/>
                <w:rFonts w:hint="default" w:ascii="Times New Roman" w:hAnsi="Times New Roman" w:cs="Times New Roman"/>
                <w:sz w:val="20"/>
                <w:szCs w:val="20"/>
              </w:rPr>
              <w:t>三公经费</w:t>
            </w:r>
            <w:r>
              <w:rPr>
                <w:rStyle w:val="8"/>
                <w:sz w:val="20"/>
                <w:szCs w:val="20"/>
              </w:rPr>
              <w:t>”</w:t>
            </w:r>
            <w:r>
              <w:rPr>
                <w:rStyle w:val="7"/>
                <w:rFonts w:hint="default" w:ascii="Times New Roman" w:hAnsi="Times New Roman" w:cs="Times New Roman"/>
                <w:sz w:val="20"/>
                <w:szCs w:val="20"/>
              </w:rPr>
              <w:t>控制率</w:t>
            </w:r>
            <w:r>
              <w:rPr>
                <w:rStyle w:val="8"/>
                <w:sz w:val="20"/>
                <w:szCs w:val="20"/>
              </w:rPr>
              <w:t>=</w:t>
            </w:r>
            <w:r>
              <w:rPr>
                <w:rStyle w:val="7"/>
                <w:rFonts w:hint="default" w:ascii="Times New Roman" w:hAnsi="Times New Roman" w:cs="Times New Roman"/>
                <w:sz w:val="20"/>
                <w:szCs w:val="20"/>
              </w:rPr>
              <w:t>（</w:t>
            </w:r>
            <w:r>
              <w:rPr>
                <w:rStyle w:val="8"/>
                <w:sz w:val="20"/>
                <w:szCs w:val="20"/>
              </w:rPr>
              <w:t>“</w:t>
            </w:r>
            <w:r>
              <w:rPr>
                <w:rStyle w:val="7"/>
                <w:rFonts w:hint="default" w:ascii="Times New Roman" w:hAnsi="Times New Roman" w:cs="Times New Roman"/>
                <w:sz w:val="20"/>
                <w:szCs w:val="20"/>
              </w:rPr>
              <w:t>三公经费</w:t>
            </w:r>
            <w:r>
              <w:rPr>
                <w:rStyle w:val="8"/>
                <w:sz w:val="20"/>
                <w:szCs w:val="20"/>
              </w:rPr>
              <w:t>”</w:t>
            </w:r>
            <w:r>
              <w:rPr>
                <w:rStyle w:val="7"/>
                <w:rFonts w:hint="default" w:ascii="Times New Roman" w:hAnsi="Times New Roman" w:cs="Times New Roman"/>
                <w:sz w:val="20"/>
                <w:szCs w:val="20"/>
              </w:rPr>
              <w:t>实际支出数</w:t>
            </w:r>
            <w:r>
              <w:rPr>
                <w:rStyle w:val="8"/>
                <w:sz w:val="20"/>
                <w:szCs w:val="20"/>
              </w:rPr>
              <w:t>/“</w:t>
            </w:r>
            <w:r>
              <w:rPr>
                <w:rStyle w:val="7"/>
                <w:rFonts w:hint="default" w:ascii="Times New Roman" w:hAnsi="Times New Roman" w:cs="Times New Roman"/>
                <w:sz w:val="20"/>
                <w:szCs w:val="20"/>
              </w:rPr>
              <w:t>三公经费</w:t>
            </w:r>
            <w:r>
              <w:rPr>
                <w:rStyle w:val="8"/>
                <w:sz w:val="20"/>
                <w:szCs w:val="20"/>
              </w:rPr>
              <w:t>”</w:t>
            </w:r>
            <w:r>
              <w:rPr>
                <w:rStyle w:val="7"/>
                <w:rFonts w:hint="default" w:ascii="Times New Roman" w:hAnsi="Times New Roman" w:cs="Times New Roman"/>
                <w:sz w:val="20"/>
                <w:szCs w:val="20"/>
              </w:rPr>
              <w:t>预算安排数）</w:t>
            </w:r>
            <w:r>
              <w:rPr>
                <w:rStyle w:val="8"/>
                <w:sz w:val="20"/>
                <w:szCs w:val="20"/>
              </w:rPr>
              <w:t>×100%</w:t>
            </w:r>
            <w:r>
              <w:rPr>
                <w:rStyle w:val="7"/>
                <w:rFonts w:hint="default" w:ascii="Times New Roman" w:hAnsi="Times New Roman" w:cs="Times New Roman"/>
                <w:sz w:val="20"/>
                <w:szCs w:val="20"/>
              </w:rPr>
              <w:t>。不超当年预算，不超上年决算。</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8"/>
                <w:sz w:val="20"/>
                <w:szCs w:val="20"/>
              </w:rPr>
              <w:t>“</w:t>
            </w:r>
            <w:r>
              <w:rPr>
                <w:rStyle w:val="7"/>
                <w:rFonts w:hint="default" w:ascii="Times New Roman" w:hAnsi="Times New Roman" w:cs="Times New Roman"/>
                <w:sz w:val="20"/>
                <w:szCs w:val="20"/>
              </w:rPr>
              <w:t>三公经费</w:t>
            </w:r>
            <w:r>
              <w:rPr>
                <w:rStyle w:val="8"/>
                <w:sz w:val="20"/>
                <w:szCs w:val="20"/>
              </w:rPr>
              <w:t>”</w:t>
            </w:r>
            <w:r>
              <w:rPr>
                <w:rStyle w:val="7"/>
                <w:rFonts w:hint="default" w:ascii="Times New Roman" w:hAnsi="Times New Roman" w:cs="Times New Roman"/>
                <w:sz w:val="20"/>
                <w:szCs w:val="20"/>
              </w:rPr>
              <w:t>控制率</w:t>
            </w:r>
            <w:r>
              <w:rPr>
                <w:rStyle w:val="8"/>
                <w:sz w:val="20"/>
                <w:szCs w:val="20"/>
              </w:rPr>
              <w:t>100%</w:t>
            </w:r>
            <w:r>
              <w:rPr>
                <w:rStyle w:val="7"/>
                <w:rFonts w:hint="default" w:ascii="Times New Roman" w:hAnsi="Times New Roman" w:cs="Times New Roman"/>
                <w:sz w:val="20"/>
                <w:szCs w:val="20"/>
              </w:rPr>
              <w:t>以下（含）计</w:t>
            </w:r>
            <w:r>
              <w:rPr>
                <w:rStyle w:val="8"/>
                <w:sz w:val="20"/>
                <w:szCs w:val="20"/>
              </w:rPr>
              <w:t>2</w:t>
            </w:r>
            <w:r>
              <w:rPr>
                <w:rStyle w:val="7"/>
                <w:rFonts w:hint="default" w:ascii="Times New Roman" w:hAnsi="Times New Roman" w:cs="Times New Roman"/>
                <w:sz w:val="20"/>
                <w:szCs w:val="20"/>
              </w:rPr>
              <w:t>分，每超出</w:t>
            </w:r>
            <w:r>
              <w:rPr>
                <w:rStyle w:val="8"/>
                <w:sz w:val="20"/>
                <w:szCs w:val="20"/>
              </w:rPr>
              <w:t>1%</w:t>
            </w:r>
            <w:r>
              <w:rPr>
                <w:rStyle w:val="7"/>
                <w:rFonts w:hint="default" w:ascii="Times New Roman" w:hAnsi="Times New Roman" w:cs="Times New Roman"/>
                <w:sz w:val="20"/>
                <w:szCs w:val="20"/>
              </w:rPr>
              <w:t>扣</w:t>
            </w:r>
            <w:r>
              <w:rPr>
                <w:rStyle w:val="8"/>
                <w:sz w:val="20"/>
                <w:szCs w:val="20"/>
              </w:rPr>
              <w:t>0.15</w:t>
            </w:r>
            <w:r>
              <w:rPr>
                <w:rStyle w:val="7"/>
                <w:rFonts w:hint="default" w:ascii="Times New Roman" w:hAnsi="Times New Roman" w:cs="Times New Roman"/>
                <w:sz w:val="20"/>
                <w:szCs w:val="20"/>
              </w:rPr>
              <w:t>分，扣完为止。</w:t>
            </w:r>
          </w:p>
        </w:tc>
        <w:tc>
          <w:tcPr>
            <w:tcW w:w="477" w:type="pct"/>
            <w:tcMar>
              <w:top w:w="15" w:type="dxa"/>
              <w:left w:w="15" w:type="dxa"/>
              <w:right w:w="15" w:type="dxa"/>
            </w:tcMar>
            <w:vAlign w:val="center"/>
          </w:tcPr>
          <w:p>
            <w:pPr>
              <w:widowControl/>
              <w:spacing w:line="260" w:lineRule="exact"/>
              <w:jc w:val="center"/>
              <w:textAlignment w:val="center"/>
              <w:rPr>
                <w:rStyle w:val="8"/>
                <w:sz w:val="20"/>
                <w:szCs w:val="20"/>
              </w:rPr>
            </w:pPr>
            <w:r>
              <w:rPr>
                <w:rStyle w:val="8"/>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政府采购</w:t>
            </w:r>
            <w:r>
              <w:rPr>
                <w:color w:val="000000"/>
                <w:kern w:val="0"/>
                <w:sz w:val="20"/>
                <w:szCs w:val="20"/>
              </w:rPr>
              <w:br w:type="textWrapping"/>
            </w:r>
            <w:r>
              <w:rPr>
                <w:color w:val="000000"/>
                <w:kern w:val="0"/>
                <w:sz w:val="20"/>
                <w:szCs w:val="20"/>
              </w:rPr>
              <w:t>执行率和</w:t>
            </w:r>
            <w:r>
              <w:rPr>
                <w:color w:val="000000"/>
                <w:kern w:val="0"/>
                <w:sz w:val="20"/>
                <w:szCs w:val="20"/>
              </w:rPr>
              <w:br w:type="textWrapping"/>
            </w:r>
            <w:r>
              <w:rPr>
                <w:color w:val="000000"/>
                <w:kern w:val="0"/>
                <w:sz w:val="20"/>
                <w:szCs w:val="20"/>
              </w:rPr>
              <w:t>规范性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7"/>
                <w:rFonts w:hint="default" w:ascii="Times New Roman" w:hAnsi="Times New Roman" w:cs="Times New Roman"/>
                <w:sz w:val="20"/>
                <w:szCs w:val="20"/>
              </w:rPr>
              <w:t>政府采购执行率</w:t>
            </w:r>
            <w:r>
              <w:rPr>
                <w:rStyle w:val="8"/>
                <w:sz w:val="20"/>
                <w:szCs w:val="20"/>
              </w:rPr>
              <w:t>=</w:t>
            </w:r>
            <w:r>
              <w:rPr>
                <w:rStyle w:val="7"/>
                <w:rFonts w:hint="default" w:ascii="Times New Roman" w:hAnsi="Times New Roman" w:cs="Times New Roman"/>
                <w:sz w:val="20"/>
                <w:szCs w:val="20"/>
              </w:rPr>
              <w:t>（实际政府采购金额</w:t>
            </w:r>
            <w:r>
              <w:rPr>
                <w:rStyle w:val="8"/>
                <w:sz w:val="20"/>
                <w:szCs w:val="20"/>
              </w:rPr>
              <w:t>/</w:t>
            </w:r>
            <w:r>
              <w:rPr>
                <w:rStyle w:val="7"/>
                <w:rFonts w:hint="default" w:ascii="Times New Roman" w:hAnsi="Times New Roman" w:cs="Times New Roman"/>
                <w:sz w:val="20"/>
                <w:szCs w:val="20"/>
              </w:rPr>
              <w:t>政府采购预算数）</w:t>
            </w:r>
            <w:r>
              <w:rPr>
                <w:rStyle w:val="8"/>
                <w:sz w:val="20"/>
                <w:szCs w:val="20"/>
              </w:rPr>
              <w:t>×100%</w:t>
            </w:r>
            <w:r>
              <w:rPr>
                <w:rStyle w:val="7"/>
                <w:rFonts w:hint="default" w:ascii="Times New Roman" w:hAnsi="Times New Roman" w:cs="Times New Roman"/>
                <w:sz w:val="20"/>
                <w:szCs w:val="20"/>
              </w:rPr>
              <w:t>；</w:t>
            </w:r>
            <w:r>
              <w:rPr>
                <w:rStyle w:val="8"/>
                <w:sz w:val="20"/>
                <w:szCs w:val="20"/>
              </w:rPr>
              <w:br w:type="textWrapping"/>
            </w:r>
            <w:r>
              <w:rPr>
                <w:rStyle w:val="7"/>
                <w:rFonts w:hint="default" w:ascii="Times New Roman" w:hAnsi="Times New Roman" w:cs="Times New Roman"/>
                <w:spacing w:val="-6"/>
                <w:sz w:val="20"/>
                <w:szCs w:val="20"/>
              </w:rPr>
              <w:t>政府采购预算：采购机关根据事业发展计划和行政任务编制的、并经过规定程序批准的年度政府采购计划。</w:t>
            </w:r>
            <w:r>
              <w:rPr>
                <w:rStyle w:val="7"/>
                <w:rFonts w:hint="default" w:ascii="Times New Roman" w:hAnsi="Times New Roman" w:cs="Times New Roman"/>
                <w:sz w:val="20"/>
                <w:szCs w:val="20"/>
              </w:rPr>
              <w:br w:type="textWrapping"/>
            </w:r>
            <w:r>
              <w:rPr>
                <w:rStyle w:val="7"/>
                <w:rFonts w:hint="default" w:ascii="Times New Roman" w:hAnsi="Times New Roman" w:cs="Times New Roman"/>
                <w:sz w:val="20"/>
                <w:szCs w:val="20"/>
              </w:rPr>
              <w:t>预算单位严格执行</w:t>
            </w:r>
            <w:bookmarkStart w:id="0" w:name="_GoBack"/>
            <w:bookmarkEnd w:id="0"/>
            <w:r>
              <w:rPr>
                <w:rStyle w:val="7"/>
                <w:rFonts w:hint="eastAsia" w:cs="Times New Roman"/>
                <w:sz w:val="20"/>
                <w:szCs w:val="20"/>
                <w:lang w:eastAsia="zh-CN"/>
              </w:rPr>
              <w:t>《中华人民共和国政府采购法》</w:t>
            </w:r>
            <w:r>
              <w:rPr>
                <w:rStyle w:val="7"/>
                <w:rFonts w:hint="default" w:ascii="Times New Roman" w:hAnsi="Times New Roman" w:cs="Times New Roman"/>
                <w:sz w:val="20"/>
                <w:szCs w:val="20"/>
              </w:rPr>
              <w:t>，无规避政府采购或化整为零进行政府采购的行为。所有项目必须依法采购，履行验收手续。</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7"/>
                <w:rFonts w:hint="default" w:ascii="Times New Roman" w:hAnsi="Times New Roman" w:cs="Times New Roman"/>
                <w:sz w:val="20"/>
                <w:szCs w:val="20"/>
              </w:rPr>
              <w:t>政府采购执行率</w:t>
            </w:r>
            <w:r>
              <w:rPr>
                <w:rStyle w:val="8"/>
                <w:sz w:val="20"/>
                <w:szCs w:val="20"/>
              </w:rPr>
              <w:t>100%</w:t>
            </w:r>
            <w:r>
              <w:rPr>
                <w:rStyle w:val="7"/>
                <w:rFonts w:hint="default" w:ascii="Times New Roman" w:hAnsi="Times New Roman" w:cs="Times New Roman"/>
                <w:sz w:val="20"/>
                <w:szCs w:val="20"/>
              </w:rPr>
              <w:t>计</w:t>
            </w:r>
            <w:r>
              <w:rPr>
                <w:rStyle w:val="8"/>
                <w:sz w:val="20"/>
                <w:szCs w:val="20"/>
              </w:rPr>
              <w:t>1</w:t>
            </w:r>
            <w:r>
              <w:rPr>
                <w:rStyle w:val="7"/>
                <w:rFonts w:hint="default" w:ascii="Times New Roman" w:hAnsi="Times New Roman" w:cs="Times New Roman"/>
                <w:sz w:val="20"/>
                <w:szCs w:val="20"/>
              </w:rPr>
              <w:t>分，每超过（降低）</w:t>
            </w:r>
            <w:r>
              <w:rPr>
                <w:rStyle w:val="8"/>
                <w:sz w:val="20"/>
                <w:szCs w:val="20"/>
              </w:rPr>
              <w:t>1%</w:t>
            </w:r>
            <w:r>
              <w:rPr>
                <w:rStyle w:val="7"/>
                <w:rFonts w:hint="default" w:ascii="Times New Roman" w:hAnsi="Times New Roman" w:cs="Times New Roman"/>
                <w:sz w:val="20"/>
                <w:szCs w:val="20"/>
              </w:rPr>
              <w:t>扣</w:t>
            </w:r>
            <w:r>
              <w:rPr>
                <w:rStyle w:val="8"/>
                <w:sz w:val="20"/>
                <w:szCs w:val="20"/>
              </w:rPr>
              <w:t>0.1</w:t>
            </w:r>
            <w:r>
              <w:rPr>
                <w:rStyle w:val="7"/>
                <w:rFonts w:hint="default" w:ascii="Times New Roman" w:hAnsi="Times New Roman" w:cs="Times New Roman"/>
                <w:sz w:val="20"/>
                <w:szCs w:val="20"/>
              </w:rPr>
              <w:t>分，扣完为止。</w:t>
            </w:r>
            <w:r>
              <w:rPr>
                <w:rStyle w:val="8"/>
                <w:sz w:val="20"/>
                <w:szCs w:val="20"/>
              </w:rPr>
              <w:br w:type="textWrapping"/>
            </w:r>
            <w:r>
              <w:rPr>
                <w:rStyle w:val="7"/>
                <w:rFonts w:hint="default" w:ascii="Times New Roman" w:hAnsi="Times New Roman" w:cs="Times New Roman"/>
                <w:sz w:val="20"/>
                <w:szCs w:val="20"/>
              </w:rPr>
              <w:t>所有项目依法采购，无规避政府采购或化整为零进行政府采购的行为，并履行验收手续计1分，否则不得分。</w:t>
            </w:r>
          </w:p>
        </w:tc>
        <w:tc>
          <w:tcPr>
            <w:tcW w:w="477" w:type="pct"/>
            <w:tcMar>
              <w:top w:w="15" w:type="dxa"/>
              <w:left w:w="15" w:type="dxa"/>
              <w:right w:w="15" w:type="dxa"/>
            </w:tcMar>
            <w:vAlign w:val="center"/>
          </w:tcPr>
          <w:p>
            <w:pPr>
              <w:widowControl/>
              <w:spacing w:line="26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rStyle w:val="7"/>
                <w:rFonts w:hint="default" w:ascii="Times New Roman" w:hAnsi="Times New Roman" w:cs="Times New Roman"/>
                <w:sz w:val="20"/>
                <w:szCs w:val="20"/>
              </w:rPr>
              <w:t>预算</w:t>
            </w:r>
            <w:r>
              <w:rPr>
                <w:rStyle w:val="8"/>
                <w:sz w:val="20"/>
                <w:szCs w:val="20"/>
              </w:rPr>
              <w:br w:type="textWrapping"/>
            </w:r>
            <w:r>
              <w:rPr>
                <w:rStyle w:val="7"/>
                <w:rFonts w:hint="default" w:ascii="Times New Roman" w:hAnsi="Times New Roman" w:cs="Times New Roman"/>
                <w:sz w:val="20"/>
                <w:szCs w:val="20"/>
              </w:rPr>
              <w:t>管理</w:t>
            </w:r>
            <w:r>
              <w:rPr>
                <w:rStyle w:val="8"/>
                <w:sz w:val="20"/>
                <w:szCs w:val="20"/>
              </w:rPr>
              <w:br w:type="textWrapping"/>
            </w:r>
            <w:r>
              <w:rPr>
                <w:rStyle w:val="7"/>
                <w:rFonts w:hint="default" w:ascii="Times New Roman" w:hAnsi="Times New Roman" w:cs="Times New Roman"/>
                <w:sz w:val="20"/>
                <w:szCs w:val="20"/>
              </w:rPr>
              <w:t>（</w:t>
            </w:r>
            <w:r>
              <w:rPr>
                <w:rStyle w:val="8"/>
                <w:sz w:val="20"/>
                <w:szCs w:val="20"/>
              </w:rPr>
              <w:t>20</w:t>
            </w:r>
            <w:r>
              <w:rPr>
                <w:rStyle w:val="7"/>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rStyle w:val="7"/>
                <w:rFonts w:hint="default" w:ascii="Times New Roman" w:hAnsi="Times New Roman" w:cs="Times New Roman"/>
                <w:sz w:val="20"/>
                <w:szCs w:val="20"/>
              </w:rPr>
              <w:t>管理制度</w:t>
            </w:r>
            <w:r>
              <w:rPr>
                <w:rStyle w:val="8"/>
                <w:sz w:val="20"/>
                <w:szCs w:val="20"/>
              </w:rPr>
              <w:br w:type="textWrapping"/>
            </w:r>
            <w:r>
              <w:rPr>
                <w:rStyle w:val="7"/>
                <w:rFonts w:hint="default" w:ascii="Times New Roman" w:hAnsi="Times New Roman" w:cs="Times New Roman"/>
                <w:sz w:val="20"/>
                <w:szCs w:val="20"/>
              </w:rPr>
              <w:t>健全性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7"/>
                <w:rFonts w:hint="default" w:ascii="Times New Roman" w:hAnsi="Times New Roman" w:cs="Times New Roman"/>
                <w:sz w:val="20"/>
                <w:szCs w:val="20"/>
              </w:rPr>
              <w:t>①部门（单位）内控制度、内部财务管理制度和会计核算制度是否健全；</w:t>
            </w:r>
            <w:r>
              <w:rPr>
                <w:rStyle w:val="8"/>
                <w:sz w:val="20"/>
                <w:szCs w:val="20"/>
              </w:rPr>
              <w:br w:type="textWrapping"/>
            </w:r>
            <w:r>
              <w:rPr>
                <w:rStyle w:val="7"/>
                <w:rFonts w:hint="default" w:ascii="Times New Roman" w:hAnsi="Times New Roman" w:cs="Times New Roman"/>
                <w:sz w:val="20"/>
                <w:szCs w:val="20"/>
              </w:rPr>
              <w:t>②相关管理制度是否合法、合规、完整；</w:t>
            </w:r>
            <w:r>
              <w:rPr>
                <w:rStyle w:val="8"/>
                <w:sz w:val="20"/>
                <w:szCs w:val="20"/>
              </w:rPr>
              <w:br w:type="textWrapping"/>
            </w:r>
            <w:r>
              <w:rPr>
                <w:rStyle w:val="7"/>
                <w:rFonts w:hint="default" w:ascii="Times New Roman" w:hAnsi="Times New Roman" w:cs="Times New Roman"/>
                <w:sz w:val="20"/>
                <w:szCs w:val="20"/>
              </w:rPr>
              <w:t>③相关管理制度是否得到有效执行。</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7"/>
                <w:rFonts w:hint="default" w:ascii="Times New Roman" w:hAnsi="Times New Roman" w:cs="Times New Roman"/>
                <w:sz w:val="20"/>
                <w:szCs w:val="20"/>
              </w:rPr>
              <w:t>①部门（单位）内控制度、内部财务管理制度和会计核算制度健全，计</w:t>
            </w:r>
            <w:r>
              <w:rPr>
                <w:rStyle w:val="8"/>
                <w:sz w:val="20"/>
                <w:szCs w:val="20"/>
              </w:rPr>
              <w:t>1</w:t>
            </w:r>
            <w:r>
              <w:rPr>
                <w:rStyle w:val="7"/>
                <w:rFonts w:hint="default" w:ascii="Times New Roman" w:hAnsi="Times New Roman" w:cs="Times New Roman"/>
                <w:sz w:val="20"/>
                <w:szCs w:val="20"/>
              </w:rPr>
              <w:t>分，否则酌情扣分；</w:t>
            </w:r>
            <w:r>
              <w:rPr>
                <w:rStyle w:val="8"/>
                <w:sz w:val="20"/>
                <w:szCs w:val="20"/>
              </w:rPr>
              <w:br w:type="textWrapping"/>
            </w:r>
            <w:r>
              <w:rPr>
                <w:rStyle w:val="7"/>
                <w:rFonts w:hint="default" w:ascii="Times New Roman" w:hAnsi="Times New Roman" w:cs="Times New Roman"/>
                <w:sz w:val="20"/>
                <w:szCs w:val="20"/>
              </w:rPr>
              <w:t>②管理制度合法、合规、完整，计</w:t>
            </w:r>
            <w:r>
              <w:rPr>
                <w:rStyle w:val="8"/>
                <w:sz w:val="20"/>
                <w:szCs w:val="20"/>
              </w:rPr>
              <w:t>1</w:t>
            </w:r>
            <w:r>
              <w:rPr>
                <w:rStyle w:val="7"/>
                <w:rFonts w:hint="default" w:ascii="Times New Roman" w:hAnsi="Times New Roman" w:cs="Times New Roman"/>
                <w:sz w:val="20"/>
                <w:szCs w:val="20"/>
              </w:rPr>
              <w:t>分，否则酌情扣分；</w:t>
            </w:r>
            <w:r>
              <w:rPr>
                <w:rStyle w:val="8"/>
                <w:sz w:val="20"/>
                <w:szCs w:val="20"/>
              </w:rPr>
              <w:br w:type="textWrapping"/>
            </w:r>
            <w:r>
              <w:rPr>
                <w:rStyle w:val="7"/>
                <w:rFonts w:hint="default" w:ascii="Times New Roman" w:hAnsi="Times New Roman" w:cs="Times New Roman"/>
                <w:sz w:val="20"/>
                <w:szCs w:val="20"/>
              </w:rPr>
              <w:t>③管理制度得到有效执行，计</w:t>
            </w:r>
            <w:r>
              <w:rPr>
                <w:rStyle w:val="8"/>
                <w:sz w:val="20"/>
                <w:szCs w:val="20"/>
              </w:rPr>
              <w:t>1</w:t>
            </w:r>
            <w:r>
              <w:rPr>
                <w:rStyle w:val="7"/>
                <w:rFonts w:hint="default" w:ascii="Times New Roman" w:hAnsi="Times New Roman" w:cs="Times New Roman"/>
                <w:sz w:val="20"/>
                <w:szCs w:val="20"/>
              </w:rPr>
              <w:t>分，</w:t>
            </w:r>
            <w:r>
              <w:rPr>
                <w:rStyle w:val="8"/>
                <w:sz w:val="20"/>
                <w:szCs w:val="20"/>
              </w:rPr>
              <w:t>1</w:t>
            </w:r>
            <w:r>
              <w:rPr>
                <w:rStyle w:val="7"/>
                <w:rFonts w:hint="default" w:ascii="Times New Roman" w:hAnsi="Times New Roman" w:cs="Times New Roman"/>
                <w:sz w:val="20"/>
                <w:szCs w:val="20"/>
              </w:rPr>
              <w:t>例不符合扣</w:t>
            </w:r>
            <w:r>
              <w:rPr>
                <w:rStyle w:val="8"/>
                <w:sz w:val="20"/>
                <w:szCs w:val="20"/>
              </w:rPr>
              <w:t>0.2</w:t>
            </w:r>
            <w:r>
              <w:rPr>
                <w:rStyle w:val="7"/>
                <w:rFonts w:hint="default" w:ascii="Times New Roman" w:hAnsi="Times New Roman" w:cs="Times New Roman"/>
                <w:sz w:val="20"/>
                <w:szCs w:val="20"/>
              </w:rPr>
              <w:t>分。</w:t>
            </w:r>
          </w:p>
        </w:tc>
        <w:tc>
          <w:tcPr>
            <w:tcW w:w="477" w:type="pct"/>
            <w:tcMar>
              <w:top w:w="15" w:type="dxa"/>
              <w:left w:w="15" w:type="dxa"/>
              <w:right w:w="15" w:type="dxa"/>
            </w:tcMar>
            <w:vAlign w:val="center"/>
          </w:tcPr>
          <w:p>
            <w:pPr>
              <w:widowControl/>
              <w:spacing w:line="26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rStyle w:val="7"/>
                <w:rFonts w:hint="default" w:ascii="Times New Roman" w:hAnsi="Times New Roman" w:cs="Times New Roman"/>
                <w:sz w:val="20"/>
                <w:szCs w:val="20"/>
              </w:rPr>
              <w:t>资金使用</w:t>
            </w:r>
            <w:r>
              <w:rPr>
                <w:rStyle w:val="8"/>
                <w:sz w:val="20"/>
                <w:szCs w:val="20"/>
              </w:rPr>
              <w:br w:type="textWrapping"/>
            </w:r>
            <w:r>
              <w:rPr>
                <w:rStyle w:val="7"/>
                <w:rFonts w:hint="default" w:ascii="Times New Roman" w:hAnsi="Times New Roman" w:cs="Times New Roman"/>
                <w:sz w:val="20"/>
                <w:szCs w:val="20"/>
              </w:rPr>
              <w:t>合规性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6</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7"/>
                <w:rFonts w:hint="default" w:ascii="Times New Roman" w:hAnsi="Times New Roman" w:cs="Times New Roman"/>
                <w:sz w:val="20"/>
                <w:szCs w:val="20"/>
              </w:rPr>
              <w:t>①是否符合国家财经法规和财务管理制度以及有关专项资金管理办法的规定；</w:t>
            </w:r>
            <w:r>
              <w:rPr>
                <w:rStyle w:val="8"/>
                <w:sz w:val="20"/>
                <w:szCs w:val="20"/>
              </w:rPr>
              <w:br w:type="textWrapping"/>
            </w:r>
            <w:r>
              <w:rPr>
                <w:rStyle w:val="7"/>
                <w:rFonts w:hint="default" w:ascii="Times New Roman" w:hAnsi="Times New Roman" w:cs="Times New Roman"/>
                <w:sz w:val="20"/>
                <w:szCs w:val="20"/>
              </w:rPr>
              <w:t>②资金的支付是否有完整的审批程序和手续；</w:t>
            </w:r>
            <w:r>
              <w:rPr>
                <w:rStyle w:val="8"/>
                <w:sz w:val="20"/>
                <w:szCs w:val="20"/>
              </w:rPr>
              <w:br w:type="textWrapping"/>
            </w:r>
            <w:r>
              <w:rPr>
                <w:rStyle w:val="7"/>
                <w:rFonts w:hint="default" w:ascii="Times New Roman" w:hAnsi="Times New Roman" w:cs="Times New Roman"/>
                <w:sz w:val="20"/>
                <w:szCs w:val="20"/>
              </w:rPr>
              <w:t>③重大项目开支和大额资金使用是否经单位党组集体研究决策；</w:t>
            </w:r>
            <w:r>
              <w:rPr>
                <w:rStyle w:val="8"/>
                <w:sz w:val="20"/>
                <w:szCs w:val="20"/>
              </w:rPr>
              <w:br w:type="textWrapping"/>
            </w:r>
            <w:r>
              <w:rPr>
                <w:rStyle w:val="7"/>
                <w:rFonts w:hint="default" w:ascii="Times New Roman" w:hAnsi="Times New Roman" w:cs="Times New Roman"/>
                <w:sz w:val="20"/>
                <w:szCs w:val="20"/>
              </w:rPr>
              <w:t>④是否符合项目预算批复或合同规定的用途；</w:t>
            </w:r>
            <w:r>
              <w:rPr>
                <w:rStyle w:val="8"/>
                <w:sz w:val="20"/>
                <w:szCs w:val="20"/>
              </w:rPr>
              <w:br w:type="textWrapping"/>
            </w:r>
            <w:r>
              <w:rPr>
                <w:rStyle w:val="7"/>
                <w:rFonts w:hint="default" w:ascii="Times New Roman" w:hAnsi="Times New Roman" w:cs="Times New Roman"/>
                <w:sz w:val="20"/>
                <w:szCs w:val="20"/>
              </w:rPr>
              <w:t>⑤是否存在截留、挤占、挪用、虚列支出等情况；</w:t>
            </w:r>
            <w:r>
              <w:rPr>
                <w:rStyle w:val="8"/>
                <w:sz w:val="20"/>
                <w:szCs w:val="20"/>
              </w:rPr>
              <w:br w:type="textWrapping"/>
            </w:r>
            <w:r>
              <w:rPr>
                <w:rStyle w:val="7"/>
                <w:rFonts w:hint="default" w:ascii="Times New Roman" w:hAnsi="Times New Roman" w:cs="Times New Roman"/>
                <w:sz w:val="20"/>
                <w:szCs w:val="20"/>
              </w:rPr>
              <w:t>⑥是否存在重复申报项目、虚报冒领资金。</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7"/>
                <w:rFonts w:hint="default" w:ascii="Times New Roman" w:hAnsi="Times New Roman" w:cs="Times New Roman"/>
                <w:sz w:val="20"/>
                <w:szCs w:val="20"/>
              </w:rPr>
              <w:t>①符合国家财经法规和财务管理制度以及有关专项资金管理办法的规定，计</w:t>
            </w:r>
            <w:r>
              <w:rPr>
                <w:rStyle w:val="8"/>
                <w:sz w:val="20"/>
                <w:szCs w:val="20"/>
              </w:rPr>
              <w:t>1</w:t>
            </w:r>
            <w:r>
              <w:rPr>
                <w:rStyle w:val="7"/>
                <w:rFonts w:hint="default" w:ascii="Times New Roman" w:hAnsi="Times New Roman" w:cs="Times New Roman"/>
                <w:sz w:val="20"/>
                <w:szCs w:val="20"/>
              </w:rPr>
              <w:t>分，</w:t>
            </w:r>
            <w:r>
              <w:rPr>
                <w:rStyle w:val="8"/>
                <w:sz w:val="20"/>
                <w:szCs w:val="20"/>
              </w:rPr>
              <w:t>1</w:t>
            </w:r>
            <w:r>
              <w:rPr>
                <w:rStyle w:val="7"/>
                <w:rFonts w:hint="default" w:ascii="Times New Roman" w:hAnsi="Times New Roman" w:cs="Times New Roman"/>
                <w:sz w:val="20"/>
                <w:szCs w:val="20"/>
              </w:rPr>
              <w:t>例不符合扣</w:t>
            </w:r>
            <w:r>
              <w:rPr>
                <w:rStyle w:val="8"/>
                <w:sz w:val="20"/>
                <w:szCs w:val="20"/>
              </w:rPr>
              <w:t>0.2</w:t>
            </w:r>
            <w:r>
              <w:rPr>
                <w:rStyle w:val="7"/>
                <w:rFonts w:hint="default" w:ascii="Times New Roman" w:hAnsi="Times New Roman" w:cs="Times New Roman"/>
                <w:sz w:val="20"/>
                <w:szCs w:val="20"/>
              </w:rPr>
              <w:t>分；</w:t>
            </w:r>
            <w:r>
              <w:rPr>
                <w:rStyle w:val="8"/>
                <w:sz w:val="20"/>
                <w:szCs w:val="20"/>
              </w:rPr>
              <w:br w:type="textWrapping"/>
            </w:r>
            <w:r>
              <w:rPr>
                <w:rStyle w:val="7"/>
                <w:rFonts w:hint="default" w:ascii="Times New Roman" w:hAnsi="Times New Roman" w:cs="Times New Roman"/>
                <w:sz w:val="20"/>
                <w:szCs w:val="20"/>
              </w:rPr>
              <w:t>②资金的支付有完整的审批程序和手续，计</w:t>
            </w:r>
            <w:r>
              <w:rPr>
                <w:rStyle w:val="8"/>
                <w:sz w:val="20"/>
                <w:szCs w:val="20"/>
              </w:rPr>
              <w:t>1</w:t>
            </w:r>
            <w:r>
              <w:rPr>
                <w:rStyle w:val="7"/>
                <w:rFonts w:hint="default" w:ascii="Times New Roman" w:hAnsi="Times New Roman" w:cs="Times New Roman"/>
                <w:sz w:val="20"/>
                <w:szCs w:val="20"/>
              </w:rPr>
              <w:t>分，</w:t>
            </w:r>
            <w:r>
              <w:rPr>
                <w:rStyle w:val="8"/>
                <w:sz w:val="20"/>
                <w:szCs w:val="20"/>
              </w:rPr>
              <w:t>1</w:t>
            </w:r>
            <w:r>
              <w:rPr>
                <w:rStyle w:val="7"/>
                <w:rFonts w:hint="default" w:ascii="Times New Roman" w:hAnsi="Times New Roman" w:cs="Times New Roman"/>
                <w:sz w:val="20"/>
                <w:szCs w:val="20"/>
              </w:rPr>
              <w:t>例不符合扣</w:t>
            </w:r>
            <w:r>
              <w:rPr>
                <w:rStyle w:val="8"/>
                <w:sz w:val="20"/>
                <w:szCs w:val="20"/>
              </w:rPr>
              <w:t>0.2</w:t>
            </w:r>
            <w:r>
              <w:rPr>
                <w:rStyle w:val="7"/>
                <w:rFonts w:hint="default" w:ascii="Times New Roman" w:hAnsi="Times New Roman" w:cs="Times New Roman"/>
                <w:sz w:val="20"/>
                <w:szCs w:val="20"/>
              </w:rPr>
              <w:t>分；</w:t>
            </w:r>
            <w:r>
              <w:rPr>
                <w:rStyle w:val="8"/>
                <w:sz w:val="20"/>
                <w:szCs w:val="20"/>
              </w:rPr>
              <w:br w:type="textWrapping"/>
            </w:r>
            <w:r>
              <w:rPr>
                <w:rStyle w:val="7"/>
                <w:rFonts w:hint="default" w:ascii="Times New Roman" w:hAnsi="Times New Roman" w:cs="Times New Roman"/>
                <w:sz w:val="20"/>
                <w:szCs w:val="20"/>
              </w:rPr>
              <w:t>③重大项目开支和大额资金使用经过单位党组集体研究决策，计</w:t>
            </w:r>
            <w:r>
              <w:rPr>
                <w:rStyle w:val="8"/>
                <w:sz w:val="20"/>
                <w:szCs w:val="20"/>
              </w:rPr>
              <w:t>1</w:t>
            </w:r>
            <w:r>
              <w:rPr>
                <w:rStyle w:val="7"/>
                <w:rFonts w:hint="default" w:ascii="Times New Roman" w:hAnsi="Times New Roman" w:cs="Times New Roman"/>
                <w:sz w:val="20"/>
                <w:szCs w:val="20"/>
              </w:rPr>
              <w:t>分，</w:t>
            </w:r>
            <w:r>
              <w:rPr>
                <w:rStyle w:val="8"/>
                <w:sz w:val="20"/>
                <w:szCs w:val="20"/>
              </w:rPr>
              <w:t>1</w:t>
            </w:r>
            <w:r>
              <w:rPr>
                <w:rStyle w:val="7"/>
                <w:rFonts w:hint="default" w:ascii="Times New Roman" w:hAnsi="Times New Roman" w:cs="Times New Roman"/>
                <w:sz w:val="20"/>
                <w:szCs w:val="20"/>
              </w:rPr>
              <w:t>例不符合扣</w:t>
            </w:r>
            <w:r>
              <w:rPr>
                <w:rStyle w:val="8"/>
                <w:sz w:val="20"/>
                <w:szCs w:val="20"/>
              </w:rPr>
              <w:t>0.2</w:t>
            </w:r>
            <w:r>
              <w:rPr>
                <w:rStyle w:val="7"/>
                <w:rFonts w:hint="default" w:ascii="Times New Roman" w:hAnsi="Times New Roman" w:cs="Times New Roman"/>
                <w:sz w:val="20"/>
                <w:szCs w:val="20"/>
              </w:rPr>
              <w:t>分；</w:t>
            </w:r>
            <w:r>
              <w:rPr>
                <w:rStyle w:val="8"/>
                <w:sz w:val="20"/>
                <w:szCs w:val="20"/>
              </w:rPr>
              <w:br w:type="textWrapping"/>
            </w:r>
            <w:r>
              <w:rPr>
                <w:rStyle w:val="7"/>
                <w:rFonts w:hint="default" w:ascii="Times New Roman" w:hAnsi="Times New Roman" w:cs="Times New Roman"/>
                <w:sz w:val="20"/>
                <w:szCs w:val="20"/>
              </w:rPr>
              <w:t>④符合项目预算批复或合同规定的用途，计</w:t>
            </w:r>
            <w:r>
              <w:rPr>
                <w:rStyle w:val="8"/>
                <w:sz w:val="20"/>
                <w:szCs w:val="20"/>
              </w:rPr>
              <w:t>1</w:t>
            </w:r>
            <w:r>
              <w:rPr>
                <w:rStyle w:val="7"/>
                <w:rFonts w:hint="default" w:ascii="Times New Roman" w:hAnsi="Times New Roman" w:cs="Times New Roman"/>
                <w:sz w:val="20"/>
                <w:szCs w:val="20"/>
              </w:rPr>
              <w:t>分，</w:t>
            </w:r>
            <w:r>
              <w:rPr>
                <w:rStyle w:val="8"/>
                <w:sz w:val="20"/>
                <w:szCs w:val="20"/>
              </w:rPr>
              <w:t>1</w:t>
            </w:r>
            <w:r>
              <w:rPr>
                <w:rStyle w:val="7"/>
                <w:rFonts w:hint="default" w:ascii="Times New Roman" w:hAnsi="Times New Roman" w:cs="Times New Roman"/>
                <w:sz w:val="20"/>
                <w:szCs w:val="20"/>
              </w:rPr>
              <w:t>例不符合扣</w:t>
            </w:r>
            <w:r>
              <w:rPr>
                <w:rStyle w:val="8"/>
                <w:sz w:val="20"/>
                <w:szCs w:val="20"/>
              </w:rPr>
              <w:t>0.2</w:t>
            </w:r>
            <w:r>
              <w:rPr>
                <w:rStyle w:val="7"/>
                <w:rFonts w:hint="default" w:ascii="Times New Roman" w:hAnsi="Times New Roman" w:cs="Times New Roman"/>
                <w:sz w:val="20"/>
                <w:szCs w:val="20"/>
              </w:rPr>
              <w:t>分；</w:t>
            </w:r>
            <w:r>
              <w:rPr>
                <w:rStyle w:val="8"/>
                <w:sz w:val="20"/>
                <w:szCs w:val="20"/>
              </w:rPr>
              <w:br w:type="textWrapping"/>
            </w:r>
            <w:r>
              <w:rPr>
                <w:rStyle w:val="7"/>
                <w:rFonts w:hint="default" w:ascii="Times New Roman" w:hAnsi="Times New Roman" w:cs="Times New Roman"/>
                <w:sz w:val="20"/>
                <w:szCs w:val="20"/>
              </w:rPr>
              <w:t>⑤不存在截留、挤占、挪用、虚列支出等情况，计</w:t>
            </w:r>
            <w:r>
              <w:rPr>
                <w:rStyle w:val="8"/>
                <w:sz w:val="20"/>
                <w:szCs w:val="20"/>
              </w:rPr>
              <w:t>1</w:t>
            </w:r>
            <w:r>
              <w:rPr>
                <w:rStyle w:val="7"/>
                <w:rFonts w:hint="default" w:ascii="Times New Roman" w:hAnsi="Times New Roman" w:cs="Times New Roman"/>
                <w:sz w:val="20"/>
                <w:szCs w:val="20"/>
              </w:rPr>
              <w:t>分，</w:t>
            </w:r>
            <w:r>
              <w:rPr>
                <w:rStyle w:val="8"/>
                <w:sz w:val="20"/>
                <w:szCs w:val="20"/>
              </w:rPr>
              <w:t>1</w:t>
            </w:r>
            <w:r>
              <w:rPr>
                <w:rStyle w:val="7"/>
                <w:rFonts w:hint="default" w:ascii="Times New Roman" w:hAnsi="Times New Roman" w:cs="Times New Roman"/>
                <w:sz w:val="20"/>
                <w:szCs w:val="20"/>
              </w:rPr>
              <w:t>例不符合本指标</w:t>
            </w:r>
            <w:r>
              <w:rPr>
                <w:rStyle w:val="8"/>
                <w:sz w:val="20"/>
                <w:szCs w:val="20"/>
              </w:rPr>
              <w:t>6</w:t>
            </w:r>
            <w:r>
              <w:rPr>
                <w:rStyle w:val="7"/>
                <w:rFonts w:hint="default" w:ascii="Times New Roman" w:hAnsi="Times New Roman" w:cs="Times New Roman"/>
                <w:sz w:val="20"/>
                <w:szCs w:val="20"/>
              </w:rPr>
              <w:t>分全扣；</w:t>
            </w:r>
            <w:r>
              <w:rPr>
                <w:rStyle w:val="8"/>
                <w:sz w:val="20"/>
                <w:szCs w:val="20"/>
              </w:rPr>
              <w:br w:type="textWrapping"/>
            </w:r>
            <w:r>
              <w:rPr>
                <w:rStyle w:val="7"/>
                <w:rFonts w:hint="default" w:ascii="Times New Roman" w:hAnsi="Times New Roman" w:cs="Times New Roman"/>
                <w:sz w:val="20"/>
                <w:szCs w:val="20"/>
              </w:rPr>
              <w:t>⑥</w:t>
            </w:r>
            <w:r>
              <w:rPr>
                <w:rStyle w:val="7"/>
                <w:rFonts w:hint="default" w:ascii="Times New Roman" w:hAnsi="Times New Roman" w:cs="Times New Roman"/>
                <w:spacing w:val="-6"/>
                <w:sz w:val="20"/>
                <w:szCs w:val="20"/>
              </w:rPr>
              <w:t>不存在重复申报项目、虚报冒领资金，计</w:t>
            </w:r>
            <w:r>
              <w:rPr>
                <w:rStyle w:val="8"/>
                <w:spacing w:val="-6"/>
                <w:sz w:val="20"/>
                <w:szCs w:val="20"/>
              </w:rPr>
              <w:t>1</w:t>
            </w:r>
            <w:r>
              <w:rPr>
                <w:rStyle w:val="7"/>
                <w:rFonts w:hint="default" w:ascii="Times New Roman" w:hAnsi="Times New Roman" w:cs="Times New Roman"/>
                <w:spacing w:val="-6"/>
                <w:sz w:val="20"/>
                <w:szCs w:val="20"/>
              </w:rPr>
              <w:t>分，</w:t>
            </w:r>
            <w:r>
              <w:rPr>
                <w:rStyle w:val="8"/>
                <w:spacing w:val="-6"/>
                <w:sz w:val="20"/>
                <w:szCs w:val="20"/>
              </w:rPr>
              <w:t>1</w:t>
            </w:r>
            <w:r>
              <w:rPr>
                <w:rStyle w:val="7"/>
                <w:rFonts w:hint="default" w:ascii="Times New Roman" w:hAnsi="Times New Roman" w:cs="Times New Roman"/>
                <w:spacing w:val="-6"/>
                <w:sz w:val="20"/>
                <w:szCs w:val="20"/>
              </w:rPr>
              <w:t>例不符合本指标6分全扣；</w:t>
            </w:r>
            <w:r>
              <w:rPr>
                <w:rStyle w:val="7"/>
                <w:rFonts w:hint="default" w:ascii="Times New Roman" w:hAnsi="Times New Roman" w:cs="Times New Roman"/>
                <w:sz w:val="20"/>
                <w:szCs w:val="20"/>
              </w:rPr>
              <w:br w:type="textWrapping"/>
            </w:r>
            <w:r>
              <w:rPr>
                <w:rStyle w:val="7"/>
                <w:rFonts w:hint="default" w:ascii="Times New Roman" w:hAnsi="Times New Roman" w:cs="Times New Roman"/>
                <w:sz w:val="20"/>
                <w:szCs w:val="20"/>
              </w:rPr>
              <w:t>⑦违规情况特别严重的，重点绩效评价等级定为“差”。</w:t>
            </w:r>
          </w:p>
        </w:tc>
        <w:tc>
          <w:tcPr>
            <w:tcW w:w="477" w:type="pct"/>
            <w:tcMar>
              <w:top w:w="15" w:type="dxa"/>
              <w:left w:w="15" w:type="dxa"/>
              <w:right w:w="15" w:type="dxa"/>
            </w:tcMar>
            <w:vAlign w:val="center"/>
          </w:tcPr>
          <w:p>
            <w:pPr>
              <w:widowControl/>
              <w:spacing w:line="26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rStyle w:val="7"/>
                <w:rFonts w:hint="default" w:ascii="Times New Roman" w:hAnsi="Times New Roman" w:cs="Times New Roman"/>
                <w:sz w:val="20"/>
                <w:szCs w:val="20"/>
              </w:rPr>
              <w:t>过程</w:t>
            </w:r>
            <w:r>
              <w:rPr>
                <w:rStyle w:val="8"/>
                <w:sz w:val="20"/>
                <w:szCs w:val="20"/>
              </w:rPr>
              <w:br w:type="textWrapping"/>
            </w:r>
            <w:r>
              <w:rPr>
                <w:rStyle w:val="7"/>
                <w:rFonts w:hint="default" w:ascii="Times New Roman" w:hAnsi="Times New Roman" w:cs="Times New Roman"/>
                <w:sz w:val="20"/>
                <w:szCs w:val="20"/>
              </w:rPr>
              <w:t>（</w:t>
            </w:r>
            <w:r>
              <w:rPr>
                <w:rStyle w:val="8"/>
                <w:sz w:val="20"/>
                <w:szCs w:val="20"/>
              </w:rPr>
              <w:t>40</w:t>
            </w:r>
            <w:r>
              <w:rPr>
                <w:rStyle w:val="7"/>
                <w:rFonts w:hint="default" w:ascii="Times New Roman" w:hAnsi="Times New Roman" w:cs="Times New Roman"/>
                <w:sz w:val="20"/>
                <w:szCs w:val="20"/>
              </w:rPr>
              <w:t>分）</w:t>
            </w: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rStyle w:val="7"/>
                <w:rFonts w:hint="default" w:ascii="Times New Roman" w:hAnsi="Times New Roman" w:cs="Times New Roman"/>
                <w:sz w:val="20"/>
                <w:szCs w:val="20"/>
              </w:rPr>
              <w:t>预算</w:t>
            </w:r>
            <w:r>
              <w:rPr>
                <w:rStyle w:val="8"/>
                <w:sz w:val="20"/>
                <w:szCs w:val="20"/>
              </w:rPr>
              <w:br w:type="textWrapping"/>
            </w:r>
            <w:r>
              <w:rPr>
                <w:rStyle w:val="7"/>
                <w:rFonts w:hint="default" w:ascii="Times New Roman" w:hAnsi="Times New Roman" w:cs="Times New Roman"/>
                <w:sz w:val="20"/>
                <w:szCs w:val="20"/>
              </w:rPr>
              <w:t>管理</w:t>
            </w:r>
            <w:r>
              <w:rPr>
                <w:rStyle w:val="8"/>
                <w:sz w:val="20"/>
                <w:szCs w:val="20"/>
              </w:rPr>
              <w:br w:type="textWrapping"/>
            </w:r>
            <w:r>
              <w:rPr>
                <w:rStyle w:val="7"/>
                <w:rFonts w:hint="default" w:ascii="Times New Roman" w:hAnsi="Times New Roman" w:cs="Times New Roman"/>
                <w:sz w:val="20"/>
                <w:szCs w:val="20"/>
              </w:rPr>
              <w:t>（</w:t>
            </w:r>
            <w:r>
              <w:rPr>
                <w:rStyle w:val="8"/>
                <w:sz w:val="20"/>
                <w:szCs w:val="20"/>
              </w:rPr>
              <w:t>20</w:t>
            </w:r>
            <w:r>
              <w:rPr>
                <w:rStyle w:val="7"/>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信息</w:t>
            </w:r>
          </w:p>
          <w:p>
            <w:pPr>
              <w:widowControl/>
              <w:spacing w:line="280" w:lineRule="exact"/>
              <w:jc w:val="center"/>
              <w:textAlignment w:val="center"/>
              <w:rPr>
                <w:color w:val="000000"/>
                <w:sz w:val="20"/>
                <w:szCs w:val="20"/>
              </w:rPr>
            </w:pPr>
            <w:r>
              <w:rPr>
                <w:color w:val="000000"/>
                <w:kern w:val="0"/>
                <w:sz w:val="20"/>
                <w:szCs w:val="20"/>
              </w:rPr>
              <w:t>公开性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7"/>
                <w:rFonts w:hint="default" w:ascii="Times New Roman" w:hAnsi="Times New Roman" w:cs="Times New Roman"/>
                <w:sz w:val="20"/>
                <w:szCs w:val="20"/>
              </w:rPr>
              <w:t>①预算单位按规定及时、准确、完整的公开预决算和绩效管理信息；</w:t>
            </w:r>
            <w:r>
              <w:rPr>
                <w:rStyle w:val="8"/>
                <w:sz w:val="20"/>
                <w:szCs w:val="20"/>
              </w:rPr>
              <w:br w:type="textWrapping"/>
            </w:r>
            <w:r>
              <w:rPr>
                <w:rStyle w:val="7"/>
                <w:rFonts w:hint="default" w:ascii="Times New Roman" w:hAnsi="Times New Roman" w:cs="Times New Roman"/>
                <w:sz w:val="20"/>
                <w:szCs w:val="20"/>
              </w:rPr>
              <w:t>②基础数据信息和会计信息资料真实、准确、完整；</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7"/>
                <w:rFonts w:hint="default" w:ascii="Times New Roman" w:hAnsi="Times New Roman" w:cs="Times New Roman"/>
                <w:sz w:val="20"/>
                <w:szCs w:val="20"/>
              </w:rPr>
              <w:t>①、②各计</w:t>
            </w:r>
            <w:r>
              <w:rPr>
                <w:rStyle w:val="8"/>
                <w:sz w:val="20"/>
                <w:szCs w:val="20"/>
              </w:rPr>
              <w:t>1</w:t>
            </w:r>
            <w:r>
              <w:rPr>
                <w:rStyle w:val="7"/>
                <w:rFonts w:hint="default" w:ascii="Times New Roman" w:hAnsi="Times New Roman" w:cs="Times New Roman"/>
                <w:sz w:val="20"/>
                <w:szCs w:val="20"/>
              </w:rPr>
              <w:t>分，否则，酌情扣分；</w:t>
            </w:r>
          </w:p>
        </w:tc>
        <w:tc>
          <w:tcPr>
            <w:tcW w:w="477"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7"/>
                <w:rFonts w:hint="default" w:ascii="Times New Roman" w:hAnsi="Times New Roman" w:cs="Times New Roman"/>
                <w:sz w:val="20"/>
                <w:szCs w:val="20"/>
              </w:rPr>
              <w:t>绩效自评</w:t>
            </w:r>
            <w:r>
              <w:rPr>
                <w:rStyle w:val="8"/>
                <w:sz w:val="20"/>
                <w:szCs w:val="20"/>
              </w:rPr>
              <w:br w:type="textWrapping"/>
            </w:r>
            <w:r>
              <w:rPr>
                <w:rStyle w:val="7"/>
                <w:rFonts w:hint="default" w:ascii="Times New Roman" w:hAnsi="Times New Roman" w:cs="Times New Roman"/>
                <w:sz w:val="20"/>
                <w:szCs w:val="20"/>
              </w:rPr>
              <w:t>管理情况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7"/>
                <w:rFonts w:hint="default" w:ascii="Times New Roman" w:hAnsi="Times New Roman" w:cs="Times New Roman"/>
                <w:sz w:val="20"/>
                <w:szCs w:val="20"/>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7"/>
                <w:rFonts w:hint="default" w:ascii="Times New Roman" w:hAnsi="Times New Roman" w:cs="Times New Roman"/>
                <w:sz w:val="20"/>
                <w:szCs w:val="20"/>
              </w:rPr>
              <w:t>根据市财政局2020年考核结果，评审为优，计</w:t>
            </w:r>
            <w:r>
              <w:rPr>
                <w:rStyle w:val="8"/>
                <w:sz w:val="20"/>
                <w:szCs w:val="20"/>
              </w:rPr>
              <w:t>4</w:t>
            </w:r>
            <w:r>
              <w:rPr>
                <w:rStyle w:val="7"/>
                <w:rFonts w:hint="default" w:ascii="Times New Roman" w:hAnsi="Times New Roman" w:cs="Times New Roman"/>
                <w:sz w:val="20"/>
                <w:szCs w:val="20"/>
              </w:rPr>
              <w:t>分；评审为良，计</w:t>
            </w:r>
            <w:r>
              <w:rPr>
                <w:rStyle w:val="8"/>
                <w:sz w:val="20"/>
                <w:szCs w:val="20"/>
              </w:rPr>
              <w:t>3</w:t>
            </w:r>
            <w:r>
              <w:rPr>
                <w:rStyle w:val="7"/>
                <w:rFonts w:hint="default" w:ascii="Times New Roman" w:hAnsi="Times New Roman" w:cs="Times New Roman"/>
                <w:sz w:val="20"/>
                <w:szCs w:val="20"/>
              </w:rPr>
              <w:t>分；评审为中，计</w:t>
            </w:r>
            <w:r>
              <w:rPr>
                <w:rStyle w:val="8"/>
                <w:sz w:val="20"/>
                <w:szCs w:val="20"/>
              </w:rPr>
              <w:t>2</w:t>
            </w:r>
            <w:r>
              <w:rPr>
                <w:rStyle w:val="7"/>
                <w:rFonts w:hint="default" w:ascii="Times New Roman" w:hAnsi="Times New Roman" w:cs="Times New Roman"/>
                <w:sz w:val="20"/>
                <w:szCs w:val="20"/>
              </w:rPr>
              <w:t>分；评审为低，计</w:t>
            </w:r>
            <w:r>
              <w:rPr>
                <w:rStyle w:val="8"/>
                <w:sz w:val="20"/>
                <w:szCs w:val="20"/>
              </w:rPr>
              <w:t>1</w:t>
            </w:r>
            <w:r>
              <w:rPr>
                <w:rStyle w:val="7"/>
                <w:rFonts w:hint="default" w:ascii="Times New Roman" w:hAnsi="Times New Roman" w:cs="Times New Roman"/>
                <w:sz w:val="20"/>
                <w:szCs w:val="20"/>
              </w:rPr>
              <w:t>分；评审为差，计</w:t>
            </w:r>
            <w:r>
              <w:rPr>
                <w:rStyle w:val="8"/>
                <w:sz w:val="20"/>
                <w:szCs w:val="20"/>
              </w:rPr>
              <w:t>0</w:t>
            </w:r>
            <w:r>
              <w:rPr>
                <w:rStyle w:val="7"/>
                <w:rFonts w:hint="default" w:ascii="Times New Roman" w:hAnsi="Times New Roman" w:cs="Times New Roman"/>
                <w:sz w:val="20"/>
                <w:szCs w:val="20"/>
              </w:rPr>
              <w:t>分。</w:t>
            </w:r>
          </w:p>
        </w:tc>
        <w:tc>
          <w:tcPr>
            <w:tcW w:w="477"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7"/>
                <w:rFonts w:hint="default" w:ascii="Times New Roman" w:hAnsi="Times New Roman" w:cs="Times New Roman"/>
                <w:sz w:val="20"/>
                <w:szCs w:val="20"/>
              </w:rPr>
              <w:t>重点绩效评价整改情况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7"/>
                <w:rFonts w:hint="default" w:ascii="Times New Roman" w:hAnsi="Times New Roman" w:cs="Times New Roman"/>
                <w:sz w:val="20"/>
                <w:szCs w:val="20"/>
              </w:rPr>
              <w:t>对上年度财政重点评价中存在的问题是否进行整改。</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7"/>
                <w:rFonts w:hint="default" w:ascii="Times New Roman" w:hAnsi="Times New Roman" w:cs="Times New Roman"/>
                <w:sz w:val="20"/>
                <w:szCs w:val="20"/>
              </w:rPr>
              <w:t>2019年重点评价问题全部整改，计</w:t>
            </w:r>
            <w:r>
              <w:rPr>
                <w:rStyle w:val="8"/>
                <w:sz w:val="20"/>
                <w:szCs w:val="20"/>
              </w:rPr>
              <w:t>5</w:t>
            </w:r>
            <w:r>
              <w:rPr>
                <w:rStyle w:val="7"/>
                <w:rFonts w:hint="default" w:ascii="Times New Roman" w:hAnsi="Times New Roman" w:cs="Times New Roman"/>
                <w:sz w:val="20"/>
                <w:szCs w:val="20"/>
              </w:rPr>
              <w:t>分；2019年重点评价问题部分整改，计</w:t>
            </w:r>
            <w:r>
              <w:rPr>
                <w:rStyle w:val="8"/>
                <w:sz w:val="20"/>
                <w:szCs w:val="20"/>
              </w:rPr>
              <w:t>3</w:t>
            </w:r>
            <w:r>
              <w:rPr>
                <w:rStyle w:val="7"/>
                <w:rFonts w:hint="default" w:ascii="Times New Roman" w:hAnsi="Times New Roman" w:cs="Times New Roman"/>
                <w:sz w:val="20"/>
                <w:szCs w:val="20"/>
              </w:rPr>
              <w:t>分；2019年重点评价问题未整改且无整改情况说明的不计分。</w:t>
            </w:r>
          </w:p>
        </w:tc>
        <w:tc>
          <w:tcPr>
            <w:tcW w:w="477"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tcMar>
              <w:top w:w="15" w:type="dxa"/>
              <w:left w:w="15" w:type="dxa"/>
              <w:right w:w="15" w:type="dxa"/>
            </w:tcMar>
            <w:vAlign w:val="center"/>
          </w:tcPr>
          <w:p>
            <w:pPr>
              <w:widowControl/>
              <w:spacing w:line="280" w:lineRule="exact"/>
              <w:jc w:val="center"/>
              <w:textAlignment w:val="center"/>
              <w:rPr>
                <w:color w:val="000000"/>
                <w:sz w:val="20"/>
                <w:szCs w:val="20"/>
              </w:rPr>
            </w:pPr>
          </w:p>
        </w:tc>
        <w:tc>
          <w:tcPr>
            <w:tcW w:w="373" w:type="pct"/>
            <w:vMerge w:val="restart"/>
            <w:tcMar>
              <w:top w:w="15" w:type="dxa"/>
              <w:left w:w="15" w:type="dxa"/>
              <w:right w:w="15" w:type="dxa"/>
            </w:tcMar>
            <w:vAlign w:val="center"/>
          </w:tcPr>
          <w:p>
            <w:pPr>
              <w:widowControl/>
              <w:spacing w:line="280" w:lineRule="exact"/>
              <w:jc w:val="center"/>
              <w:textAlignment w:val="center"/>
              <w:rPr>
                <w:color w:val="000000"/>
                <w:sz w:val="20"/>
                <w:szCs w:val="20"/>
              </w:rPr>
            </w:pPr>
            <w:r>
              <w:rPr>
                <w:rStyle w:val="7"/>
                <w:rFonts w:hint="default" w:ascii="Times New Roman" w:hAnsi="Times New Roman" w:cs="Times New Roman"/>
                <w:sz w:val="20"/>
                <w:szCs w:val="20"/>
              </w:rPr>
              <w:t>资产</w:t>
            </w:r>
            <w:r>
              <w:rPr>
                <w:rStyle w:val="8"/>
                <w:sz w:val="20"/>
                <w:szCs w:val="20"/>
              </w:rPr>
              <w:br w:type="textWrapping"/>
            </w:r>
            <w:r>
              <w:rPr>
                <w:rStyle w:val="7"/>
                <w:rFonts w:hint="default" w:ascii="Times New Roman" w:hAnsi="Times New Roman" w:cs="Times New Roman"/>
                <w:sz w:val="20"/>
                <w:szCs w:val="20"/>
              </w:rPr>
              <w:t>管理</w:t>
            </w:r>
            <w:r>
              <w:rPr>
                <w:rStyle w:val="8"/>
                <w:sz w:val="20"/>
                <w:szCs w:val="20"/>
              </w:rPr>
              <w:br w:type="textWrapping"/>
            </w:r>
            <w:r>
              <w:rPr>
                <w:rStyle w:val="7"/>
                <w:rFonts w:hint="default" w:ascii="Times New Roman" w:hAnsi="Times New Roman" w:cs="Times New Roman"/>
                <w:sz w:val="20"/>
                <w:szCs w:val="20"/>
              </w:rPr>
              <w:t>（</w:t>
            </w:r>
            <w:r>
              <w:rPr>
                <w:rStyle w:val="8"/>
                <w:sz w:val="20"/>
                <w:szCs w:val="20"/>
              </w:rPr>
              <w:t>5</w:t>
            </w:r>
            <w:r>
              <w:rPr>
                <w:rStyle w:val="7"/>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资产</w:t>
            </w:r>
          </w:p>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管理</w:t>
            </w:r>
            <w:r>
              <w:rPr>
                <w:rStyle w:val="8"/>
                <w:sz w:val="20"/>
                <w:szCs w:val="20"/>
              </w:rPr>
              <w:br w:type="textWrapping"/>
            </w:r>
            <w:r>
              <w:rPr>
                <w:rStyle w:val="7"/>
                <w:rFonts w:hint="default" w:ascii="Times New Roman" w:hAnsi="Times New Roman" w:cs="Times New Roman"/>
                <w:sz w:val="20"/>
                <w:szCs w:val="20"/>
              </w:rPr>
              <w:t>制度</w:t>
            </w:r>
          </w:p>
          <w:p>
            <w:pPr>
              <w:widowControl/>
              <w:spacing w:line="280" w:lineRule="exact"/>
              <w:jc w:val="center"/>
              <w:textAlignment w:val="center"/>
              <w:rPr>
                <w:color w:val="000000"/>
                <w:sz w:val="20"/>
                <w:szCs w:val="20"/>
              </w:rPr>
            </w:pPr>
            <w:r>
              <w:rPr>
                <w:rStyle w:val="7"/>
                <w:rFonts w:hint="default" w:ascii="Times New Roman" w:hAnsi="Times New Roman" w:cs="Times New Roman"/>
                <w:sz w:val="20"/>
                <w:szCs w:val="20"/>
              </w:rPr>
              <w:t>健全性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7"/>
                <w:rFonts w:hint="default" w:ascii="Times New Roman" w:hAnsi="Times New Roman" w:cs="Times New Roman"/>
                <w:sz w:val="20"/>
                <w:szCs w:val="20"/>
              </w:rPr>
              <w:t>①是否已制定合法、合规、完整的资产管理制度；</w:t>
            </w:r>
            <w:r>
              <w:rPr>
                <w:rStyle w:val="8"/>
                <w:sz w:val="20"/>
                <w:szCs w:val="20"/>
              </w:rPr>
              <w:br w:type="textWrapping"/>
            </w:r>
            <w:r>
              <w:rPr>
                <w:rStyle w:val="7"/>
                <w:rFonts w:hint="default" w:ascii="Times New Roman" w:hAnsi="Times New Roman" w:cs="Times New Roman"/>
                <w:sz w:val="20"/>
                <w:szCs w:val="20"/>
              </w:rPr>
              <w:t>②相关资产管理制度是否得到有效执行；</w:t>
            </w:r>
            <w:r>
              <w:rPr>
                <w:rStyle w:val="8"/>
                <w:sz w:val="20"/>
                <w:szCs w:val="20"/>
              </w:rPr>
              <w:br w:type="textWrapping"/>
            </w:r>
            <w:r>
              <w:rPr>
                <w:rStyle w:val="7"/>
                <w:rFonts w:hint="default" w:ascii="Times New Roman" w:hAnsi="Times New Roman" w:cs="Times New Roman"/>
                <w:sz w:val="20"/>
                <w:szCs w:val="20"/>
              </w:rPr>
              <w:t>③资产配置是否编制年度预算；</w:t>
            </w:r>
            <w:r>
              <w:rPr>
                <w:rStyle w:val="7"/>
                <w:rFonts w:hint="default" w:ascii="Times New Roman" w:hAnsi="Times New Roman" w:cs="Times New Roman"/>
                <w:sz w:val="20"/>
                <w:szCs w:val="20"/>
              </w:rPr>
              <w:br w:type="textWrapping"/>
            </w:r>
            <w:r>
              <w:rPr>
                <w:rStyle w:val="7"/>
                <w:rFonts w:hint="default" w:ascii="Times New Roman" w:hAnsi="Times New Roman" w:cs="Times New Roman"/>
                <w:sz w:val="20"/>
                <w:szCs w:val="20"/>
              </w:rPr>
              <w:t>④资产配置预算实际执行情况。</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7"/>
                <w:rFonts w:hint="default" w:ascii="Times New Roman" w:hAnsi="Times New Roman" w:cs="Times New Roman"/>
                <w:sz w:val="20"/>
                <w:szCs w:val="20"/>
              </w:rPr>
              <w:t>①已制定合法、合规、完整的资产管理制度，计</w:t>
            </w:r>
            <w:r>
              <w:rPr>
                <w:rStyle w:val="8"/>
                <w:sz w:val="20"/>
                <w:szCs w:val="20"/>
              </w:rPr>
              <w:t>0.5</w:t>
            </w:r>
            <w:r>
              <w:rPr>
                <w:rStyle w:val="7"/>
                <w:rFonts w:hint="default" w:ascii="Times New Roman" w:hAnsi="Times New Roman" w:cs="Times New Roman"/>
                <w:sz w:val="20"/>
                <w:szCs w:val="20"/>
              </w:rPr>
              <w:t>分，否则不得分；</w:t>
            </w:r>
            <w:r>
              <w:rPr>
                <w:rStyle w:val="8"/>
                <w:sz w:val="20"/>
                <w:szCs w:val="20"/>
              </w:rPr>
              <w:br w:type="textWrapping"/>
            </w:r>
            <w:r>
              <w:rPr>
                <w:rStyle w:val="7"/>
                <w:rFonts w:hint="default" w:ascii="Times New Roman" w:hAnsi="Times New Roman" w:cs="Times New Roman"/>
                <w:sz w:val="20"/>
                <w:szCs w:val="20"/>
              </w:rPr>
              <w:t>②相关资产管理制度得到有效执行，计</w:t>
            </w:r>
            <w:r>
              <w:rPr>
                <w:rStyle w:val="8"/>
                <w:sz w:val="20"/>
                <w:szCs w:val="20"/>
              </w:rPr>
              <w:t>0.5</w:t>
            </w:r>
            <w:r>
              <w:rPr>
                <w:rStyle w:val="7"/>
                <w:rFonts w:hint="default" w:ascii="Times New Roman" w:hAnsi="Times New Roman" w:cs="Times New Roman"/>
                <w:sz w:val="20"/>
                <w:szCs w:val="20"/>
              </w:rPr>
              <w:t>分，否则，不得分；</w:t>
            </w:r>
            <w:r>
              <w:rPr>
                <w:rStyle w:val="8"/>
                <w:sz w:val="20"/>
                <w:szCs w:val="20"/>
              </w:rPr>
              <w:br w:type="textWrapping"/>
            </w:r>
            <w:r>
              <w:rPr>
                <w:rStyle w:val="7"/>
                <w:rFonts w:hint="default" w:ascii="Times New Roman" w:hAnsi="Times New Roman" w:cs="Times New Roman"/>
                <w:sz w:val="20"/>
                <w:szCs w:val="20"/>
              </w:rPr>
              <w:t>③资产管理编制年度预算，计</w:t>
            </w:r>
            <w:r>
              <w:rPr>
                <w:rStyle w:val="8"/>
                <w:sz w:val="20"/>
                <w:szCs w:val="20"/>
              </w:rPr>
              <w:t>0.5</w:t>
            </w:r>
            <w:r>
              <w:rPr>
                <w:rStyle w:val="7"/>
                <w:rFonts w:hint="default" w:ascii="Times New Roman" w:hAnsi="Times New Roman" w:cs="Times New Roman"/>
                <w:sz w:val="20"/>
                <w:szCs w:val="20"/>
              </w:rPr>
              <w:t>分，未编制不得分。</w:t>
            </w:r>
            <w:r>
              <w:rPr>
                <w:rStyle w:val="8"/>
                <w:sz w:val="20"/>
                <w:szCs w:val="20"/>
              </w:rPr>
              <w:br w:type="textWrapping"/>
            </w:r>
            <w:r>
              <w:rPr>
                <w:rStyle w:val="7"/>
                <w:rFonts w:hint="default" w:ascii="Times New Roman" w:hAnsi="Times New Roman" w:cs="Times New Roman"/>
                <w:sz w:val="20"/>
                <w:szCs w:val="20"/>
              </w:rPr>
              <w:t>④资产配置预算实际执行情况未超年度预算（按程序审批除外），计</w:t>
            </w:r>
            <w:r>
              <w:rPr>
                <w:rStyle w:val="8"/>
                <w:sz w:val="20"/>
                <w:szCs w:val="20"/>
              </w:rPr>
              <w:t>0.5</w:t>
            </w:r>
            <w:r>
              <w:rPr>
                <w:rStyle w:val="7"/>
                <w:rFonts w:hint="default" w:ascii="Times New Roman" w:hAnsi="Times New Roman" w:cs="Times New Roman"/>
                <w:sz w:val="20"/>
                <w:szCs w:val="20"/>
              </w:rPr>
              <w:t>分，否则，不得分。</w:t>
            </w:r>
          </w:p>
        </w:tc>
        <w:tc>
          <w:tcPr>
            <w:tcW w:w="477"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7"/>
                <w:rFonts w:hint="default" w:ascii="Times New Roman" w:hAnsi="Times New Roman" w:cs="Times New Roman"/>
                <w:sz w:val="20"/>
                <w:szCs w:val="20"/>
              </w:rPr>
              <w:t>资产管理</w:t>
            </w:r>
            <w:r>
              <w:rPr>
                <w:rStyle w:val="8"/>
                <w:sz w:val="20"/>
                <w:szCs w:val="20"/>
              </w:rPr>
              <w:br w:type="textWrapping"/>
            </w:r>
            <w:r>
              <w:rPr>
                <w:rStyle w:val="7"/>
                <w:rFonts w:hint="default" w:ascii="Times New Roman" w:hAnsi="Times New Roman" w:cs="Times New Roman"/>
                <w:sz w:val="20"/>
                <w:szCs w:val="20"/>
              </w:rPr>
              <w:t>安全性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7"/>
                <w:rFonts w:hint="default" w:ascii="Times New Roman" w:hAnsi="Times New Roman" w:cs="Times New Roman"/>
                <w:sz w:val="20"/>
                <w:szCs w:val="20"/>
              </w:rPr>
              <w:t>①资产保存是否完整并有台账；</w:t>
            </w:r>
            <w:r>
              <w:rPr>
                <w:rStyle w:val="8"/>
                <w:sz w:val="20"/>
                <w:szCs w:val="20"/>
              </w:rPr>
              <w:br w:type="textWrapping"/>
            </w:r>
            <w:r>
              <w:rPr>
                <w:rStyle w:val="7"/>
                <w:rFonts w:hint="default" w:ascii="Times New Roman" w:hAnsi="Times New Roman" w:cs="Times New Roman"/>
                <w:sz w:val="20"/>
                <w:szCs w:val="20"/>
              </w:rPr>
              <w:t>②资产配置是否合理；</w:t>
            </w:r>
            <w:r>
              <w:rPr>
                <w:rStyle w:val="8"/>
                <w:sz w:val="20"/>
                <w:szCs w:val="20"/>
              </w:rPr>
              <w:br w:type="textWrapping"/>
            </w:r>
            <w:r>
              <w:rPr>
                <w:rStyle w:val="7"/>
                <w:rFonts w:hint="default" w:ascii="Times New Roman" w:hAnsi="Times New Roman" w:cs="Times New Roman"/>
                <w:sz w:val="20"/>
                <w:szCs w:val="20"/>
              </w:rPr>
              <w:t>③资产处置是否规范；</w:t>
            </w:r>
            <w:r>
              <w:rPr>
                <w:rStyle w:val="8"/>
                <w:sz w:val="20"/>
                <w:szCs w:val="20"/>
              </w:rPr>
              <w:br w:type="textWrapping"/>
            </w:r>
            <w:r>
              <w:rPr>
                <w:rStyle w:val="7"/>
                <w:rFonts w:hint="default" w:ascii="Times New Roman" w:hAnsi="Times New Roman" w:cs="Times New Roman"/>
                <w:sz w:val="20"/>
                <w:szCs w:val="20"/>
              </w:rPr>
              <w:t>④资产账务管理是否合规，是否</w:t>
            </w:r>
            <w:r>
              <w:rPr>
                <w:rStyle w:val="7"/>
                <w:rFonts w:hint="eastAsia" w:cs="Times New Roman"/>
                <w:sz w:val="20"/>
                <w:szCs w:val="20"/>
                <w:lang w:eastAsia="zh-CN"/>
              </w:rPr>
              <w:t>账</w:t>
            </w:r>
            <w:r>
              <w:rPr>
                <w:rStyle w:val="7"/>
                <w:rFonts w:hint="default" w:ascii="Times New Roman" w:hAnsi="Times New Roman" w:cs="Times New Roman"/>
                <w:sz w:val="20"/>
                <w:szCs w:val="20"/>
              </w:rPr>
              <w:t>实相符；</w:t>
            </w:r>
            <w:r>
              <w:rPr>
                <w:rStyle w:val="8"/>
                <w:sz w:val="20"/>
                <w:szCs w:val="20"/>
              </w:rPr>
              <w:br w:type="textWrapping"/>
            </w:r>
            <w:r>
              <w:rPr>
                <w:rStyle w:val="7"/>
                <w:rFonts w:hint="default" w:ascii="Times New Roman" w:hAnsi="Times New Roman" w:cs="Times New Roman"/>
                <w:sz w:val="20"/>
                <w:szCs w:val="20"/>
              </w:rPr>
              <w:t>⑤资产是否有偿使用或处置收入及时足额上缴；</w:t>
            </w:r>
            <w:r>
              <w:rPr>
                <w:rStyle w:val="8"/>
                <w:sz w:val="20"/>
                <w:szCs w:val="20"/>
              </w:rPr>
              <w:br w:type="textWrapping"/>
            </w:r>
            <w:r>
              <w:rPr>
                <w:rStyle w:val="7"/>
                <w:rFonts w:hint="default" w:ascii="Times New Roman" w:hAnsi="Times New Roman" w:cs="Times New Roman"/>
                <w:sz w:val="20"/>
                <w:szCs w:val="20"/>
              </w:rPr>
              <w:t>⑥相关资产购置是否履行政府采购手续；</w:t>
            </w:r>
            <w:r>
              <w:rPr>
                <w:rStyle w:val="8"/>
                <w:sz w:val="20"/>
                <w:szCs w:val="20"/>
              </w:rPr>
              <w:br w:type="textWrapping"/>
            </w:r>
            <w:r>
              <w:rPr>
                <w:rStyle w:val="7"/>
                <w:rFonts w:hint="default" w:ascii="Times New Roman" w:hAnsi="Times New Roman" w:cs="Times New Roman"/>
                <w:sz w:val="20"/>
                <w:szCs w:val="20"/>
              </w:rPr>
              <w:t>⑦资产是否定期进行盘点并有记录。</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7"/>
                <w:rFonts w:hint="default" w:ascii="Times New Roman" w:hAnsi="Times New Roman" w:cs="Times New Roman"/>
                <w:sz w:val="20"/>
                <w:szCs w:val="20"/>
              </w:rPr>
              <w:t>①资产配置合理符合标准、保管完整，账务管理规范，定期盘点并有台账，账实相符的，计</w:t>
            </w:r>
            <w:r>
              <w:rPr>
                <w:rStyle w:val="8"/>
                <w:sz w:val="20"/>
                <w:szCs w:val="20"/>
              </w:rPr>
              <w:t>0.5</w:t>
            </w:r>
            <w:r>
              <w:rPr>
                <w:rStyle w:val="7"/>
                <w:rFonts w:hint="default" w:ascii="Times New Roman" w:hAnsi="Times New Roman" w:cs="Times New Roman"/>
                <w:sz w:val="20"/>
                <w:szCs w:val="20"/>
              </w:rPr>
              <w:t>分，发现一例不符，扣</w:t>
            </w:r>
            <w:r>
              <w:rPr>
                <w:rStyle w:val="8"/>
                <w:sz w:val="20"/>
                <w:szCs w:val="20"/>
              </w:rPr>
              <w:t>0.1</w:t>
            </w:r>
            <w:r>
              <w:rPr>
                <w:rStyle w:val="7"/>
                <w:rFonts w:hint="default" w:ascii="Times New Roman" w:hAnsi="Times New Roman" w:cs="Times New Roman"/>
                <w:sz w:val="20"/>
                <w:szCs w:val="20"/>
              </w:rPr>
              <w:t>分，扣完为止；</w:t>
            </w:r>
            <w:r>
              <w:rPr>
                <w:rStyle w:val="8"/>
                <w:sz w:val="20"/>
                <w:szCs w:val="20"/>
              </w:rPr>
              <w:br w:type="textWrapping"/>
            </w:r>
            <w:r>
              <w:rPr>
                <w:rStyle w:val="7"/>
                <w:rFonts w:hint="default" w:ascii="Times New Roman" w:hAnsi="Times New Roman" w:cs="Times New Roman"/>
                <w:sz w:val="20"/>
                <w:szCs w:val="20"/>
              </w:rPr>
              <w:t>②资产处置规范，计0.5分，发现一例不符，扣0.1分，扣完为止；</w:t>
            </w:r>
            <w:r>
              <w:rPr>
                <w:rStyle w:val="8"/>
                <w:sz w:val="20"/>
                <w:szCs w:val="20"/>
              </w:rPr>
              <w:br w:type="textWrapping"/>
            </w:r>
            <w:r>
              <w:rPr>
                <w:rStyle w:val="7"/>
                <w:rFonts w:hint="default" w:ascii="Times New Roman" w:hAnsi="Times New Roman" w:cs="Times New Roman"/>
                <w:sz w:val="20"/>
                <w:szCs w:val="20"/>
              </w:rPr>
              <w:t>③资产有偿使用或处置收入及时足额上缴，计0.5分，发现未上缴，本项不得分；</w:t>
            </w:r>
            <w:r>
              <w:rPr>
                <w:rStyle w:val="8"/>
                <w:sz w:val="20"/>
                <w:szCs w:val="20"/>
              </w:rPr>
              <w:br w:type="textWrapping"/>
            </w:r>
            <w:r>
              <w:rPr>
                <w:rStyle w:val="7"/>
                <w:rFonts w:hint="default" w:ascii="Times New Roman" w:hAnsi="Times New Roman" w:cs="Times New Roman"/>
                <w:sz w:val="20"/>
                <w:szCs w:val="20"/>
              </w:rPr>
              <w:t>④资产购置履行政府采购手续，计0.5分，发现一例不符，扣0.1分，扣完为止；</w:t>
            </w:r>
          </w:p>
        </w:tc>
        <w:tc>
          <w:tcPr>
            <w:tcW w:w="477"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7"/>
                <w:rFonts w:hint="default" w:ascii="Times New Roman" w:hAnsi="Times New Roman" w:cs="Times New Roman"/>
                <w:sz w:val="20"/>
                <w:szCs w:val="20"/>
              </w:rPr>
              <w:t>固定资产</w:t>
            </w:r>
            <w:r>
              <w:rPr>
                <w:rStyle w:val="8"/>
                <w:sz w:val="20"/>
                <w:szCs w:val="20"/>
              </w:rPr>
              <w:br w:type="textWrapping"/>
            </w:r>
            <w:r>
              <w:rPr>
                <w:rStyle w:val="7"/>
                <w:rFonts w:hint="default" w:ascii="Times New Roman" w:hAnsi="Times New Roman" w:cs="Times New Roman"/>
                <w:sz w:val="20"/>
                <w:szCs w:val="20"/>
              </w:rPr>
              <w:t>保管和使用情况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1</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color w:val="000000"/>
                <w:kern w:val="0"/>
                <w:sz w:val="20"/>
                <w:szCs w:val="20"/>
              </w:rPr>
              <w:t>①是否建立固定资产台账，实行编码管理；</w:t>
            </w:r>
            <w:r>
              <w:rPr>
                <w:color w:val="000000"/>
                <w:kern w:val="0"/>
                <w:sz w:val="20"/>
                <w:szCs w:val="20"/>
              </w:rPr>
              <w:br w:type="textWrapping"/>
            </w:r>
            <w:r>
              <w:rPr>
                <w:color w:val="000000"/>
                <w:kern w:val="0"/>
                <w:sz w:val="20"/>
                <w:szCs w:val="20"/>
              </w:rPr>
              <w:t>②固定资产增减变化是否建立审批程序；</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建了固定资产台账实行编码管理的计0.5分；建立了固定资产增减变化审批程序的计0.5分，否则不得分。</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（25分）</w:t>
            </w:r>
          </w:p>
        </w:tc>
        <w:tc>
          <w:tcPr>
            <w:tcW w:w="37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职责</w:t>
            </w:r>
          </w:p>
          <w:p>
            <w:pPr>
              <w:spacing w:line="280" w:lineRule="exact"/>
              <w:jc w:val="center"/>
              <w:rPr>
                <w:color w:val="000000"/>
                <w:sz w:val="20"/>
                <w:szCs w:val="20"/>
              </w:rPr>
            </w:pPr>
            <w:r>
              <w:rPr>
                <w:color w:val="000000"/>
                <w:sz w:val="20"/>
                <w:szCs w:val="20"/>
              </w:rPr>
              <w:t>履行</w:t>
            </w:r>
          </w:p>
          <w:p>
            <w:pPr>
              <w:spacing w:line="280" w:lineRule="exact"/>
              <w:jc w:val="center"/>
              <w:rPr>
                <w:color w:val="000000"/>
                <w:sz w:val="20"/>
                <w:szCs w:val="20"/>
              </w:rPr>
            </w:pPr>
            <w:r>
              <w:rPr>
                <w:color w:val="000000"/>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实际</w:t>
            </w:r>
          </w:p>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完成率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部门履行职责而实际完成工作数与计划工作数的比率，用以反映和考核部门履职工作任务目标的实现程度。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实际完成率=（实际完成工作数/计划工作数）*100%。实际完成工作数：一定时期（年度或规划期）内部门实际完成工作任务的数量。</w:t>
            </w:r>
          </w:p>
          <w:p>
            <w:pPr>
              <w:widowControl/>
              <w:spacing w:line="280" w:lineRule="exact"/>
              <w:textAlignment w:val="center"/>
              <w:rPr>
                <w:color w:val="000000"/>
                <w:kern w:val="0"/>
                <w:sz w:val="20"/>
                <w:szCs w:val="20"/>
              </w:rPr>
            </w:pPr>
            <w:r>
              <w:rPr>
                <w:color w:val="000000"/>
                <w:kern w:val="0"/>
                <w:sz w:val="20"/>
                <w:szCs w:val="20"/>
              </w:rPr>
              <w:t>计划工作数：部门整体绩效目标确定的一定时期（年度或规划期）内预计完成工作任务的数量。</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完成</w:t>
            </w:r>
          </w:p>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及时性</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部门在规定时限内及时完成的实际工作数与计划工作数的比率，用以反映和考核部门履职实效目标的实现程度。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完成及时率=（及时完成实际工作数/计划工作数）*100%。及时完成工作数：部门按照整体绩效目标确定的时限实际完成的工作任务数量。</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质量</w:t>
            </w:r>
          </w:p>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达标率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达到质量标准（绩效标准值）的实际工作数与计划工作数的比率，用以反映和考核部门履职时效目标的实现程度。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质量达标率=（质量达标实际工作数/计划工作数）*100%。质量达标实际工作数：一定时期（年度或规划期）内部门实际完成工作数中达到部门绩效目标要求（绩效标准值）的工作任务数量。</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重点工作办结率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6</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部门年度重点工作实际完成数与交办或下达数的比率，用以反映部门对重点工作的办理落实程度。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重点工作办结率=（重点工作实际完成数/交办或下达数）*100%。重点工作是指党委、政府、人大、相关部门交办或下达的工作任务。</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效果</w:t>
            </w:r>
          </w:p>
          <w:p>
            <w:pPr>
              <w:spacing w:line="280" w:lineRule="exact"/>
              <w:jc w:val="center"/>
              <w:rPr>
                <w:color w:val="000000"/>
                <w:sz w:val="20"/>
                <w:szCs w:val="20"/>
              </w:rPr>
            </w:pPr>
            <w:r>
              <w:rPr>
                <w:color w:val="000000"/>
                <w:sz w:val="20"/>
                <w:szCs w:val="20"/>
              </w:rPr>
              <w:t>（25分）</w:t>
            </w:r>
          </w:p>
        </w:tc>
        <w:tc>
          <w:tcPr>
            <w:tcW w:w="37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履职</w:t>
            </w:r>
          </w:p>
          <w:p>
            <w:pPr>
              <w:spacing w:line="280" w:lineRule="exact"/>
              <w:jc w:val="center"/>
              <w:rPr>
                <w:color w:val="000000"/>
                <w:sz w:val="20"/>
                <w:szCs w:val="20"/>
              </w:rPr>
            </w:pPr>
            <w:r>
              <w:rPr>
                <w:color w:val="000000"/>
                <w:sz w:val="20"/>
                <w:szCs w:val="20"/>
              </w:rPr>
              <w:t>效益</w:t>
            </w:r>
          </w:p>
          <w:p>
            <w:pPr>
              <w:spacing w:line="280" w:lineRule="exact"/>
              <w:jc w:val="center"/>
              <w:rPr>
                <w:color w:val="000000"/>
                <w:sz w:val="20"/>
                <w:szCs w:val="20"/>
              </w:rPr>
            </w:pPr>
            <w:r>
              <w:rPr>
                <w:color w:val="000000"/>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经济效益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部门履行职责对经济发展所带来的直接或间接影响</w:t>
            </w:r>
          </w:p>
        </w:tc>
        <w:tc>
          <w:tcPr>
            <w:tcW w:w="1671" w:type="pct"/>
            <w:vMerge w:val="restar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社会效益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部门履行职责对社会发展所带来的直接或间接影响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生态效益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部门履行职责对生态环境所带来的直接或间接影响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社会公众或服务对象满意度</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8</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社会公众或部门的服务对象对部门履职效果的满意程度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社会公众或服务对象是指部门履行职责而影响到的部门、群体或个人。一般采取社会调查的方式。</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合计</w:t>
            </w:r>
          </w:p>
        </w:tc>
        <w:tc>
          <w:tcPr>
            <w:tcW w:w="37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 xml:space="preserve"> </w:t>
            </w: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100</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95</w:t>
            </w:r>
          </w:p>
        </w:tc>
      </w:tr>
    </w:tbl>
    <w:p/>
    <w:p>
      <w:pPr>
        <w:widowControl/>
        <w:spacing w:line="600" w:lineRule="exact"/>
      </w:pPr>
    </w:p>
    <w:p>
      <w:pPr>
        <w:widowControl/>
        <w:spacing w:line="600" w:lineRule="exact"/>
        <w:rPr>
          <w:rFonts w:eastAsia="黑体"/>
          <w:kern w:val="0"/>
          <w:sz w:val="32"/>
          <w:szCs w:val="32"/>
        </w:rPr>
      </w:pPr>
    </w:p>
    <w:p>
      <w:pPr>
        <w:widowControl/>
        <w:spacing w:line="600" w:lineRule="exact"/>
        <w:rPr>
          <w:rFonts w:eastAsia="黑体"/>
          <w:kern w:val="0"/>
          <w:sz w:val="32"/>
          <w:szCs w:val="32"/>
        </w:rPr>
      </w:pPr>
      <w:r>
        <w:rPr>
          <w:rFonts w:eastAsia="黑体"/>
          <w:kern w:val="0"/>
          <w:sz w:val="32"/>
          <w:szCs w:val="32"/>
        </w:rPr>
        <w:t>附件</w:t>
      </w:r>
      <w:r>
        <w:rPr>
          <w:rFonts w:hint="eastAsia" w:eastAsia="黑体"/>
          <w:kern w:val="0"/>
          <w:sz w:val="32"/>
          <w:szCs w:val="32"/>
        </w:rPr>
        <w:t>3</w:t>
      </w:r>
    </w:p>
    <w:p>
      <w:pPr>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长沙市雨花区交通运输局</w:t>
      </w:r>
    </w:p>
    <w:p>
      <w:pPr>
        <w:jc w:val="center"/>
        <w:rPr>
          <w:rFonts w:ascii="方正小标宋简体" w:eastAsia="方正小标宋简体"/>
          <w:sz w:val="32"/>
          <w:szCs w:val="32"/>
        </w:rPr>
      </w:pPr>
      <w:r>
        <w:rPr>
          <w:rFonts w:hint="eastAsia" w:ascii="方正小标宋简体" w:hAnsi="黑体" w:eastAsia="方正小标宋简体" w:cs="黑体"/>
          <w:sz w:val="44"/>
          <w:szCs w:val="44"/>
        </w:rPr>
        <w:t>2020年度整体支出绩效报告</w:t>
      </w:r>
      <w:r>
        <w:rPr>
          <w:rFonts w:hint="eastAsia" w:ascii="方正小标宋简体" w:eastAsia="方正小标宋简体"/>
          <w:sz w:val="32"/>
          <w:szCs w:val="32"/>
        </w:rPr>
        <w:t xml:space="preserve"> </w:t>
      </w:r>
    </w:p>
    <w:p>
      <w:pPr>
        <w:ind w:firstLine="750" w:firstLineChars="250"/>
        <w:rPr>
          <w:sz w:val="30"/>
          <w:szCs w:val="30"/>
        </w:rPr>
      </w:pPr>
    </w:p>
    <w:p>
      <w:pPr>
        <w:ind w:firstLine="800" w:firstLineChars="250"/>
        <w:rPr>
          <w:rFonts w:ascii="黑体" w:hAnsi="黑体" w:eastAsia="黑体" w:cs="黑体"/>
          <w:bCs/>
          <w:sz w:val="32"/>
          <w:szCs w:val="32"/>
        </w:rPr>
      </w:pPr>
      <w:r>
        <w:rPr>
          <w:rFonts w:hint="eastAsia" w:ascii="黑体" w:hAnsi="黑体" w:eastAsia="黑体" w:cs="黑体"/>
          <w:bCs/>
          <w:sz w:val="32"/>
          <w:szCs w:val="32"/>
        </w:rPr>
        <w:t xml:space="preserve">一、部门概况 </w:t>
      </w:r>
    </w:p>
    <w:p>
      <w:pPr>
        <w:pStyle w:val="4"/>
        <w:shd w:val="clear" w:color="auto" w:fill="FFFFFF"/>
        <w:spacing w:before="0" w:beforeAutospacing="0" w:after="0" w:afterAutospacing="0" w:line="578" w:lineRule="exact"/>
        <w:ind w:firstLine="640" w:firstLineChars="200"/>
        <w:jc w:val="both"/>
        <w:rPr>
          <w:rFonts w:ascii="仿宋" w:hAnsi="仿宋" w:eastAsia="仿宋" w:cs="Times New Roman"/>
          <w:kern w:val="2"/>
          <w:sz w:val="32"/>
          <w:szCs w:val="32"/>
        </w:rPr>
      </w:pPr>
      <w:r>
        <w:rPr>
          <w:rFonts w:hint="eastAsia" w:ascii="仿宋" w:hAnsi="仿宋" w:eastAsia="仿宋"/>
          <w:sz w:val="32"/>
          <w:szCs w:val="32"/>
        </w:rPr>
        <w:t xml:space="preserve"> </w:t>
      </w:r>
      <w:r>
        <w:rPr>
          <w:rFonts w:hint="eastAsia" w:ascii="仿宋" w:hAnsi="仿宋" w:eastAsia="仿宋" w:cs="Times New Roman"/>
          <w:kern w:val="2"/>
          <w:sz w:val="32"/>
          <w:szCs w:val="32"/>
        </w:rPr>
        <w:t xml:space="preserve">雨花区交通运输局（以下简称区交运局）系长沙市雨花区人民政府直属行政单位。根据雨花区人民政府办公室关于印发《长沙市雨花区交通运输局主要职责内设机构和人员编制规定》，区交运局主要职责有：宣传、贯彻、执行国家和上级交通主管部门有关交通运输的法律、法规和政策；负责审核、呈报区属企、事业单位及个人从事道路客货运输、搬运装卸、运输服务、三类汽车维修业经营者的开业、停(歇)业申请及年度资质审验，报上级交通运输管理部门审批后，核发有关的运输经营证件；按规定建立各类基础台账，负责本局范围内各类统计数据的收集、整理和上报，做好各项基础工作；负责做好交通运输市场调查研究工作，掌握和提供交通运输经济情况，为上级制定发展规划和加强宏观调控提供依据；负责维护交通运输市场秩序，加强交通运输市场管理;负责全区交通运输行业安全监管工作；按照条块结合，以块为主，依靠属地，强化运输管理的原则，配合市交通运输局有关部门负责辖区内客、货运站、场的管理；按照国家标准和有关要求，协助市公路主管部门对辖区内的县、乡、村公路进行改造和养护；根据区人民政府的决定，做好防汛、救灾、抢险等物资的运输组织协调工作；负责全区公路、水路"三乱"治理工作。承办区委、区政府和上级主管部门交办的其他事项。 </w:t>
      </w:r>
    </w:p>
    <w:p>
      <w:pPr>
        <w:pStyle w:val="4"/>
        <w:shd w:val="clear" w:color="auto" w:fill="FFFFFF"/>
        <w:spacing w:before="0" w:beforeAutospacing="0" w:after="0" w:afterAutospacing="0" w:line="578"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区交运局内设办公室、公路管理科、应急管理科、运输综合科（行政审批和政务服务科）4个科室。</w:t>
      </w:r>
    </w:p>
    <w:p>
      <w:pPr>
        <w:spacing w:line="578" w:lineRule="exact"/>
        <w:ind w:firstLine="640" w:firstLineChars="200"/>
        <w:outlineLvl w:val="0"/>
        <w:rPr>
          <w:rFonts w:ascii="仿宋" w:hAnsi="仿宋" w:eastAsia="仿宋"/>
          <w:sz w:val="32"/>
          <w:szCs w:val="32"/>
        </w:rPr>
      </w:pPr>
      <w:r>
        <w:rPr>
          <w:rFonts w:hint="eastAsia" w:ascii="仿宋" w:hAnsi="仿宋" w:eastAsia="仿宋"/>
          <w:sz w:val="32"/>
          <w:szCs w:val="32"/>
        </w:rPr>
        <w:t>区交运局是全额拨款的行政单位。2020年底区交运局实有在职人员25人，离退休人员12人（离休人员1人，退休人员11人）；政府雇员19人。</w:t>
      </w:r>
    </w:p>
    <w:p>
      <w:pPr>
        <w:ind w:firstLine="800" w:firstLineChars="250"/>
        <w:rPr>
          <w:rFonts w:ascii="黑体" w:hAnsi="黑体" w:eastAsia="黑体" w:cs="黑体"/>
          <w:bCs/>
          <w:sz w:val="32"/>
          <w:szCs w:val="32"/>
        </w:rPr>
      </w:pPr>
      <w:r>
        <w:rPr>
          <w:rFonts w:hint="eastAsia" w:ascii="黑体" w:hAnsi="黑体" w:eastAsia="黑体" w:cs="黑体"/>
          <w:bCs/>
          <w:sz w:val="32"/>
          <w:szCs w:val="32"/>
        </w:rPr>
        <w:t xml:space="preserve">二、部门整体支出管理及使用情况 </w:t>
      </w:r>
    </w:p>
    <w:p>
      <w:pPr>
        <w:ind w:firstLine="640" w:firstLineChars="200"/>
        <w:rPr>
          <w:rFonts w:ascii="仿宋" w:hAnsi="仿宋" w:eastAsia="仿宋"/>
          <w:sz w:val="32"/>
          <w:szCs w:val="32"/>
        </w:rPr>
      </w:pPr>
      <w:r>
        <w:rPr>
          <w:rFonts w:hint="eastAsia" w:ascii="仿宋" w:hAnsi="仿宋" w:eastAsia="仿宋"/>
          <w:sz w:val="32"/>
          <w:szCs w:val="32"/>
        </w:rPr>
        <w:t>（一）预算安排、纵相对比及变动的主要原因</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2020年度收入预算1268.17万元， 支出预算1268.17万元，其中基本支出预算923.17万元，项目支出预算345万元，较上年对比减少146.47万元。减少的主要原因：机构改革，执法权上收，执法相关的专项经费减少；其次，相应国家的号召，实行厉行节约的政策，减少不必要的开支。</w:t>
      </w:r>
    </w:p>
    <w:p>
      <w:pPr>
        <w:numPr>
          <w:ilvl w:val="0"/>
          <w:numId w:val="1"/>
        </w:numPr>
        <w:ind w:firstLine="640" w:firstLineChars="200"/>
        <w:rPr>
          <w:rFonts w:ascii="仿宋" w:hAnsi="仿宋" w:eastAsia="仿宋"/>
          <w:sz w:val="32"/>
          <w:szCs w:val="32"/>
        </w:rPr>
      </w:pPr>
      <w:r>
        <w:rPr>
          <w:rFonts w:hint="eastAsia" w:ascii="仿宋" w:hAnsi="仿宋" w:eastAsia="仿宋"/>
          <w:sz w:val="32"/>
          <w:szCs w:val="32"/>
        </w:rPr>
        <w:t>预算执行情况，概况及纵相对比</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xml:space="preserve">    2020年度财政补助收入拨款8415.75万元，上年结转结余2026.79万元，共计10442.54万元；实际支出7923.48万元，其中基本支出930.68万元，项目支出6992.8万元；本年结余1942.20万元。</w:t>
      </w:r>
    </w:p>
    <w:p>
      <w:pPr>
        <w:adjustRightInd w:val="0"/>
        <w:snapToGrid w:val="0"/>
        <w:spacing w:line="560" w:lineRule="exact"/>
        <w:ind w:firstLine="640"/>
        <w:rPr>
          <w:rFonts w:ascii="仿宋" w:hAnsi="仿宋" w:eastAsia="仿宋"/>
          <w:sz w:val="32"/>
          <w:szCs w:val="32"/>
        </w:rPr>
      </w:pPr>
      <w:r>
        <w:rPr>
          <w:rFonts w:hint="eastAsia" w:ascii="仿宋" w:hAnsi="仿宋" w:eastAsia="仿宋"/>
          <w:sz w:val="32"/>
          <w:szCs w:val="32"/>
        </w:rPr>
        <w:t>2020年度拨款收入8415.75万元，上年结转结余2026.79万元，均为一般公共财政预算拨款。支出决算数为7923.48万元，其中基本支出决算数930.68万元，占11.75%；项目支出决算数6992.80万元，占88.25%。</w:t>
      </w:r>
    </w:p>
    <w:p>
      <w:pPr>
        <w:numPr>
          <w:ilvl w:val="0"/>
          <w:numId w:val="2"/>
        </w:numPr>
        <w:ind w:firstLine="640" w:firstLineChars="200"/>
        <w:rPr>
          <w:rFonts w:ascii="仿宋" w:hAnsi="仿宋" w:eastAsia="仿宋"/>
          <w:sz w:val="32"/>
          <w:szCs w:val="32"/>
        </w:rPr>
      </w:pPr>
      <w:r>
        <w:rPr>
          <w:rFonts w:hint="eastAsia" w:ascii="仿宋" w:hAnsi="仿宋" w:eastAsia="仿宋"/>
          <w:sz w:val="32"/>
          <w:szCs w:val="32"/>
        </w:rPr>
        <w:t>基本支出</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2020年度基本支出决算数930.68万元，占支出总额11.75%；主要包含2020年度人员工资福利支出、公用办公经费支出、党建支出、工会经费支出等。</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其中“三公”经费支出情况：公务车运行与维护费支出预算数17.82万元，决算数11.35万元；公务接待支出预算数2万元，决算数0万元；因公出国出境预算数0万元，决算数0万元，主要为执法公务车运行费用，无出国出境与公务接待费用支出。</w:t>
      </w:r>
    </w:p>
    <w:p>
      <w:pPr>
        <w:numPr>
          <w:ilvl w:val="0"/>
          <w:numId w:val="2"/>
        </w:numPr>
        <w:ind w:firstLine="640" w:firstLineChars="200"/>
        <w:rPr>
          <w:rFonts w:ascii="仿宋" w:hAnsi="仿宋" w:eastAsia="仿宋"/>
          <w:sz w:val="32"/>
          <w:szCs w:val="32"/>
        </w:rPr>
      </w:pPr>
      <w:r>
        <w:rPr>
          <w:rFonts w:hint="eastAsia" w:ascii="仿宋" w:hAnsi="仿宋" w:eastAsia="仿宋"/>
          <w:sz w:val="32"/>
          <w:szCs w:val="32"/>
        </w:rPr>
        <w:t xml:space="preserve">专项支出 </w:t>
      </w:r>
    </w:p>
    <w:p>
      <w:pPr>
        <w:ind w:firstLine="640" w:firstLineChars="200"/>
        <w:rPr>
          <w:rFonts w:ascii="仿宋" w:hAnsi="仿宋" w:eastAsia="仿宋"/>
          <w:sz w:val="32"/>
          <w:szCs w:val="32"/>
        </w:rPr>
      </w:pPr>
      <w:r>
        <w:rPr>
          <w:rFonts w:hint="eastAsia" w:ascii="仿宋" w:hAnsi="仿宋" w:eastAsia="仿宋"/>
          <w:sz w:val="32"/>
          <w:szCs w:val="32"/>
        </w:rPr>
        <w:t>（1）项目概况</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项目支出决算数6992.80万元，占总支出的88.25%。主要包括区财政下拨的：停车费专项经费、打击非法营运专项经费、春运公交专项经费、公路和运输安全专项经费、公路路政管理专项经费、物流市场专项经费、道路货物运输及站场管理专项经费、治超专项经费、办公设备购置、农村公路建设专项经费、农村公路养护专项经费、其他公路水路专项经费。</w:t>
      </w:r>
    </w:p>
    <w:p>
      <w:pPr>
        <w:ind w:firstLine="640" w:firstLineChars="200"/>
        <w:rPr>
          <w:rFonts w:ascii="仿宋" w:hAnsi="仿宋" w:eastAsia="仿宋"/>
          <w:sz w:val="32"/>
          <w:szCs w:val="32"/>
        </w:rPr>
      </w:pPr>
      <w:r>
        <w:rPr>
          <w:rFonts w:hint="eastAsia" w:ascii="仿宋" w:hAnsi="仿宋" w:eastAsia="仿宋"/>
          <w:sz w:val="32"/>
          <w:szCs w:val="32"/>
        </w:rPr>
        <w:t xml:space="preserve">（2）专项资金（主要指财政资金）实际使用情况分析。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打击非法营运专项预算经费16万元，实际使用5.65万元，预算指标结余10.35万元；</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春运公交专项预算经费10万元，实际使用7.52万元，因雨花区春运办公室设交通局，布置安排并保障区春运全面工作。预算指标结余2.48万元；</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公路和运输安全专项预算经费10万元，实际使用8万元，预算指标结余2万元，本年度全区整体运输市场安全平稳，未发生特殊重大安全生产事故；</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公路路政管理专项预算经费2万元，实际使用2万元，预算指标结余0万元；</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物流市场专项预算经费73万元，实际使用62万元，预算指标结余11万元，详见项目绩效评价；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道路货物运输及站场安全管理专项预算经费7万元，实际使用0万元，预算指标结余7万元；</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治超专项预算经费177万元，实际使用138.41万元，预算指标结余38.59万元，详见项目绩效评价；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停车费专项预算经费5万元，实际使用1.5万元，预算指标结余3.5万元，因机构改革，执法权上收，2020年支付的停车费大部分是遗留下来未处理的车辆；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办公设备购置专项预算经费5万元，实际使用0万元，预算指标结余5万元；</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法</w:t>
      </w:r>
      <w:r>
        <w:rPr>
          <w:rFonts w:hint="eastAsia" w:ascii="仿宋" w:hAnsi="仿宋" w:eastAsia="仿宋"/>
          <w:sz w:val="32"/>
          <w:szCs w:val="32"/>
          <w:lang w:eastAsia="zh-CN"/>
        </w:rPr>
        <w:t>治</w:t>
      </w:r>
      <w:r>
        <w:rPr>
          <w:rFonts w:hint="eastAsia" w:ascii="仿宋" w:hAnsi="仿宋" w:eastAsia="仿宋"/>
          <w:sz w:val="32"/>
          <w:szCs w:val="32"/>
        </w:rPr>
        <w:t>建设专项预算经费12万元，实际使用9万元，预算指标结余3万元；</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公路建设专项经费2872.24万元，结转结余下年度使用621万元，详见项目绩效评价；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公路养护专项经费463万元，结转结余下年度使用441万元，详见项目绩效评价；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其他公路水路专项经费2882.22万元，结转结余下年度使用396.08万元，详见项目绩效评价。</w:t>
      </w:r>
    </w:p>
    <w:p>
      <w:pPr>
        <w:numPr>
          <w:ilvl w:val="0"/>
          <w:numId w:val="3"/>
        </w:numPr>
        <w:ind w:firstLine="640" w:firstLineChars="200"/>
        <w:rPr>
          <w:rFonts w:ascii="仿宋" w:hAnsi="仿宋" w:eastAsia="仿宋"/>
          <w:sz w:val="32"/>
          <w:szCs w:val="32"/>
        </w:rPr>
      </w:pPr>
      <w:r>
        <w:rPr>
          <w:rFonts w:hint="eastAsia" w:ascii="仿宋" w:hAnsi="仿宋" w:eastAsia="仿宋"/>
          <w:sz w:val="32"/>
          <w:szCs w:val="32"/>
        </w:rPr>
        <w:t xml:space="preserve">专项资金管理情况分析，主要包括管理制度、办法的制订及执行情况。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积极落实专项资金管理制度，严格进行资金管理，并接受财政等部门的监督，做到了专款专用，没有滞留、截留、挤占和挪用的现象。财务管理制度健全，严格执行财务管理制度，账务处理及时，会计核算规范。</w:t>
      </w:r>
    </w:p>
    <w:p>
      <w:pPr>
        <w:ind w:firstLine="640" w:firstLineChars="200"/>
        <w:rPr>
          <w:rFonts w:ascii="仿宋" w:hAnsi="仿宋" w:eastAsia="仿宋"/>
          <w:sz w:val="32"/>
          <w:szCs w:val="32"/>
        </w:rPr>
      </w:pPr>
      <w:r>
        <w:rPr>
          <w:rFonts w:hint="eastAsia" w:ascii="黑体" w:hAnsi="黑体" w:eastAsia="黑体" w:cs="黑体"/>
          <w:sz w:val="32"/>
          <w:szCs w:val="32"/>
        </w:rPr>
        <w:t>三、资产管理情况反映部门资产的配置、管理、处置等综合情况。包括制度建设、管理措施、配置处置的程序等</w:t>
      </w:r>
      <w:r>
        <w:rPr>
          <w:rFonts w:hint="eastAsia" w:ascii="仿宋" w:hAnsi="仿宋" w:eastAsia="仿宋"/>
          <w:sz w:val="32"/>
          <w:szCs w:val="32"/>
        </w:rPr>
        <w:t xml:space="preserve">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我局建立健全国有资产使用管理制度，规范国有资产使用行为。资产配置标准从严控制，合理配备，将国有资产管理责任落实到人。固定资产的购置、处置都严格履行审批手续和程序。通过资产管理信息系统全面及时地记录资产的情况，提高了资产使用效率。</w:t>
      </w:r>
    </w:p>
    <w:p>
      <w:pPr>
        <w:ind w:firstLine="602"/>
        <w:rPr>
          <w:rFonts w:ascii="黑体" w:hAnsi="黑体" w:eastAsia="黑体" w:cs="黑体"/>
          <w:bCs/>
          <w:sz w:val="32"/>
          <w:szCs w:val="32"/>
        </w:rPr>
      </w:pPr>
      <w:r>
        <w:rPr>
          <w:rFonts w:hint="eastAsia" w:ascii="黑体" w:hAnsi="黑体" w:eastAsia="黑体" w:cs="黑体"/>
          <w:bCs/>
          <w:sz w:val="32"/>
          <w:szCs w:val="32"/>
        </w:rPr>
        <w:t xml:space="preserve">四、部门专项组织实施及整体支出绩效情况 </w:t>
      </w:r>
    </w:p>
    <w:p>
      <w:pPr>
        <w:spacing w:line="580" w:lineRule="exact"/>
        <w:ind w:firstLine="640" w:firstLineChars="200"/>
        <w:jc w:val="left"/>
        <w:rPr>
          <w:rFonts w:ascii="楷体" w:hAnsi="楷体" w:eastAsia="楷体"/>
          <w:sz w:val="32"/>
          <w:szCs w:val="32"/>
          <w:shd w:val="clear" w:color="auto" w:fill="FFFFFF"/>
        </w:rPr>
      </w:pPr>
      <w:r>
        <w:rPr>
          <w:rFonts w:ascii="楷体" w:hAnsi="楷体" w:eastAsia="楷体"/>
          <w:sz w:val="32"/>
          <w:szCs w:val="32"/>
          <w:shd w:val="clear" w:color="auto" w:fill="FFFFFF"/>
        </w:rPr>
        <w:t>一、坚持项目为本，夯实托牢发展底盘</w:t>
      </w:r>
    </w:p>
    <w:p>
      <w:pPr>
        <w:spacing w:line="580" w:lineRule="exact"/>
        <w:ind w:firstLine="643" w:firstLineChars="200"/>
        <w:rPr>
          <w:rFonts w:ascii="仿宋" w:hAnsi="仿宋" w:eastAsia="仿宋"/>
          <w:sz w:val="32"/>
          <w:szCs w:val="32"/>
        </w:rPr>
      </w:pPr>
      <w:r>
        <w:rPr>
          <w:rFonts w:ascii="仿宋" w:hAnsi="仿宋" w:eastAsia="仿宋"/>
          <w:b/>
          <w:sz w:val="32"/>
          <w:szCs w:val="32"/>
        </w:rPr>
        <w:t>（一）农村公路建设项目：</w:t>
      </w:r>
      <w:r>
        <w:rPr>
          <w:rFonts w:ascii="仿宋" w:hAnsi="仿宋" w:eastAsia="仿宋"/>
          <w:sz w:val="32"/>
          <w:szCs w:val="32"/>
          <w:shd w:val="clear" w:color="auto" w:fill="FFFFFF"/>
        </w:rPr>
        <w:t>省绩效评估“农村通组道路全覆盖”任务，涉及到我区的为自然村通水泥（沥青）公路2.3公里，已全部完成建设，农村通组道路全覆盖目标已完成。2020年建档立卡贫困户入户道路涉及157户，156条道路，实施里程全长19.749千米，为实现脱贫</w:t>
      </w:r>
      <w:r>
        <w:rPr>
          <w:rFonts w:hint="eastAsia" w:ascii="仿宋" w:hAnsi="仿宋" w:eastAsia="仿宋"/>
          <w:sz w:val="32"/>
          <w:szCs w:val="32"/>
          <w:shd w:val="clear" w:color="auto" w:fill="FFFFFF"/>
        </w:rPr>
        <w:t>验收3个100%</w:t>
      </w:r>
      <w:r>
        <w:rPr>
          <w:rFonts w:ascii="仿宋" w:hAnsi="仿宋" w:eastAsia="仿宋"/>
          <w:sz w:val="32"/>
          <w:szCs w:val="32"/>
          <w:shd w:val="clear" w:color="auto" w:fill="FFFFFF"/>
        </w:rPr>
        <w:t>创造</w:t>
      </w:r>
      <w:r>
        <w:rPr>
          <w:rFonts w:hint="eastAsia" w:ascii="仿宋" w:hAnsi="仿宋" w:eastAsia="仿宋"/>
          <w:sz w:val="32"/>
          <w:szCs w:val="32"/>
          <w:shd w:val="clear" w:color="auto" w:fill="FFFFFF"/>
        </w:rPr>
        <w:t>了</w:t>
      </w:r>
      <w:r>
        <w:rPr>
          <w:rFonts w:ascii="仿宋" w:hAnsi="仿宋" w:eastAsia="仿宋"/>
          <w:sz w:val="32"/>
          <w:szCs w:val="32"/>
          <w:shd w:val="clear" w:color="auto" w:fill="FFFFFF"/>
        </w:rPr>
        <w:t>条件。区农村公路硬化项目（“双投模式”第二期）41.1公里，投资6396.71万元，已</w:t>
      </w:r>
      <w:r>
        <w:rPr>
          <w:rFonts w:hint="eastAsia" w:ascii="仿宋" w:hAnsi="仿宋" w:eastAsia="仿宋"/>
          <w:sz w:val="32"/>
          <w:szCs w:val="32"/>
          <w:shd w:val="clear" w:color="auto" w:fill="FFFFFF"/>
        </w:rPr>
        <w:t>全面</w:t>
      </w:r>
      <w:r>
        <w:rPr>
          <w:rFonts w:ascii="仿宋" w:hAnsi="仿宋" w:eastAsia="仿宋"/>
          <w:sz w:val="32"/>
          <w:szCs w:val="32"/>
          <w:shd w:val="clear" w:color="auto" w:fill="FFFFFF"/>
        </w:rPr>
        <w:t>完工等待验收，项目的实施进一步完善农村地区基础设施。S21团头互通-S326公路项目为</w:t>
      </w:r>
      <w:r>
        <w:rPr>
          <w:rFonts w:hint="eastAsia" w:ascii="仿宋" w:hAnsi="仿宋" w:eastAsia="仿宋"/>
          <w:sz w:val="32"/>
          <w:szCs w:val="32"/>
          <w:shd w:val="clear" w:color="auto" w:fill="FFFFFF"/>
        </w:rPr>
        <w:t>省</w:t>
      </w:r>
      <w:r>
        <w:rPr>
          <w:rFonts w:ascii="仿宋" w:hAnsi="仿宋" w:eastAsia="仿宋"/>
          <w:sz w:val="32"/>
          <w:szCs w:val="32"/>
          <w:shd w:val="clear" w:color="auto" w:fill="FFFFFF"/>
        </w:rPr>
        <w:t>有效路网衔接项目，</w:t>
      </w:r>
      <w:r>
        <w:rPr>
          <w:rFonts w:hint="eastAsia" w:ascii="仿宋" w:hAnsi="仿宋" w:eastAsia="仿宋"/>
          <w:sz w:val="32"/>
          <w:szCs w:val="32"/>
          <w:shd w:val="clear" w:color="auto" w:fill="FFFFFF"/>
        </w:rPr>
        <w:t>已顺利开工，</w:t>
      </w:r>
      <w:r>
        <w:rPr>
          <w:rFonts w:ascii="仿宋" w:hAnsi="仿宋" w:eastAsia="仿宋"/>
          <w:sz w:val="32"/>
          <w:szCs w:val="32"/>
          <w:shd w:val="clear" w:color="auto" w:fill="FFFFFF"/>
        </w:rPr>
        <w:t>项目的实施将打通肠梗阻，有效实现雨花与浏阳的互联互通。</w:t>
      </w:r>
    </w:p>
    <w:p>
      <w:pPr>
        <w:spacing w:line="580" w:lineRule="exact"/>
        <w:ind w:firstLine="643" w:firstLineChars="200"/>
        <w:rPr>
          <w:rFonts w:ascii="仿宋" w:hAnsi="仿宋" w:eastAsia="仿宋"/>
          <w:sz w:val="32"/>
          <w:szCs w:val="32"/>
        </w:rPr>
      </w:pPr>
      <w:r>
        <w:rPr>
          <w:rFonts w:ascii="仿宋" w:hAnsi="仿宋" w:eastAsia="仿宋"/>
          <w:b/>
          <w:sz w:val="32"/>
          <w:szCs w:val="32"/>
        </w:rPr>
        <w:t>（二）道路提质改造项目：</w:t>
      </w:r>
      <w:r>
        <w:rPr>
          <w:rFonts w:hint="eastAsia" w:ascii="仿宋" w:hAnsi="仿宋" w:eastAsia="仿宋"/>
          <w:sz w:val="32"/>
          <w:szCs w:val="32"/>
          <w:shd w:val="clear" w:color="auto" w:fill="FFFFFF"/>
        </w:rPr>
        <w:t>2020年</w:t>
      </w:r>
      <w:r>
        <w:rPr>
          <w:rFonts w:ascii="仿宋" w:hAnsi="仿宋" w:eastAsia="仿宋"/>
          <w:sz w:val="32"/>
          <w:szCs w:val="32"/>
          <w:shd w:val="clear" w:color="auto" w:fill="FFFFFF"/>
        </w:rPr>
        <w:t>投资9908.45万元，</w:t>
      </w:r>
      <w:r>
        <w:rPr>
          <w:rFonts w:hint="eastAsia" w:ascii="仿宋" w:hAnsi="仿宋" w:eastAsia="仿宋"/>
          <w:sz w:val="32"/>
          <w:szCs w:val="32"/>
          <w:shd w:val="clear" w:color="auto" w:fill="FFFFFF"/>
        </w:rPr>
        <w:t>对跳马主要道路进行提质改造。</w:t>
      </w:r>
      <w:r>
        <w:rPr>
          <w:rFonts w:ascii="仿宋" w:hAnsi="仿宋" w:eastAsia="仿宋"/>
          <w:sz w:val="32"/>
          <w:szCs w:val="32"/>
          <w:shd w:val="clear" w:color="auto" w:fill="FFFFFF"/>
        </w:rPr>
        <w:t>X050提质改造大修项目</w:t>
      </w:r>
      <w:r>
        <w:rPr>
          <w:rFonts w:hint="eastAsia" w:ascii="仿宋" w:hAnsi="仿宋" w:eastAsia="仿宋"/>
          <w:sz w:val="32"/>
          <w:szCs w:val="32"/>
          <w:shd w:val="clear" w:color="auto" w:fill="FFFFFF"/>
        </w:rPr>
        <w:t>已基本完成</w:t>
      </w:r>
      <w:r>
        <w:rPr>
          <w:rFonts w:ascii="仿宋" w:hAnsi="仿宋" w:eastAsia="仿宋"/>
          <w:sz w:val="32"/>
          <w:szCs w:val="32"/>
          <w:shd w:val="clear" w:color="auto" w:fill="FFFFFF"/>
        </w:rPr>
        <w:t>。C451、S210、X048、Y320、C513、木叶冲道路、天山-干子园村道、怡天建材-振东路等8条道路大修提质改造项目已完成竣工验收</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实施里程34.21公里，</w:t>
      </w:r>
      <w:r>
        <w:rPr>
          <w:rFonts w:hint="eastAsia" w:ascii="仿宋" w:hAnsi="仿宋" w:eastAsia="仿宋"/>
          <w:sz w:val="32"/>
          <w:szCs w:val="32"/>
          <w:shd w:val="clear" w:color="auto" w:fill="FFFFFF"/>
        </w:rPr>
        <w:t>项目的实施</w:t>
      </w:r>
      <w:r>
        <w:rPr>
          <w:rFonts w:ascii="仿宋" w:hAnsi="仿宋" w:eastAsia="仿宋"/>
          <w:sz w:val="32"/>
          <w:szCs w:val="32"/>
          <w:shd w:val="clear" w:color="auto" w:fill="FFFFFF"/>
        </w:rPr>
        <w:t>为农村地区村民出行提供良好的条件，为产业发展创造机遇，让村民走上幸福大道。</w:t>
      </w:r>
    </w:p>
    <w:p>
      <w:pPr>
        <w:spacing w:line="580" w:lineRule="exact"/>
        <w:ind w:firstLine="643" w:firstLineChars="200"/>
        <w:rPr>
          <w:rFonts w:ascii="仿宋" w:hAnsi="仿宋" w:eastAsia="仿宋"/>
          <w:sz w:val="32"/>
          <w:szCs w:val="32"/>
        </w:rPr>
      </w:pPr>
      <w:r>
        <w:rPr>
          <w:rFonts w:ascii="仿宋" w:hAnsi="仿宋" w:eastAsia="仿宋"/>
          <w:b/>
          <w:sz w:val="32"/>
          <w:szCs w:val="32"/>
        </w:rPr>
        <w:t>（三）安保设施建设项目：</w:t>
      </w:r>
      <w:r>
        <w:rPr>
          <w:rFonts w:ascii="仿宋" w:hAnsi="仿宋" w:eastAsia="仿宋"/>
          <w:sz w:val="32"/>
          <w:szCs w:val="32"/>
          <w:shd w:val="clear" w:color="auto" w:fill="FFFFFF"/>
        </w:rPr>
        <w:t>实施公路安全生命防护工程是加快解决制约道路交通安全深层次问题的关键举措。近年来，通过日常巡查、交安委交办等形式，对全区农村公路安全防护设施缺失现象进行了摸排，分期分批逐步完善，2020年完成了农村公路安全生命防护工程第二期竣工验收、第三期一批、第四期项目建设，实施里程232.451公里，完成投资3024.67万元，筑牢安全生命防线。</w:t>
      </w:r>
    </w:p>
    <w:p>
      <w:pPr>
        <w:spacing w:line="580" w:lineRule="exact"/>
        <w:ind w:firstLine="640" w:firstLineChars="200"/>
        <w:jc w:val="left"/>
        <w:rPr>
          <w:rFonts w:ascii="楷体" w:hAnsi="楷体" w:eastAsia="楷体"/>
          <w:sz w:val="32"/>
          <w:szCs w:val="32"/>
          <w:shd w:val="clear" w:color="auto" w:fill="FFFFFF"/>
        </w:rPr>
      </w:pPr>
      <w:r>
        <w:rPr>
          <w:rFonts w:ascii="楷体" w:hAnsi="楷体" w:eastAsia="楷体"/>
          <w:sz w:val="32"/>
          <w:szCs w:val="32"/>
          <w:shd w:val="clear" w:color="auto" w:fill="FFFFFF"/>
        </w:rPr>
        <w:t>二、坚持民生为要，着力提升治理水平</w:t>
      </w:r>
    </w:p>
    <w:p>
      <w:pPr>
        <w:spacing w:line="580" w:lineRule="exact"/>
        <w:ind w:firstLine="643" w:firstLineChars="200"/>
        <w:rPr>
          <w:rFonts w:ascii="仿宋" w:hAnsi="仿宋" w:eastAsia="仿宋"/>
          <w:sz w:val="32"/>
          <w:szCs w:val="32"/>
          <w:shd w:val="clear" w:color="auto" w:fill="FFFFFF"/>
        </w:rPr>
      </w:pPr>
      <w:r>
        <w:rPr>
          <w:rFonts w:ascii="仿宋" w:hAnsi="仿宋" w:eastAsia="仿宋"/>
          <w:b/>
          <w:sz w:val="32"/>
          <w:szCs w:val="32"/>
        </w:rPr>
        <w:t>一是</w:t>
      </w:r>
      <w:r>
        <w:rPr>
          <w:rFonts w:hint="eastAsia" w:ascii="仿宋" w:hAnsi="仿宋" w:eastAsia="仿宋"/>
          <w:b/>
          <w:sz w:val="32"/>
          <w:szCs w:val="32"/>
        </w:rPr>
        <w:t>完成议案办理。</w:t>
      </w:r>
      <w:r>
        <w:rPr>
          <w:rFonts w:hint="eastAsia" w:ascii="仿宋" w:hAnsi="仿宋" w:eastAsia="仿宋"/>
          <w:sz w:val="32"/>
          <w:szCs w:val="32"/>
          <w:shd w:val="clear" w:color="auto" w:fill="FFFFFF"/>
        </w:rPr>
        <w:t>承办了全区唯一一件人大议案，累计投资1.4亿余元，对跳马境内7条约54公里主要道路进行了提质改造。投入3787万元，新建C451起点与时代阳光大道东延线顺接道路等3条道路，投资1200余万元，在洞株公路、S210、X049、X047等道路建设了5套非现场执法系统。</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二是</w:t>
      </w:r>
      <w:r>
        <w:rPr>
          <w:rFonts w:ascii="仿宋" w:hAnsi="仿宋" w:eastAsia="仿宋"/>
          <w:b/>
          <w:sz w:val="32"/>
          <w:szCs w:val="32"/>
        </w:rPr>
        <w:t>超限超载整治。</w:t>
      </w:r>
      <w:r>
        <w:rPr>
          <w:rFonts w:ascii="仿宋" w:hAnsi="仿宋" w:eastAsia="仿宋"/>
          <w:sz w:val="32"/>
          <w:szCs w:val="32"/>
          <w:shd w:val="clear" w:color="auto" w:fill="FFFFFF"/>
        </w:rPr>
        <w:t>与市交通运输综合行政执法局雨花大队联合，以渣土车为重点，通过路面检查和源头管理相结合的方式，开展联合执法行动。2020年以来，开展行动104次，出动人员</w:t>
      </w:r>
      <w:r>
        <w:rPr>
          <w:rFonts w:hint="eastAsia" w:ascii="仿宋" w:hAnsi="仿宋" w:eastAsia="仿宋"/>
          <w:sz w:val="32"/>
          <w:szCs w:val="32"/>
          <w:shd w:val="clear" w:color="auto" w:fill="FFFFFF"/>
        </w:rPr>
        <w:t>1076</w:t>
      </w:r>
      <w:r>
        <w:rPr>
          <w:rFonts w:ascii="仿宋" w:hAnsi="仿宋" w:eastAsia="仿宋"/>
          <w:sz w:val="32"/>
          <w:szCs w:val="32"/>
          <w:shd w:val="clear" w:color="auto" w:fill="FFFFFF"/>
        </w:rPr>
        <w:t>人次，查处超限超载违法运输车辆1</w:t>
      </w:r>
      <w:r>
        <w:rPr>
          <w:rFonts w:hint="eastAsia" w:ascii="仿宋" w:hAnsi="仿宋" w:eastAsia="仿宋"/>
          <w:sz w:val="32"/>
          <w:szCs w:val="32"/>
          <w:shd w:val="clear" w:color="auto" w:fill="FFFFFF"/>
        </w:rPr>
        <w:t>53</w:t>
      </w:r>
      <w:r>
        <w:rPr>
          <w:rFonts w:ascii="仿宋" w:hAnsi="仿宋" w:eastAsia="仿宋"/>
          <w:sz w:val="32"/>
          <w:szCs w:val="32"/>
          <w:shd w:val="clear" w:color="auto" w:fill="FFFFFF"/>
        </w:rPr>
        <w:t>台，严厉打击了超限超载行为，维护了道路质量。</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三</w:t>
      </w:r>
      <w:r>
        <w:rPr>
          <w:rFonts w:ascii="仿宋" w:hAnsi="仿宋" w:eastAsia="仿宋"/>
          <w:b/>
          <w:sz w:val="32"/>
          <w:szCs w:val="32"/>
        </w:rPr>
        <w:t>是客货维市场整治。</w:t>
      </w:r>
      <w:r>
        <w:rPr>
          <w:rFonts w:ascii="仿宋" w:hAnsi="仿宋" w:eastAsia="仿宋"/>
          <w:sz w:val="32"/>
          <w:szCs w:val="32"/>
          <w:shd w:val="clear" w:color="auto" w:fill="FFFFFF"/>
        </w:rPr>
        <w:t>按照“雨花区两客一危一校企业安全生产联合检查工作方案”对辖区内注册的客运企业进行检查，采取巡查的方式对货运市场进行检查，对维修企业开展监督检查行动，出动检查人员4049人次，检查客货维企业8873家次。对安全隐患突出、被上级点名通报的企业组织召开约谈会，明确企业主体责任。对道路运输企业、维修企业开展2019年度质量信誉考核工作，经过严格的综合考评，63家参评的道路运输企业评出AAA级11家、AA级37家、A级15家；38家申报的机动车维修企业评出AAA级26家，AA级4家，A级8家。</w:t>
      </w:r>
      <w:r>
        <w:rPr>
          <w:rFonts w:hint="eastAsia" w:ascii="仿宋" w:hAnsi="仿宋" w:eastAsia="仿宋"/>
          <w:sz w:val="32"/>
          <w:szCs w:val="32"/>
          <w:shd w:val="clear" w:color="auto" w:fill="FFFFFF"/>
        </w:rPr>
        <w:t>全面参与蓝天行动，</w:t>
      </w:r>
      <w:r>
        <w:rPr>
          <w:rFonts w:ascii="仿宋" w:hAnsi="仿宋" w:eastAsia="仿宋"/>
          <w:sz w:val="32"/>
          <w:szCs w:val="32"/>
          <w:shd w:val="clear" w:color="auto" w:fill="FFFFFF"/>
        </w:rPr>
        <w:t>对全区重点敏感区域内及重点敏感区域外159家汽修行业进行了全面摸排，建立问题清单,制作宣传横幅196条，宣传手册120份，环保法律法规120份，确保道路运输领域安全，优化了空气质量。</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四</w:t>
      </w:r>
      <w:r>
        <w:rPr>
          <w:rFonts w:ascii="仿宋" w:hAnsi="仿宋" w:eastAsia="仿宋"/>
          <w:b/>
          <w:sz w:val="32"/>
          <w:szCs w:val="32"/>
        </w:rPr>
        <w:t>是严把行政许可关。</w:t>
      </w:r>
      <w:r>
        <w:rPr>
          <w:rFonts w:ascii="仿宋" w:hAnsi="仿宋" w:eastAsia="仿宋"/>
          <w:sz w:val="32"/>
          <w:szCs w:val="32"/>
          <w:shd w:val="clear" w:color="auto" w:fill="FFFFFF"/>
        </w:rPr>
        <w:t>按照精简放权、便民高效的要求，依法进一步简化和规范审批程序，创新服务方式，优化流程，提高效能。严格按要求办理各项行政许可业务，2020年以来共接收市局下放企业16</w:t>
      </w:r>
      <w:r>
        <w:rPr>
          <w:rFonts w:hint="eastAsia" w:ascii="仿宋" w:hAnsi="仿宋" w:eastAsia="仿宋"/>
          <w:sz w:val="32"/>
          <w:szCs w:val="32"/>
          <w:shd w:val="clear" w:color="auto" w:fill="FFFFFF"/>
        </w:rPr>
        <w:t>3</w:t>
      </w:r>
      <w:r>
        <w:rPr>
          <w:rFonts w:ascii="仿宋" w:hAnsi="仿宋" w:eastAsia="仿宋"/>
          <w:sz w:val="32"/>
          <w:szCs w:val="32"/>
          <w:shd w:val="clear" w:color="auto" w:fill="FFFFFF"/>
        </w:rPr>
        <w:t>家，新增许可33</w:t>
      </w:r>
      <w:r>
        <w:rPr>
          <w:rFonts w:hint="eastAsia" w:ascii="仿宋" w:hAnsi="仿宋" w:eastAsia="仿宋"/>
          <w:sz w:val="32"/>
          <w:szCs w:val="32"/>
          <w:shd w:val="clear" w:color="auto" w:fill="FFFFFF"/>
        </w:rPr>
        <w:t>0</w:t>
      </w:r>
      <w:r>
        <w:rPr>
          <w:rFonts w:ascii="仿宋" w:hAnsi="仿宋" w:eastAsia="仿宋"/>
          <w:sz w:val="32"/>
          <w:szCs w:val="32"/>
          <w:shd w:val="clear" w:color="auto" w:fill="FFFFFF"/>
        </w:rPr>
        <w:t>家，新增车辆</w:t>
      </w:r>
      <w:r>
        <w:rPr>
          <w:rFonts w:hint="eastAsia" w:ascii="仿宋" w:hAnsi="仿宋" w:eastAsia="仿宋"/>
          <w:sz w:val="32"/>
          <w:szCs w:val="32"/>
          <w:shd w:val="clear" w:color="auto" w:fill="FFFFFF"/>
        </w:rPr>
        <w:t>638</w:t>
      </w:r>
      <w:r>
        <w:rPr>
          <w:rFonts w:ascii="仿宋" w:hAnsi="仿宋" w:eastAsia="仿宋"/>
          <w:sz w:val="32"/>
          <w:szCs w:val="32"/>
          <w:shd w:val="clear" w:color="auto" w:fill="FFFFFF"/>
        </w:rPr>
        <w:t>台，年审车辆2</w:t>
      </w:r>
      <w:r>
        <w:rPr>
          <w:rFonts w:hint="eastAsia" w:ascii="仿宋" w:hAnsi="仿宋" w:eastAsia="仿宋"/>
          <w:sz w:val="32"/>
          <w:szCs w:val="32"/>
          <w:shd w:val="clear" w:color="auto" w:fill="FFFFFF"/>
        </w:rPr>
        <w:t>439</w:t>
      </w:r>
      <w:r>
        <w:rPr>
          <w:rFonts w:ascii="仿宋" w:hAnsi="仿宋" w:eastAsia="仿宋"/>
          <w:sz w:val="32"/>
          <w:szCs w:val="32"/>
          <w:shd w:val="clear" w:color="auto" w:fill="FFFFFF"/>
        </w:rPr>
        <w:t>台，</w:t>
      </w:r>
      <w:r>
        <w:rPr>
          <w:rFonts w:hint="eastAsia" w:ascii="仿宋" w:hAnsi="仿宋" w:eastAsia="仿宋"/>
          <w:sz w:val="32"/>
          <w:szCs w:val="32"/>
          <w:shd w:val="clear" w:color="auto" w:fill="FFFFFF"/>
        </w:rPr>
        <w:t>受</w:t>
      </w:r>
      <w:r>
        <w:rPr>
          <w:rFonts w:ascii="仿宋" w:hAnsi="仿宋" w:eastAsia="仿宋"/>
          <w:sz w:val="32"/>
          <w:szCs w:val="32"/>
          <w:shd w:val="clear" w:color="auto" w:fill="FFFFFF"/>
        </w:rPr>
        <w:t>理维修备案26家。对雨花区3家校车公司107台校车</w:t>
      </w:r>
      <w:r>
        <w:rPr>
          <w:rFonts w:hint="eastAsia" w:ascii="仿宋" w:hAnsi="仿宋" w:eastAsia="仿宋"/>
          <w:sz w:val="32"/>
          <w:szCs w:val="32"/>
          <w:shd w:val="clear" w:color="auto" w:fill="FFFFFF"/>
        </w:rPr>
        <w:t>全部</w:t>
      </w:r>
      <w:r>
        <w:rPr>
          <w:rFonts w:ascii="仿宋" w:hAnsi="仿宋" w:eastAsia="仿宋"/>
          <w:sz w:val="32"/>
          <w:szCs w:val="32"/>
          <w:shd w:val="clear" w:color="auto" w:fill="FFFFFF"/>
        </w:rPr>
        <w:t>进行年审，确保校车运行线路安全。</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五</w:t>
      </w:r>
      <w:r>
        <w:rPr>
          <w:rFonts w:ascii="仿宋" w:hAnsi="仿宋" w:eastAsia="仿宋"/>
          <w:b/>
          <w:sz w:val="32"/>
          <w:szCs w:val="32"/>
        </w:rPr>
        <w:t>是推进绿色出行。</w:t>
      </w:r>
      <w:r>
        <w:rPr>
          <w:rFonts w:ascii="仿宋" w:hAnsi="仿宋" w:eastAsia="仿宋"/>
          <w:sz w:val="32"/>
          <w:szCs w:val="32"/>
          <w:shd w:val="clear" w:color="auto" w:fill="FFFFFF"/>
        </w:rPr>
        <w:t>积极协调市交通运输局解决汽车南站、裕天国际商汇中心二期、黎郡社区、航空学校、禹泰二小、红星全球农批中心等单位公交出行需求，优化公交线路</w:t>
      </w:r>
      <w:r>
        <w:rPr>
          <w:rFonts w:hint="eastAsia" w:ascii="仿宋" w:hAnsi="仿宋" w:eastAsia="仿宋"/>
          <w:sz w:val="32"/>
          <w:szCs w:val="32"/>
          <w:shd w:val="clear" w:color="auto" w:fill="FFFFFF"/>
        </w:rPr>
        <w:t>10余条</w:t>
      </w:r>
      <w:r>
        <w:rPr>
          <w:rFonts w:ascii="仿宋" w:hAnsi="仿宋" w:eastAsia="仿宋"/>
          <w:sz w:val="32"/>
          <w:szCs w:val="32"/>
          <w:shd w:val="clear" w:color="auto" w:fill="FFFFFF"/>
        </w:rPr>
        <w:t>、调整公交车站</w:t>
      </w:r>
      <w:r>
        <w:rPr>
          <w:rFonts w:hint="eastAsia" w:ascii="仿宋" w:hAnsi="仿宋" w:eastAsia="仿宋"/>
          <w:sz w:val="32"/>
          <w:szCs w:val="32"/>
          <w:shd w:val="clear" w:color="auto" w:fill="FFFFFF"/>
        </w:rPr>
        <w:t>4个</w:t>
      </w:r>
      <w:r>
        <w:rPr>
          <w:rFonts w:ascii="仿宋" w:hAnsi="仿宋" w:eastAsia="仿宋"/>
          <w:sz w:val="32"/>
          <w:szCs w:val="32"/>
          <w:shd w:val="clear" w:color="auto" w:fill="FFFFFF"/>
        </w:rPr>
        <w:t>。倡导市民绿色出行，缓解</w:t>
      </w:r>
      <w:r>
        <w:rPr>
          <w:rFonts w:hint="eastAsia" w:ascii="仿宋" w:hAnsi="仿宋" w:eastAsia="仿宋"/>
          <w:sz w:val="32"/>
          <w:szCs w:val="32"/>
          <w:shd w:val="clear" w:color="auto" w:fill="FFFFFF"/>
        </w:rPr>
        <w:t>了</w:t>
      </w:r>
      <w:r>
        <w:rPr>
          <w:rFonts w:ascii="仿宋" w:hAnsi="仿宋" w:eastAsia="仿宋"/>
          <w:sz w:val="32"/>
          <w:szCs w:val="32"/>
          <w:shd w:val="clear" w:color="auto" w:fill="FFFFFF"/>
        </w:rPr>
        <w:t>城市拥堵，提高</w:t>
      </w:r>
      <w:r>
        <w:rPr>
          <w:rFonts w:hint="eastAsia" w:ascii="仿宋" w:hAnsi="仿宋" w:eastAsia="仿宋"/>
          <w:sz w:val="32"/>
          <w:szCs w:val="32"/>
          <w:shd w:val="clear" w:color="auto" w:fill="FFFFFF"/>
        </w:rPr>
        <w:t>了</w:t>
      </w:r>
      <w:r>
        <w:rPr>
          <w:rFonts w:ascii="仿宋" w:hAnsi="仿宋" w:eastAsia="仿宋"/>
          <w:sz w:val="32"/>
          <w:szCs w:val="32"/>
          <w:shd w:val="clear" w:color="auto" w:fill="FFFFFF"/>
        </w:rPr>
        <w:t>市民</w:t>
      </w:r>
      <w:r>
        <w:rPr>
          <w:rFonts w:hint="eastAsia" w:ascii="仿宋" w:hAnsi="仿宋" w:eastAsia="仿宋"/>
          <w:sz w:val="32"/>
          <w:szCs w:val="32"/>
          <w:shd w:val="clear" w:color="auto" w:fill="FFFFFF"/>
        </w:rPr>
        <w:t>出行便捷</w:t>
      </w:r>
      <w:r>
        <w:rPr>
          <w:rFonts w:ascii="仿宋" w:hAnsi="仿宋" w:eastAsia="仿宋"/>
          <w:sz w:val="32"/>
          <w:szCs w:val="32"/>
          <w:shd w:val="clear" w:color="auto" w:fill="FFFFFF"/>
        </w:rPr>
        <w:t>幸福指数。</w:t>
      </w:r>
    </w:p>
    <w:p>
      <w:pPr>
        <w:spacing w:line="580" w:lineRule="exact"/>
        <w:ind w:firstLine="640" w:firstLineChars="200"/>
        <w:jc w:val="left"/>
        <w:rPr>
          <w:rFonts w:ascii="楷体" w:hAnsi="楷体" w:eastAsia="楷体"/>
          <w:sz w:val="32"/>
          <w:szCs w:val="32"/>
        </w:rPr>
      </w:pPr>
      <w:r>
        <w:rPr>
          <w:rFonts w:ascii="楷体" w:hAnsi="楷体" w:eastAsia="楷体"/>
          <w:sz w:val="32"/>
          <w:szCs w:val="32"/>
          <w:shd w:val="clear" w:color="auto" w:fill="FFFFFF"/>
        </w:rPr>
        <w:t>三、</w:t>
      </w:r>
      <w:r>
        <w:rPr>
          <w:rFonts w:ascii="楷体" w:hAnsi="楷体" w:eastAsia="楷体"/>
          <w:sz w:val="32"/>
          <w:szCs w:val="32"/>
        </w:rPr>
        <w:t>坚持安全为先，守牢平安交通底线</w:t>
      </w:r>
    </w:p>
    <w:p>
      <w:pPr>
        <w:spacing w:line="580" w:lineRule="exact"/>
        <w:ind w:firstLine="640" w:firstLineChars="200"/>
        <w:jc w:val="left"/>
        <w:rPr>
          <w:rFonts w:ascii="仿宋" w:hAnsi="仿宋" w:eastAsia="仿宋"/>
          <w:sz w:val="32"/>
          <w:szCs w:val="32"/>
          <w:shd w:val="clear" w:color="auto" w:fill="FFFFFF"/>
        </w:rPr>
      </w:pPr>
      <w:r>
        <w:rPr>
          <w:rFonts w:ascii="仿宋" w:hAnsi="仿宋" w:eastAsia="仿宋"/>
          <w:sz w:val="32"/>
          <w:szCs w:val="32"/>
          <w:shd w:val="clear" w:color="auto" w:fill="FFFFFF"/>
        </w:rPr>
        <w:t>坚持以人民为中心，树牢安全发展理念，强化底线思维和红线意识，扎实推进交通问题顽瘴痼疾整治和道路运输安全生产专项整治三年行动，以强化风险隐患预防控制、推动问题整治全面彻底、严格责任落实到岗到人、筑牢根基确保安全稳定为任务，狠抓安全生产责任落实。全年未发生一起道路运输领域安全生产责任事故。</w:t>
      </w:r>
    </w:p>
    <w:p>
      <w:pPr>
        <w:spacing w:line="580" w:lineRule="exact"/>
        <w:ind w:firstLine="643" w:firstLineChars="200"/>
        <w:jc w:val="left"/>
        <w:rPr>
          <w:rFonts w:ascii="仿宋" w:hAnsi="仿宋" w:eastAsia="仿宋"/>
          <w:bCs/>
          <w:sz w:val="32"/>
          <w:szCs w:val="32"/>
        </w:rPr>
      </w:pPr>
      <w:r>
        <w:rPr>
          <w:rFonts w:ascii="仿宋" w:hAnsi="仿宋" w:eastAsia="仿宋"/>
          <w:b/>
          <w:sz w:val="32"/>
          <w:szCs w:val="32"/>
        </w:rPr>
        <w:t>一是农村公路隐患整治。</w:t>
      </w:r>
      <w:r>
        <w:rPr>
          <w:rFonts w:hint="eastAsia" w:ascii="仿宋" w:hAnsi="仿宋" w:eastAsia="仿宋"/>
          <w:sz w:val="32"/>
          <w:szCs w:val="32"/>
          <w:shd w:val="clear" w:color="auto" w:fill="FFFFFF"/>
        </w:rPr>
        <w:t>2020年</w:t>
      </w:r>
      <w:r>
        <w:rPr>
          <w:rFonts w:ascii="仿宋" w:hAnsi="仿宋" w:eastAsia="仿宋"/>
          <w:sz w:val="32"/>
          <w:szCs w:val="32"/>
          <w:shd w:val="clear" w:color="auto" w:fill="FFFFFF"/>
        </w:rPr>
        <w:t>投入资金1700余万元，</w:t>
      </w:r>
      <w:r>
        <w:rPr>
          <w:rFonts w:hint="eastAsia" w:ascii="仿宋" w:hAnsi="仿宋" w:eastAsia="仿宋"/>
          <w:sz w:val="32"/>
          <w:szCs w:val="32"/>
          <w:shd w:val="clear" w:color="auto" w:fill="FFFFFF"/>
        </w:rPr>
        <w:t>对</w:t>
      </w:r>
      <w:r>
        <w:rPr>
          <w:rFonts w:ascii="仿宋" w:hAnsi="仿宋" w:eastAsia="仿宋"/>
          <w:sz w:val="32"/>
          <w:szCs w:val="32"/>
          <w:shd w:val="clear" w:color="auto" w:fill="FFFFFF"/>
        </w:rPr>
        <w:t>市顽办交办农村公路142处隐患点位</w:t>
      </w:r>
      <w:r>
        <w:rPr>
          <w:rFonts w:hint="eastAsia" w:ascii="仿宋" w:hAnsi="仿宋" w:eastAsia="仿宋"/>
          <w:sz w:val="32"/>
          <w:szCs w:val="32"/>
          <w:shd w:val="clear" w:color="auto" w:fill="FFFFFF"/>
        </w:rPr>
        <w:t>进行整改，克服了</w:t>
      </w:r>
      <w:r>
        <w:rPr>
          <w:rFonts w:ascii="仿宋" w:hAnsi="仿宋" w:eastAsia="仿宋"/>
          <w:sz w:val="32"/>
          <w:szCs w:val="32"/>
          <w:shd w:val="clear" w:color="auto" w:fill="FFFFFF"/>
        </w:rPr>
        <w:t>时间紧、任务重</w:t>
      </w:r>
      <w:r>
        <w:rPr>
          <w:rFonts w:hint="eastAsia" w:ascii="仿宋" w:hAnsi="仿宋" w:eastAsia="仿宋"/>
          <w:sz w:val="32"/>
          <w:szCs w:val="32"/>
          <w:shd w:val="clear" w:color="auto" w:fill="FFFFFF"/>
        </w:rPr>
        <w:t>等困难</w:t>
      </w:r>
      <w:r>
        <w:rPr>
          <w:rFonts w:ascii="仿宋" w:hAnsi="仿宋" w:eastAsia="仿宋"/>
          <w:sz w:val="32"/>
          <w:szCs w:val="32"/>
          <w:shd w:val="clear" w:color="auto" w:fill="FFFFFF"/>
        </w:rPr>
        <w:t>，按时按质完成</w:t>
      </w:r>
      <w:r>
        <w:rPr>
          <w:rFonts w:hint="eastAsia" w:ascii="仿宋" w:hAnsi="仿宋" w:eastAsia="仿宋"/>
          <w:sz w:val="32"/>
          <w:szCs w:val="32"/>
          <w:shd w:val="clear" w:color="auto" w:fill="FFFFFF"/>
        </w:rPr>
        <w:t>了</w:t>
      </w:r>
      <w:r>
        <w:rPr>
          <w:rFonts w:ascii="仿宋" w:hAnsi="仿宋" w:eastAsia="仿宋"/>
          <w:sz w:val="32"/>
          <w:szCs w:val="32"/>
          <w:shd w:val="clear" w:color="auto" w:fill="FFFFFF"/>
        </w:rPr>
        <w:t>整改任务，确保了农村公路安全。</w:t>
      </w:r>
    </w:p>
    <w:p>
      <w:pPr>
        <w:spacing w:line="580" w:lineRule="exact"/>
        <w:ind w:firstLine="643" w:firstLineChars="200"/>
        <w:jc w:val="left"/>
        <w:rPr>
          <w:rFonts w:ascii="仿宋" w:hAnsi="仿宋" w:eastAsia="仿宋"/>
          <w:bCs/>
          <w:sz w:val="32"/>
          <w:szCs w:val="32"/>
        </w:rPr>
      </w:pPr>
      <w:r>
        <w:rPr>
          <w:rFonts w:ascii="仿宋" w:hAnsi="仿宋" w:eastAsia="仿宋"/>
          <w:b/>
          <w:sz w:val="32"/>
          <w:szCs w:val="32"/>
        </w:rPr>
        <w:t>二是非法营运车辆核查。</w:t>
      </w:r>
      <w:r>
        <w:rPr>
          <w:rFonts w:ascii="仿宋" w:hAnsi="仿宋" w:eastAsia="仿宋"/>
          <w:sz w:val="32"/>
          <w:szCs w:val="32"/>
          <w:shd w:val="clear" w:color="auto" w:fill="FFFFFF"/>
        </w:rPr>
        <w:t>对省整治办交办的涉嫌非法营运车辆27台，协调区整治办、区交警大队、市交通运输综合行政执法局雨花大队等单位对车辆情况逐一进行了核实并销号。</w:t>
      </w:r>
    </w:p>
    <w:p>
      <w:pPr>
        <w:spacing w:line="580" w:lineRule="exact"/>
        <w:ind w:firstLine="643" w:firstLineChars="200"/>
        <w:jc w:val="left"/>
        <w:rPr>
          <w:rFonts w:ascii="仿宋" w:hAnsi="仿宋" w:eastAsia="仿宋"/>
          <w:bCs/>
          <w:sz w:val="32"/>
          <w:szCs w:val="32"/>
        </w:rPr>
      </w:pPr>
      <w:r>
        <w:rPr>
          <w:rFonts w:ascii="仿宋" w:hAnsi="仿宋" w:eastAsia="仿宋"/>
          <w:b/>
          <w:sz w:val="32"/>
          <w:szCs w:val="32"/>
        </w:rPr>
        <w:t>三是铁路、高速公路安全环境整治。</w:t>
      </w:r>
      <w:r>
        <w:rPr>
          <w:rFonts w:ascii="仿宋" w:hAnsi="仿宋" w:eastAsia="仿宋"/>
          <w:sz w:val="32"/>
          <w:szCs w:val="32"/>
          <w:shd w:val="clear" w:color="auto" w:fill="FFFFFF"/>
        </w:rPr>
        <w:t>牵头对省整治办下发普速铁路外部环境隐患点位36处、高铁沿线隐患31处、高速公路沿线隐患8处进行了整治，经铁路、高速公路、地方等单位共同勘察，明确整改方案，发放宣传资料3万份，积极开展整治行动，所有隐患均已按照时间节点整改完毕并验收销号。</w:t>
      </w:r>
    </w:p>
    <w:p>
      <w:pPr>
        <w:spacing w:line="580" w:lineRule="exact"/>
        <w:ind w:firstLine="643" w:firstLineChars="200"/>
        <w:jc w:val="left"/>
        <w:rPr>
          <w:rFonts w:ascii="仿宋" w:hAnsi="仿宋" w:eastAsia="仿宋"/>
          <w:sz w:val="32"/>
          <w:szCs w:val="32"/>
        </w:rPr>
      </w:pPr>
      <w:r>
        <w:rPr>
          <w:rFonts w:ascii="仿宋" w:hAnsi="仿宋" w:eastAsia="仿宋"/>
          <w:b/>
          <w:sz w:val="32"/>
          <w:szCs w:val="32"/>
        </w:rPr>
        <w:t>四是</w:t>
      </w:r>
      <w:r>
        <w:rPr>
          <w:rFonts w:hint="eastAsia" w:ascii="仿宋" w:hAnsi="仿宋" w:eastAsia="仿宋"/>
          <w:b/>
          <w:sz w:val="32"/>
          <w:szCs w:val="32"/>
        </w:rPr>
        <w:t>物流集散地专项整治。</w:t>
      </w:r>
      <w:r>
        <w:rPr>
          <w:rFonts w:hint="eastAsia" w:ascii="仿宋" w:hAnsi="仿宋" w:eastAsia="仿宋"/>
          <w:sz w:val="32"/>
          <w:szCs w:val="32"/>
          <w:shd w:val="clear" w:color="auto" w:fill="FFFFFF"/>
        </w:rPr>
        <w:t>加强大桥货运集散地安全巡查，安排18人的专门队伍，分组对大桥货运集散地进行日常巡查，出动检查人员3371人次，检查物流门店8306家次，处置非法运输危险货物行为32起，确保了物流集散地的运输安全。</w:t>
      </w:r>
    </w:p>
    <w:p>
      <w:pPr>
        <w:spacing w:line="580" w:lineRule="exact"/>
        <w:ind w:firstLine="643" w:firstLineChars="200"/>
        <w:jc w:val="left"/>
        <w:rPr>
          <w:rFonts w:ascii="仿宋" w:hAnsi="仿宋" w:eastAsia="仿宋"/>
          <w:bCs/>
          <w:sz w:val="32"/>
          <w:szCs w:val="32"/>
        </w:rPr>
      </w:pPr>
      <w:r>
        <w:rPr>
          <w:rFonts w:hint="eastAsia" w:ascii="仿宋" w:hAnsi="仿宋" w:eastAsia="仿宋"/>
          <w:b/>
          <w:sz w:val="32"/>
          <w:szCs w:val="32"/>
        </w:rPr>
        <w:t>五是</w:t>
      </w:r>
      <w:r>
        <w:rPr>
          <w:rFonts w:ascii="仿宋" w:hAnsi="仿宋" w:eastAsia="仿宋"/>
          <w:b/>
          <w:sz w:val="32"/>
          <w:szCs w:val="32"/>
        </w:rPr>
        <w:t>推广安全生产责任险。</w:t>
      </w:r>
      <w:r>
        <w:rPr>
          <w:rFonts w:ascii="仿宋" w:hAnsi="仿宋" w:eastAsia="仿宋"/>
          <w:sz w:val="32"/>
          <w:szCs w:val="32"/>
          <w:shd w:val="clear" w:color="auto" w:fill="FFFFFF"/>
        </w:rPr>
        <w:t>安全生产责任险是生产经营单位在发生生产安全事故以后对死亡、伤残者履行赔偿责任的保险，按照上级相关要求，在道路运输行业开展安责险推行工作，维修企业6家参保，投保41人，企业参保率达到9.23%，全市排名靠前，安责险的推广有利于预防和化解社会矛盾，减轻政府在事故发生后的救助负担。</w:t>
      </w:r>
    </w:p>
    <w:p>
      <w:pPr>
        <w:spacing w:line="580" w:lineRule="exact"/>
        <w:ind w:firstLine="640" w:firstLineChars="200"/>
        <w:jc w:val="left"/>
        <w:rPr>
          <w:rFonts w:ascii="楷体" w:hAnsi="楷体" w:eastAsia="楷体"/>
          <w:sz w:val="32"/>
          <w:szCs w:val="32"/>
          <w:shd w:val="clear" w:color="auto" w:fill="FFFFFF"/>
        </w:rPr>
      </w:pPr>
      <w:r>
        <w:rPr>
          <w:rFonts w:ascii="楷体" w:hAnsi="楷体" w:eastAsia="楷体"/>
          <w:sz w:val="32"/>
          <w:szCs w:val="32"/>
          <w:shd w:val="clear" w:color="auto" w:fill="FFFFFF"/>
        </w:rPr>
        <w:t>四、坚持守点防控，持续发力阻击疫情</w:t>
      </w:r>
    </w:p>
    <w:p>
      <w:pPr>
        <w:spacing w:line="580" w:lineRule="exact"/>
        <w:ind w:firstLine="643" w:firstLineChars="200"/>
        <w:rPr>
          <w:rFonts w:ascii="仿宋" w:hAnsi="仿宋" w:eastAsia="仿宋"/>
          <w:sz w:val="32"/>
          <w:szCs w:val="32"/>
        </w:rPr>
      </w:pPr>
      <w:r>
        <w:rPr>
          <w:rFonts w:ascii="仿宋" w:hAnsi="仿宋" w:eastAsia="仿宋"/>
          <w:b/>
          <w:sz w:val="32"/>
          <w:szCs w:val="32"/>
        </w:rPr>
        <w:t>（一）体测监测方面。</w:t>
      </w:r>
      <w:r>
        <w:rPr>
          <w:rFonts w:ascii="仿宋" w:hAnsi="仿宋" w:eastAsia="仿宋"/>
          <w:sz w:val="32"/>
          <w:szCs w:val="32"/>
          <w:shd w:val="clear" w:color="auto" w:fill="FFFFFF"/>
        </w:rPr>
        <w:t>在全区抽调干部380余人，在5个高速出口和4个城际铁路站设置检查监测点，检查车辆8.6万台，劝返湖北籍车辆158台，检查人员26万人次。在火车南站、汽车南站配合站场搞好防控工作，抓好“外防输入”工作。</w:t>
      </w:r>
    </w:p>
    <w:p>
      <w:pPr>
        <w:spacing w:line="580" w:lineRule="exact"/>
        <w:ind w:firstLine="643" w:firstLineChars="200"/>
        <w:rPr>
          <w:rFonts w:ascii="仿宋" w:hAnsi="仿宋" w:eastAsia="仿宋"/>
          <w:sz w:val="32"/>
          <w:szCs w:val="32"/>
          <w:shd w:val="clear" w:color="auto" w:fill="FFFFFF"/>
        </w:rPr>
      </w:pPr>
      <w:r>
        <w:rPr>
          <w:rFonts w:ascii="仿宋" w:hAnsi="仿宋" w:eastAsia="仿宋"/>
          <w:b/>
          <w:sz w:val="32"/>
          <w:szCs w:val="32"/>
        </w:rPr>
        <w:t>（二）车辆排查方面。</w:t>
      </w:r>
      <w:r>
        <w:rPr>
          <w:rFonts w:ascii="仿宋" w:hAnsi="仿宋" w:eastAsia="仿宋"/>
          <w:sz w:val="32"/>
          <w:szCs w:val="32"/>
          <w:shd w:val="clear" w:color="auto" w:fill="FFFFFF"/>
        </w:rPr>
        <w:t>开展高速公路出入口鄂籍和鄂来湘车辆联防联控工作，排查从我区高速出口进入的鄂籍和鄂来湘车辆2033台次，对最后落点长沙市的541台鄂籍车辆，按照属地管理的原则，对相应的区县进行了交办，做好“内防扩散”工作。</w:t>
      </w:r>
    </w:p>
    <w:p>
      <w:pPr>
        <w:spacing w:line="580" w:lineRule="exact"/>
        <w:ind w:firstLine="643" w:firstLineChars="200"/>
        <w:rPr>
          <w:rFonts w:ascii="仿宋" w:hAnsi="仿宋" w:eastAsia="仿宋"/>
          <w:sz w:val="32"/>
          <w:szCs w:val="32"/>
        </w:rPr>
      </w:pPr>
      <w:r>
        <w:rPr>
          <w:rFonts w:ascii="仿宋" w:hAnsi="仿宋" w:eastAsia="仿宋"/>
          <w:b/>
          <w:sz w:val="32"/>
          <w:szCs w:val="32"/>
        </w:rPr>
        <w:t>（三）复工复产方面。</w:t>
      </w:r>
      <w:r>
        <w:rPr>
          <w:rFonts w:ascii="仿宋" w:hAnsi="仿宋" w:eastAsia="仿宋"/>
          <w:sz w:val="32"/>
          <w:szCs w:val="32"/>
          <w:shd w:val="clear" w:color="auto" w:fill="FFFFFF"/>
        </w:rPr>
        <w:t>重点推进农村公路建设项目复工复产，督促施工单位制定复工方案，建立疫情防控工作制度，备齐防疫物资，对办公场所进行消毒，按程序经社区、街道、部门签署意见后方能复工。积极开展“大干一百天，实现双过半”竞赛活动，</w:t>
      </w:r>
      <w:r>
        <w:rPr>
          <w:rFonts w:hint="eastAsia" w:ascii="仿宋" w:hAnsi="仿宋" w:eastAsia="仿宋"/>
          <w:sz w:val="32"/>
          <w:szCs w:val="32"/>
          <w:shd w:val="clear" w:color="auto" w:fill="FFFFFF"/>
        </w:rPr>
        <w:t>为</w:t>
      </w:r>
      <w:r>
        <w:rPr>
          <w:rFonts w:ascii="仿宋" w:hAnsi="仿宋" w:eastAsia="仿宋"/>
          <w:sz w:val="32"/>
          <w:szCs w:val="32"/>
          <w:shd w:val="clear" w:color="auto" w:fill="FFFFFF"/>
        </w:rPr>
        <w:t>获得全市先进</w:t>
      </w:r>
      <w:r>
        <w:rPr>
          <w:rFonts w:hint="eastAsia" w:ascii="仿宋" w:hAnsi="仿宋" w:eastAsia="仿宋"/>
          <w:sz w:val="32"/>
          <w:szCs w:val="32"/>
          <w:shd w:val="clear" w:color="auto" w:fill="FFFFFF"/>
        </w:rPr>
        <w:t>贡献了交通力量</w:t>
      </w:r>
      <w:r>
        <w:rPr>
          <w:rFonts w:ascii="仿宋" w:hAnsi="仿宋" w:eastAsia="仿宋"/>
          <w:sz w:val="32"/>
          <w:szCs w:val="32"/>
          <w:shd w:val="clear" w:color="auto" w:fill="FFFFFF"/>
        </w:rPr>
        <w:t>。</w:t>
      </w:r>
    </w:p>
    <w:p>
      <w:pPr>
        <w:spacing w:line="580" w:lineRule="exact"/>
        <w:ind w:firstLine="643" w:firstLineChars="200"/>
        <w:rPr>
          <w:rFonts w:ascii="仿宋" w:hAnsi="仿宋" w:eastAsia="仿宋"/>
          <w:sz w:val="32"/>
          <w:szCs w:val="32"/>
        </w:rPr>
      </w:pPr>
      <w:r>
        <w:rPr>
          <w:rFonts w:ascii="仿宋" w:hAnsi="仿宋" w:eastAsia="仿宋"/>
          <w:b/>
          <w:sz w:val="32"/>
          <w:szCs w:val="32"/>
        </w:rPr>
        <w:t>（四）冷链运输车辆防疫方面。</w:t>
      </w:r>
      <w:r>
        <w:rPr>
          <w:rFonts w:ascii="仿宋" w:hAnsi="仿宋" w:eastAsia="仿宋"/>
          <w:sz w:val="32"/>
          <w:szCs w:val="32"/>
          <w:shd w:val="clear" w:color="auto" w:fill="FFFFFF"/>
        </w:rPr>
        <w:t>对辖区范围内从事冷链运输的企业和个人进行了信息摸排，组织15家从事冷链运输的企业（个人）召开了冷链运输渠道疫情防控调度会，对企业运输经营过程中的车辆消杀毒制度、站（场）消杀毒规程、驾驶人员防护工作提出具体要求。以同升片区的红星冷链、云冷1号、同超物流为重点和高桥片区的高桥冷链市场、普洛斯物流为重点对从事冷链食品运输的车辆进行全面检查，共计开展执法检查89次，出动人员392人次，检查车辆1196台次，发放防疫手册900余本，有效控制疫情从冷链运输渠道扩散。</w:t>
      </w:r>
    </w:p>
    <w:p>
      <w:pPr>
        <w:spacing w:line="580" w:lineRule="exact"/>
        <w:ind w:firstLine="640" w:firstLineChars="200"/>
        <w:jc w:val="left"/>
        <w:rPr>
          <w:rFonts w:ascii="楷体" w:hAnsi="楷体" w:eastAsia="楷体"/>
          <w:sz w:val="32"/>
          <w:szCs w:val="32"/>
          <w:shd w:val="clear" w:color="auto" w:fill="FFFFFF"/>
        </w:rPr>
      </w:pPr>
      <w:r>
        <w:rPr>
          <w:rFonts w:ascii="楷体" w:hAnsi="楷体" w:eastAsia="楷体"/>
          <w:sz w:val="32"/>
          <w:szCs w:val="32"/>
          <w:shd w:val="clear" w:color="auto" w:fill="FFFFFF"/>
        </w:rPr>
        <w:t>五、坚持党建领航，凝聚干事创业合力</w:t>
      </w:r>
    </w:p>
    <w:p>
      <w:pPr>
        <w:spacing w:line="580" w:lineRule="exact"/>
        <w:ind w:firstLine="640" w:firstLineChars="200"/>
        <w:jc w:val="left"/>
        <w:rPr>
          <w:rFonts w:ascii="仿宋" w:hAnsi="仿宋" w:eastAsia="仿宋"/>
          <w:sz w:val="32"/>
          <w:szCs w:val="32"/>
          <w:shd w:val="clear" w:color="auto" w:fill="FFFFFF"/>
        </w:rPr>
      </w:pPr>
      <w:r>
        <w:rPr>
          <w:rFonts w:ascii="仿宋" w:hAnsi="仿宋" w:eastAsia="仿宋"/>
          <w:sz w:val="32"/>
          <w:szCs w:val="32"/>
        </w:rPr>
        <w:t>一是突出政治引领。</w:t>
      </w:r>
      <w:r>
        <w:rPr>
          <w:rFonts w:ascii="仿宋" w:hAnsi="仿宋" w:eastAsia="仿宋"/>
          <w:sz w:val="32"/>
          <w:szCs w:val="32"/>
          <w:shd w:val="clear" w:color="auto" w:fill="FFFFFF"/>
        </w:rPr>
        <w:t>坚持把党的政治建设摆在首位，推进学习贯彻习近平新时代中国特色社会主义思想走深走心走实。严肃政治规矩，把讲政治贯穿到巡察、审计全过程，按巡察组要求，及时高效完成巡察反馈问题整改。在疫情防控点设置临时党支部，让党旗飘扬在疫情防控一线。</w:t>
      </w:r>
      <w:r>
        <w:rPr>
          <w:rFonts w:ascii="仿宋" w:hAnsi="仿宋" w:eastAsia="仿宋"/>
          <w:sz w:val="32"/>
          <w:szCs w:val="32"/>
        </w:rPr>
        <w:t>二是强化理论武装。</w:t>
      </w:r>
      <w:r>
        <w:rPr>
          <w:rFonts w:ascii="仿宋" w:hAnsi="仿宋" w:eastAsia="仿宋"/>
          <w:sz w:val="32"/>
          <w:szCs w:val="32"/>
          <w:shd w:val="clear" w:color="auto" w:fill="FFFFFF"/>
        </w:rPr>
        <w:t>坚持和完善党组中心组学习、支部集中学习制度，2020年共开展学习活动23次、“雨花时代先声”主题宣讲活动7次，开展“观影筑魂”活动4次，观看了《半条棉被》《夺冠》《红海行动》等影片，让干部职工在观影过程中接受洗礼，筑牢思想之基。深入开展志愿服务、社区帮扶，为困难群众送去温暖，为聋哑儿童送去关爱。</w:t>
      </w:r>
      <w:r>
        <w:rPr>
          <w:rFonts w:ascii="仿宋" w:hAnsi="仿宋" w:eastAsia="仿宋"/>
          <w:sz w:val="32"/>
          <w:szCs w:val="32"/>
        </w:rPr>
        <w:t>三是维护意识形态安全。</w:t>
      </w:r>
      <w:r>
        <w:rPr>
          <w:rFonts w:ascii="仿宋" w:hAnsi="仿宋" w:eastAsia="仿宋"/>
          <w:sz w:val="32"/>
          <w:szCs w:val="32"/>
          <w:shd w:val="clear" w:color="auto" w:fill="FFFFFF"/>
        </w:rPr>
        <w:t>完善分析研判机制，定期分析研判意识形态领域情况，维护意识形态安全。</w:t>
      </w:r>
      <w:r>
        <w:rPr>
          <w:rFonts w:hint="eastAsia" w:ascii="仿宋" w:hAnsi="仿宋" w:eastAsia="仿宋"/>
          <w:sz w:val="32"/>
          <w:szCs w:val="32"/>
          <w:shd w:val="clear" w:color="auto" w:fill="FFFFFF"/>
        </w:rPr>
        <w:t>严格落实各类上网信息</w:t>
      </w:r>
      <w:r>
        <w:rPr>
          <w:rFonts w:ascii="仿宋" w:hAnsi="仿宋" w:eastAsia="仿宋"/>
          <w:sz w:val="32"/>
          <w:szCs w:val="32"/>
          <w:shd w:val="clear" w:color="auto" w:fill="FFFFFF"/>
        </w:rPr>
        <w:t>审批制</w:t>
      </w:r>
      <w:r>
        <w:rPr>
          <w:rFonts w:hint="eastAsia" w:ascii="仿宋" w:hAnsi="仿宋" w:eastAsia="仿宋"/>
          <w:sz w:val="32"/>
          <w:szCs w:val="32"/>
          <w:shd w:val="clear" w:color="auto" w:fill="FFFFFF"/>
        </w:rPr>
        <w:t>度</w:t>
      </w:r>
      <w:r>
        <w:rPr>
          <w:rFonts w:ascii="仿宋" w:hAnsi="仿宋" w:eastAsia="仿宋"/>
          <w:sz w:val="32"/>
          <w:szCs w:val="32"/>
          <w:shd w:val="clear" w:color="auto" w:fill="FFFFFF"/>
        </w:rPr>
        <w:t>。加强干部职工管理，邀</w:t>
      </w:r>
      <w:r>
        <w:rPr>
          <w:rFonts w:hint="eastAsia" w:ascii="仿宋" w:hAnsi="仿宋" w:eastAsia="仿宋"/>
          <w:sz w:val="32"/>
          <w:szCs w:val="32"/>
          <w:shd w:val="clear" w:color="auto" w:fill="FFFFFF"/>
        </w:rPr>
        <w:t>你</w:t>
      </w:r>
      <w:r>
        <w:rPr>
          <w:rFonts w:ascii="仿宋" w:hAnsi="仿宋" w:eastAsia="仿宋"/>
          <w:sz w:val="32"/>
          <w:szCs w:val="32"/>
          <w:shd w:val="clear" w:color="auto" w:fill="FFFFFF"/>
        </w:rPr>
        <w:t>请相关专业老师给干部职工讲授意识形态课程，提升政治敏锐性，加强对干部职工微信、微博管理，</w:t>
      </w:r>
      <w:r>
        <w:rPr>
          <w:rFonts w:hint="eastAsia" w:ascii="仿宋" w:hAnsi="仿宋" w:eastAsia="仿宋"/>
          <w:sz w:val="32"/>
          <w:szCs w:val="32"/>
          <w:shd w:val="clear" w:color="auto" w:fill="FFFFFF"/>
        </w:rPr>
        <w:t>党组不定期督查，对错误思潮和言论，及时有效地发出声音，理直气壮地加以批驳，有理有力有节地开展思想舆论斗争</w:t>
      </w:r>
      <w:r>
        <w:rPr>
          <w:rFonts w:ascii="仿宋" w:hAnsi="仿宋" w:eastAsia="仿宋"/>
          <w:sz w:val="32"/>
          <w:szCs w:val="32"/>
          <w:shd w:val="clear" w:color="auto" w:fill="FFFFFF"/>
        </w:rPr>
        <w:t>。</w:t>
      </w:r>
    </w:p>
    <w:p>
      <w:pPr>
        <w:rPr>
          <w:rFonts w:ascii="黑体" w:hAnsi="黑体" w:eastAsia="黑体" w:cs="黑体"/>
          <w:bCs/>
          <w:sz w:val="32"/>
          <w:szCs w:val="32"/>
        </w:rPr>
      </w:pPr>
      <w:r>
        <w:rPr>
          <w:rFonts w:hint="eastAsia" w:ascii="仿宋" w:hAnsi="仿宋" w:eastAsia="仿宋" w:cs="黑体"/>
          <w:bCs/>
          <w:sz w:val="32"/>
          <w:szCs w:val="32"/>
        </w:rPr>
        <w:t xml:space="preserve">    </w:t>
      </w:r>
      <w:r>
        <w:rPr>
          <w:rFonts w:hint="eastAsia" w:ascii="黑体" w:hAnsi="黑体" w:eastAsia="黑体" w:cs="黑体"/>
          <w:bCs/>
          <w:sz w:val="32"/>
          <w:szCs w:val="32"/>
        </w:rPr>
        <w:t>五、存在的主要问题 主要阐述资金安排、使用，资产管理过程中存在的问题</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一是预算编制有待全覆盖，比如公路建设等，部门预算中已包含，但均被列入财政大预算，部门预算未能列入。</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二是职能变动导致的预算执行有偏差，预算执行过程中，预算编制与实际支出有的存在一定偏差。</w:t>
      </w:r>
    </w:p>
    <w:p>
      <w:pPr>
        <w:ind w:firstLine="640" w:firstLineChars="200"/>
        <w:rPr>
          <w:rFonts w:ascii="黑体" w:hAnsi="黑体" w:eastAsia="黑体" w:cs="黑体"/>
          <w:bCs/>
          <w:sz w:val="32"/>
          <w:szCs w:val="32"/>
        </w:rPr>
      </w:pPr>
      <w:r>
        <w:rPr>
          <w:rFonts w:hint="eastAsia" w:ascii="黑体" w:hAnsi="黑体" w:eastAsia="黑体" w:cs="黑体"/>
          <w:bCs/>
          <w:sz w:val="32"/>
          <w:szCs w:val="32"/>
        </w:rPr>
        <w:t>六、改进措施和有关建议 对存在的问题提出切实可行的改进措施和有关建议等</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1、改革尽快完成，职能相对稳定，预算不留空白，进一步提高预算编制的科学性、严谨性和可控性。</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2、加强财务管理，继续严格财务审批。在费用报账支付时，按照预算规定的费用项目和用途进行资金使用、审核。</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3、自觉杜绝无预算开支现象，进一步加强经费支出管理，最大限度地发挥财政资金的使用效能。</w:t>
      </w:r>
    </w:p>
    <w:p>
      <w:pPr>
        <w:spacing w:line="578" w:lineRule="exact"/>
        <w:ind w:firstLine="640" w:firstLineChars="200"/>
        <w:jc w:val="right"/>
        <w:rPr>
          <w:rFonts w:ascii="仿宋" w:hAnsi="仿宋" w:eastAsia="仿宋"/>
          <w:sz w:val="32"/>
          <w:szCs w:val="32"/>
        </w:rPr>
      </w:pPr>
      <w:r>
        <w:rPr>
          <w:rFonts w:hint="eastAsia" w:ascii="仿宋" w:hAnsi="仿宋" w:eastAsia="仿宋"/>
          <w:sz w:val="32"/>
          <w:szCs w:val="32"/>
        </w:rPr>
        <w:t>长沙市雨花区交通运输局</w:t>
      </w:r>
    </w:p>
    <w:p>
      <w:pPr>
        <w:ind w:firstLine="5760" w:firstLineChars="1800"/>
        <w:jc w:val="left"/>
        <w:rPr>
          <w:rFonts w:ascii="仿宋" w:hAnsi="仿宋" w:eastAsia="仿宋" w:cs="仿宋_GB2312"/>
          <w:kern w:val="0"/>
          <w:sz w:val="32"/>
          <w:szCs w:val="32"/>
        </w:rPr>
      </w:pPr>
      <w:r>
        <w:rPr>
          <w:rFonts w:hint="eastAsia" w:ascii="仿宋" w:hAnsi="仿宋" w:eastAsia="仿宋"/>
          <w:sz w:val="32"/>
          <w:szCs w:val="32"/>
        </w:rPr>
        <w:t xml:space="preserve">2021年3月18日   </w:t>
      </w:r>
    </w:p>
    <w:sectPr>
      <w:pgSz w:w="11906" w:h="16838"/>
      <w:pgMar w:top="1701" w:right="1587" w:bottom="1417" w:left="1701" w:header="851"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F22F22"/>
    <w:multiLevelType w:val="singleLevel"/>
    <w:tmpl w:val="92F22F22"/>
    <w:lvl w:ilvl="0" w:tentative="0">
      <w:start w:val="1"/>
      <w:numFmt w:val="decimal"/>
      <w:suff w:val="nothing"/>
      <w:lvlText w:val="%1、"/>
      <w:lvlJc w:val="left"/>
    </w:lvl>
  </w:abstractNum>
  <w:abstractNum w:abstractNumId="1">
    <w:nsid w:val="E0EDD1E4"/>
    <w:multiLevelType w:val="singleLevel"/>
    <w:tmpl w:val="E0EDD1E4"/>
    <w:lvl w:ilvl="0" w:tentative="0">
      <w:start w:val="2"/>
      <w:numFmt w:val="chineseCounting"/>
      <w:suff w:val="nothing"/>
      <w:lvlText w:val="（%1）"/>
      <w:lvlJc w:val="left"/>
      <w:rPr>
        <w:rFonts w:hint="eastAsia"/>
      </w:rPr>
    </w:lvl>
  </w:abstractNum>
  <w:abstractNum w:abstractNumId="2">
    <w:nsid w:val="1240DCC0"/>
    <w:multiLevelType w:val="singleLevel"/>
    <w:tmpl w:val="1240DCC0"/>
    <w:lvl w:ilvl="0" w:tentative="0">
      <w:start w:val="3"/>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F7D712F"/>
    <w:rsid w:val="00021B75"/>
    <w:rsid w:val="0005560A"/>
    <w:rsid w:val="000A1862"/>
    <w:rsid w:val="000F591D"/>
    <w:rsid w:val="0016383D"/>
    <w:rsid w:val="00193767"/>
    <w:rsid w:val="001B4052"/>
    <w:rsid w:val="001C096C"/>
    <w:rsid w:val="00252066"/>
    <w:rsid w:val="00285DA5"/>
    <w:rsid w:val="00296C19"/>
    <w:rsid w:val="002A047A"/>
    <w:rsid w:val="002A549E"/>
    <w:rsid w:val="002A64E3"/>
    <w:rsid w:val="002D0A6C"/>
    <w:rsid w:val="002D665C"/>
    <w:rsid w:val="0032552A"/>
    <w:rsid w:val="00370F56"/>
    <w:rsid w:val="00395A65"/>
    <w:rsid w:val="0039715D"/>
    <w:rsid w:val="003C1AD4"/>
    <w:rsid w:val="003F78B6"/>
    <w:rsid w:val="00411514"/>
    <w:rsid w:val="00412260"/>
    <w:rsid w:val="004374F0"/>
    <w:rsid w:val="00484831"/>
    <w:rsid w:val="004B0AB5"/>
    <w:rsid w:val="00506965"/>
    <w:rsid w:val="005358F2"/>
    <w:rsid w:val="00546216"/>
    <w:rsid w:val="00564AC6"/>
    <w:rsid w:val="005672FB"/>
    <w:rsid w:val="005867E9"/>
    <w:rsid w:val="005868B7"/>
    <w:rsid w:val="00586E6C"/>
    <w:rsid w:val="005A15C1"/>
    <w:rsid w:val="005D7305"/>
    <w:rsid w:val="00654FEF"/>
    <w:rsid w:val="00656A89"/>
    <w:rsid w:val="006C62D8"/>
    <w:rsid w:val="007104E5"/>
    <w:rsid w:val="00732B47"/>
    <w:rsid w:val="00734D65"/>
    <w:rsid w:val="007609D7"/>
    <w:rsid w:val="007E4A24"/>
    <w:rsid w:val="008523FB"/>
    <w:rsid w:val="00867809"/>
    <w:rsid w:val="00960E91"/>
    <w:rsid w:val="009808B6"/>
    <w:rsid w:val="009A09F7"/>
    <w:rsid w:val="009C6A66"/>
    <w:rsid w:val="009E44D6"/>
    <w:rsid w:val="00AA0CCF"/>
    <w:rsid w:val="00AD14C8"/>
    <w:rsid w:val="00AD78A0"/>
    <w:rsid w:val="00B10A6D"/>
    <w:rsid w:val="00B17640"/>
    <w:rsid w:val="00B45B49"/>
    <w:rsid w:val="00B807D0"/>
    <w:rsid w:val="00BA747A"/>
    <w:rsid w:val="00BB0955"/>
    <w:rsid w:val="00BB3FF7"/>
    <w:rsid w:val="00BD1873"/>
    <w:rsid w:val="00BD2197"/>
    <w:rsid w:val="00C56F0D"/>
    <w:rsid w:val="00D622DB"/>
    <w:rsid w:val="00DA4966"/>
    <w:rsid w:val="00DB24D6"/>
    <w:rsid w:val="00DE4DED"/>
    <w:rsid w:val="00DE6E53"/>
    <w:rsid w:val="00E24467"/>
    <w:rsid w:val="00E62C47"/>
    <w:rsid w:val="00E7526F"/>
    <w:rsid w:val="00E97B68"/>
    <w:rsid w:val="00EA44D3"/>
    <w:rsid w:val="00EE74CE"/>
    <w:rsid w:val="00EF5010"/>
    <w:rsid w:val="1036294E"/>
    <w:rsid w:val="10805243"/>
    <w:rsid w:val="144439AD"/>
    <w:rsid w:val="2F7D712F"/>
    <w:rsid w:val="4ABA2B6C"/>
    <w:rsid w:val="51561215"/>
    <w:rsid w:val="5F77471D"/>
    <w:rsid w:val="6094253D"/>
    <w:rsid w:val="64DD09ED"/>
    <w:rsid w:val="660117F7"/>
    <w:rsid w:val="6D1D02EE"/>
    <w:rsid w:val="79781D3D"/>
    <w:rsid w:val="7BD954E4"/>
    <w:rsid w:val="7C3127DF"/>
    <w:rsid w:val="7F926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font41"/>
    <w:basedOn w:val="6"/>
    <w:qFormat/>
    <w:uiPriority w:val="0"/>
    <w:rPr>
      <w:rFonts w:hint="eastAsia" w:ascii="宋体" w:hAnsi="宋体" w:eastAsia="宋体" w:cs="宋体"/>
      <w:color w:val="000000"/>
      <w:sz w:val="18"/>
      <w:szCs w:val="18"/>
      <w:u w:val="none"/>
    </w:rPr>
  </w:style>
  <w:style w:type="character" w:customStyle="1" w:styleId="8">
    <w:name w:val="font31"/>
    <w:basedOn w:val="6"/>
    <w:qFormat/>
    <w:uiPriority w:val="0"/>
    <w:rPr>
      <w:rFonts w:hint="default" w:ascii="Times New Roman" w:hAnsi="Times New Roman" w:cs="Times New Roman"/>
      <w:color w:val="000000"/>
      <w:sz w:val="18"/>
      <w:szCs w:val="18"/>
      <w:u w:val="none"/>
    </w:rPr>
  </w:style>
  <w:style w:type="character" w:customStyle="1" w:styleId="9">
    <w:name w:val="font21"/>
    <w:basedOn w:val="6"/>
    <w:qFormat/>
    <w:uiPriority w:val="0"/>
    <w:rPr>
      <w:rFonts w:hint="eastAsia" w:ascii="宋体" w:hAnsi="宋体" w:eastAsia="宋体" w:cs="宋体"/>
      <w:color w:val="FF0000"/>
      <w:sz w:val="18"/>
      <w:szCs w:val="18"/>
      <w:u w:val="none"/>
    </w:rPr>
  </w:style>
  <w:style w:type="character" w:customStyle="1" w:styleId="10">
    <w:name w:val="font11"/>
    <w:basedOn w:val="6"/>
    <w:qFormat/>
    <w:uiPriority w:val="0"/>
    <w:rPr>
      <w:rFonts w:hint="default" w:ascii="Times New Roman" w:hAnsi="Times New Roman" w:cs="Times New Roman"/>
      <w:color w:val="FF0000"/>
      <w:sz w:val="18"/>
      <w:szCs w:val="18"/>
      <w:u w:val="none"/>
    </w:rPr>
  </w:style>
  <w:style w:type="paragraph" w:styleId="11">
    <w:name w:val="List Paragraph"/>
    <w:basedOn w:val="1"/>
    <w:qFormat/>
    <w:uiPriority w:val="99"/>
    <w:pPr>
      <w:ind w:firstLine="420" w:firstLineChars="200"/>
    </w:pPr>
    <w:rPr>
      <w:rFonts w:ascii="Calibri" w:hAnsi="Calibri"/>
      <w:szCs w:val="22"/>
    </w:rPr>
  </w:style>
  <w:style w:type="character" w:customStyle="1" w:styleId="12">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9B7791-CEA5-4170-9B89-492B6ABCDF70}">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9943</Words>
  <Characters>10672</Characters>
  <Lines>81</Lines>
  <Paragraphs>22</Paragraphs>
  <TotalTime>5</TotalTime>
  <ScaleCrop>false</ScaleCrop>
  <LinksUpToDate>false</LinksUpToDate>
  <CharactersWithSpaces>10879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2021-09-22T07:32:00Z</dcterms:created>
  <dc:creator>hom</dc:creator>
  <cp:lastModifiedBy>Administrator</cp:lastModifiedBy>
  <cp:lastPrinted>2021-03-11T07:06:00Z</cp:lastPrinted>
  <dcterms:modified xsi:type="dcterms:W3CDTF">2023-04-23T08:17:53Z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4DCC9767726D40E59A09F65A8766F5D9_13</vt:lpwstr>
  </property>
</Properties>
</file>