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both"/>
        <w:textAlignment w:val="auto"/>
        <w:rPr>
          <w:rFonts w:hint="default" w:ascii="Times New Roman" w:hAnsi="Times New Roman" w:eastAsia="方正小标宋简体" w:cs="Times New Roman"/>
          <w:bCs/>
          <w:sz w:val="44"/>
          <w:szCs w:val="44"/>
        </w:rPr>
      </w:pPr>
      <w:bookmarkStart w:id="0" w:name="_GoBack"/>
      <w:bookmarkEnd w:id="0"/>
    </w:p>
    <w:p>
      <w:pPr>
        <w:pStyle w:val="2"/>
        <w:rPr>
          <w:rFonts w:hint="default" w:ascii="Times New Roman" w:hAnsi="Times New Roman" w:eastAsia="方正小标宋简体" w:cs="Times New Roman"/>
          <w:bCs/>
          <w:sz w:val="44"/>
          <w:szCs w:val="44"/>
        </w:rPr>
      </w:pPr>
    </w:p>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雨花区应急局</w:t>
      </w:r>
      <w:r>
        <w:rPr>
          <w:rFonts w:hint="eastAsia" w:ascii="仿宋_GB2312" w:hAnsi="仿宋_GB2312" w:eastAsia="仿宋_GB2312" w:cs="仿宋_GB2312"/>
          <w:b/>
          <w:bCs/>
          <w:sz w:val="44"/>
          <w:szCs w:val="44"/>
        </w:rPr>
        <w:t>部门整体支出</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预算绩效自评报告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pStyle w:val="2"/>
        <w:rPr>
          <w:rFonts w:hint="default" w:ascii="Times New Roman" w:hAnsi="Times New Roman" w:eastAsia="方正小标宋简体" w:cs="Times New Roman"/>
          <w:bCs/>
          <w:sz w:val="44"/>
          <w:szCs w:val="44"/>
        </w:rPr>
      </w:pPr>
      <w:r>
        <w:rPr>
          <w:rFonts w:hint="default" w:ascii="仿宋_GB2312" w:hAnsi="仿宋_GB2312" w:eastAsia="仿宋_GB2312" w:cs="仿宋_GB2312"/>
          <w:b/>
          <w:bCs/>
          <w:spacing w:val="-4"/>
          <w:kern w:val="0"/>
          <w:sz w:val="44"/>
          <w:szCs w:val="44"/>
          <w:lang w:val="en-US" w:eastAsia="zh-CN"/>
        </w:rPr>
        <w:t>单位名称（盖章）：</w:t>
      </w:r>
      <w:r>
        <w:rPr>
          <w:rFonts w:hint="eastAsia" w:ascii="仿宋_GB2312" w:hAnsi="仿宋_GB2312" w:eastAsia="仿宋_GB2312" w:cs="仿宋_GB2312"/>
          <w:b/>
          <w:bCs/>
          <w:spacing w:val="-4"/>
          <w:kern w:val="0"/>
          <w:sz w:val="44"/>
          <w:szCs w:val="44"/>
          <w:lang w:val="en-US" w:eastAsia="zh-CN"/>
        </w:rPr>
        <w:t>长沙市雨花区应急管理局</w:t>
      </w: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pStyle w:val="2"/>
        <w:rPr>
          <w:rFonts w:hint="default" w:ascii="Times New Roman" w:hAnsi="Times New Roman" w:eastAsia="方正小标宋简体" w:cs="Times New Roman"/>
          <w:bCs/>
          <w:sz w:val="44"/>
          <w:szCs w:val="44"/>
        </w:rPr>
      </w:pP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9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739"/>
        <w:gridCol w:w="832"/>
        <w:gridCol w:w="330"/>
        <w:gridCol w:w="2986"/>
        <w:gridCol w:w="3311"/>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75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75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投入</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（10分）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目标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设定</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绩效目标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合理性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①是否符合国家法律法规、国民经济和社会发展总体规划；</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③是否符合部门制定的发展实施规划。</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①符合国家相关法律法规，本</w:t>
            </w:r>
            <w:r>
              <w:rPr>
                <w:rStyle w:val="6"/>
                <w:rFonts w:hint="eastAsia" w:cs="Times New Roman"/>
                <w:sz w:val="20"/>
                <w:szCs w:val="20"/>
                <w:lang w:val="en-US" w:eastAsia="zh-CN" w:bidi="ar"/>
              </w:rPr>
              <w:t>区</w:t>
            </w:r>
            <w:r>
              <w:rPr>
                <w:rStyle w:val="6"/>
                <w:rFonts w:hint="default" w:ascii="Times New Roman" w:hAnsi="Times New Roman" w:cs="Times New Roman"/>
                <w:sz w:val="20"/>
                <w:szCs w:val="20"/>
                <w:lang w:val="en-US" w:eastAsia="zh-CN" w:bidi="ar"/>
              </w:rPr>
              <w:t>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75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绩效指标</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明确性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①是否将部门整体的绩效目标细化分解为具体的工作任务；</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②是否通过清晰、可衡量的指标值予以体现。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③是否与部门年度的任务数或计划数相对应；</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④是否与本年度部门预算资金相匹配。</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①有目标，计1分，否则不得分；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④目标与资金匹配良好，逻辑关系明确，计1分，否则不得分。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759"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配置</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聘用人员控制率≦人社和编办共同批复的人数；</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编制数：机构编制部门核定批复的部门（单位）的人员编制数。</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75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①预算完成率</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（预算完成数</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预算数）</w:t>
            </w:r>
            <w:r>
              <w:rPr>
                <w:rStyle w:val="7"/>
                <w:rFonts w:hint="default" w:ascii="Times New Roman" w:hAnsi="Times New Roman" w:eastAsia="宋体" w:cs="Times New Roman"/>
                <w:sz w:val="20"/>
                <w:szCs w:val="20"/>
                <w:highlight w:val="none"/>
                <w:lang w:val="en-US" w:eastAsia="zh-CN" w:bidi="ar"/>
              </w:rPr>
              <w:t>×100%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预算完成数：部门（单位）本年度实际完成的预算数。</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预算数：财政部门批复的本年度部门（单位）预算数及追加的项目预算数。</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②支付序时进度</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（序时执行数</w:t>
            </w:r>
            <w:r>
              <w:rPr>
                <w:rStyle w:val="7"/>
                <w:rFonts w:hint="default" w:ascii="Times New Roman" w:hAnsi="Times New Roman" w:eastAsia="宋体" w:cs="Times New Roman"/>
                <w:sz w:val="20"/>
                <w:szCs w:val="20"/>
                <w:highlight w:val="none"/>
                <w:lang w:val="en-US" w:eastAsia="zh-CN" w:bidi="ar"/>
              </w:rPr>
              <w:t>/</w:t>
            </w:r>
            <w:r>
              <w:rPr>
                <w:rStyle w:val="6"/>
                <w:rFonts w:hint="default" w:ascii="Times New Roman" w:hAnsi="Times New Roman" w:cs="Times New Roman"/>
                <w:sz w:val="20"/>
                <w:szCs w:val="20"/>
                <w:highlight w:val="none"/>
                <w:lang w:val="en-US" w:eastAsia="zh-CN" w:bidi="ar"/>
              </w:rPr>
              <w:t>序时指标下达数）</w:t>
            </w:r>
            <w:r>
              <w:rPr>
                <w:rStyle w:val="7"/>
                <w:rFonts w:hint="default" w:ascii="Times New Roman" w:hAnsi="Times New Roman" w:eastAsia="宋体" w:cs="Times New Roman"/>
                <w:sz w:val="20"/>
                <w:szCs w:val="20"/>
                <w:highlight w:val="none"/>
                <w:lang w:val="en-US" w:eastAsia="zh-CN" w:bidi="ar"/>
              </w:rPr>
              <w:t>×100%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序时执行数：指按时间节点部门预算项目实际支出数。序时指标下达数：按时间节点给部门预算下达的项目支出和追加的项目支出指标数之和。</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③部门预算项目支出调剂到</w:t>
            </w:r>
            <w:r>
              <w:rPr>
                <w:rStyle w:val="6"/>
                <w:rFonts w:hint="eastAsia" w:cs="Times New Roman"/>
                <w:sz w:val="20"/>
                <w:szCs w:val="20"/>
                <w:highlight w:val="none"/>
                <w:lang w:val="en-US" w:eastAsia="zh-CN" w:bidi="ar"/>
              </w:rPr>
              <w:t>单位</w:t>
            </w:r>
            <w:r>
              <w:rPr>
                <w:rStyle w:val="6"/>
                <w:rFonts w:hint="default" w:ascii="Times New Roman" w:hAnsi="Times New Roman" w:cs="Times New Roman"/>
                <w:sz w:val="20"/>
                <w:szCs w:val="20"/>
                <w:highlight w:val="none"/>
                <w:lang w:val="en-US" w:eastAsia="zh-CN" w:bidi="ar"/>
              </w:rPr>
              <w:t>。</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①全年预算完成率</w:t>
            </w:r>
            <w:r>
              <w:rPr>
                <w:rStyle w:val="7"/>
                <w:rFonts w:hint="default" w:ascii="Times New Roman" w:hAnsi="Times New Roman" w:eastAsia="宋体" w:cs="Times New Roman"/>
                <w:sz w:val="20"/>
                <w:szCs w:val="20"/>
                <w:highlight w:val="none"/>
                <w:lang w:val="en-US" w:eastAsia="zh-CN" w:bidi="ar"/>
              </w:rPr>
              <w:t>95%</w:t>
            </w:r>
            <w:r>
              <w:rPr>
                <w:rStyle w:val="6"/>
                <w:rFonts w:hint="default" w:ascii="Times New Roman" w:hAnsi="Times New Roman" w:cs="Times New Roman"/>
                <w:sz w:val="20"/>
                <w:szCs w:val="20"/>
                <w:highlight w:val="none"/>
                <w:lang w:val="en-US" w:eastAsia="zh-CN" w:bidi="ar"/>
              </w:rPr>
              <w:t>以上计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w:t>
            </w:r>
            <w:r>
              <w:rPr>
                <w:rStyle w:val="7"/>
                <w:rFonts w:hint="default" w:ascii="Times New Roman" w:hAnsi="Times New Roman" w:eastAsia="宋体" w:cs="Times New Roman"/>
                <w:sz w:val="20"/>
                <w:szCs w:val="20"/>
                <w:highlight w:val="none"/>
                <w:lang w:val="en-US" w:eastAsia="zh-CN" w:bidi="ar"/>
              </w:rPr>
              <w:t>95-90%</w:t>
            </w:r>
            <w:r>
              <w:rPr>
                <w:rStyle w:val="6"/>
                <w:rFonts w:hint="default" w:ascii="Times New Roman" w:hAnsi="Times New Roman" w:cs="Times New Roman"/>
                <w:sz w:val="20"/>
                <w:szCs w:val="20"/>
                <w:highlight w:val="none"/>
                <w:lang w:val="en-US" w:eastAsia="zh-CN" w:bidi="ar"/>
              </w:rPr>
              <w:t>（含），计</w:t>
            </w:r>
            <w:r>
              <w:rPr>
                <w:rStyle w:val="7"/>
                <w:rFonts w:hint="default" w:ascii="Times New Roman" w:hAnsi="Times New Roman" w:eastAsia="宋体" w:cs="Times New Roman"/>
                <w:sz w:val="20"/>
                <w:szCs w:val="20"/>
                <w:highlight w:val="none"/>
                <w:lang w:val="en-US" w:eastAsia="zh-CN" w:bidi="ar"/>
              </w:rPr>
              <w:t>1.5</w:t>
            </w:r>
            <w:r>
              <w:rPr>
                <w:rStyle w:val="6"/>
                <w:rFonts w:hint="default" w:ascii="Times New Roman" w:hAnsi="Times New Roman" w:cs="Times New Roman"/>
                <w:sz w:val="20"/>
                <w:szCs w:val="20"/>
                <w:highlight w:val="none"/>
                <w:lang w:val="en-US" w:eastAsia="zh-CN" w:bidi="ar"/>
              </w:rPr>
              <w:t>分，</w:t>
            </w:r>
            <w:r>
              <w:rPr>
                <w:rStyle w:val="7"/>
                <w:rFonts w:hint="default" w:ascii="Times New Roman" w:hAnsi="Times New Roman" w:eastAsia="宋体" w:cs="Times New Roman"/>
                <w:sz w:val="20"/>
                <w:szCs w:val="20"/>
                <w:highlight w:val="none"/>
                <w:lang w:val="en-US" w:eastAsia="zh-CN" w:bidi="ar"/>
              </w:rPr>
              <w:t>90-80%</w:t>
            </w:r>
            <w:r>
              <w:rPr>
                <w:rStyle w:val="6"/>
                <w:rFonts w:hint="default" w:ascii="Times New Roman" w:hAnsi="Times New Roman" w:cs="Times New Roman"/>
                <w:sz w:val="20"/>
                <w:szCs w:val="20"/>
                <w:highlight w:val="none"/>
                <w:lang w:val="en-US" w:eastAsia="zh-CN" w:bidi="ar"/>
              </w:rPr>
              <w:t>（含），计</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分，小于</w:t>
            </w:r>
            <w:r>
              <w:rPr>
                <w:rStyle w:val="7"/>
                <w:rFonts w:hint="default" w:ascii="Times New Roman" w:hAnsi="Times New Roman" w:eastAsia="宋体" w:cs="Times New Roman"/>
                <w:sz w:val="20"/>
                <w:szCs w:val="20"/>
                <w:highlight w:val="none"/>
                <w:lang w:val="en-US" w:eastAsia="zh-CN" w:bidi="ar"/>
              </w:rPr>
              <w:t>80%</w:t>
            </w:r>
            <w:r>
              <w:rPr>
                <w:rStyle w:val="6"/>
                <w:rFonts w:hint="default" w:ascii="Times New Roman" w:hAnsi="Times New Roman" w:cs="Times New Roman"/>
                <w:sz w:val="20"/>
                <w:szCs w:val="20"/>
                <w:highlight w:val="none"/>
                <w:lang w:val="en-US" w:eastAsia="zh-CN" w:bidi="ar"/>
              </w:rPr>
              <w:t>不得分；</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②一、二、三季度末支付序时进度分别达到</w:t>
            </w:r>
            <w:r>
              <w:rPr>
                <w:rStyle w:val="7"/>
                <w:rFonts w:hint="default" w:ascii="Times New Roman" w:hAnsi="Times New Roman" w:eastAsia="宋体" w:cs="Times New Roman"/>
                <w:sz w:val="20"/>
                <w:szCs w:val="20"/>
                <w:highlight w:val="none"/>
                <w:lang w:val="en-US" w:eastAsia="zh-CN" w:bidi="ar"/>
              </w:rPr>
              <w:t>20%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t>50%</w:t>
            </w:r>
            <w:r>
              <w:rPr>
                <w:rStyle w:val="6"/>
                <w:rFonts w:hint="default" w:ascii="Times New Roman" w:hAnsi="Times New Roman" w:cs="Times New Roman"/>
                <w:sz w:val="20"/>
                <w:szCs w:val="20"/>
                <w:highlight w:val="none"/>
                <w:lang w:val="en-US" w:eastAsia="zh-CN" w:bidi="ar"/>
              </w:rPr>
              <w:t>、</w:t>
            </w:r>
            <w:r>
              <w:rPr>
                <w:rStyle w:val="7"/>
                <w:rFonts w:hint="default" w:ascii="Times New Roman" w:hAnsi="Times New Roman" w:eastAsia="宋体" w:cs="Times New Roman"/>
                <w:sz w:val="20"/>
                <w:szCs w:val="20"/>
                <w:highlight w:val="none"/>
                <w:lang w:val="en-US" w:eastAsia="zh-CN" w:bidi="ar"/>
              </w:rPr>
              <w:t>80%</w:t>
            </w:r>
            <w:r>
              <w:rPr>
                <w:rStyle w:val="6"/>
                <w:rFonts w:hint="default" w:ascii="Times New Roman" w:hAnsi="Times New Roman" w:cs="Times New Roman"/>
                <w:sz w:val="20"/>
                <w:szCs w:val="20"/>
                <w:highlight w:val="none"/>
                <w:lang w:val="en-US" w:eastAsia="zh-CN" w:bidi="ar"/>
              </w:rPr>
              <w:t>（含）以上计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分，每低</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个百分点扣</w:t>
            </w:r>
            <w:r>
              <w:rPr>
                <w:rStyle w:val="7"/>
                <w:rFonts w:hint="default" w:ascii="Times New Roman" w:hAnsi="Times New Roman" w:eastAsia="宋体" w:cs="Times New Roman"/>
                <w:sz w:val="20"/>
                <w:szCs w:val="20"/>
                <w:highlight w:val="none"/>
                <w:lang w:val="en-US" w:eastAsia="zh-CN" w:bidi="ar"/>
              </w:rPr>
              <w:t>0.2</w:t>
            </w:r>
            <w:r>
              <w:rPr>
                <w:rStyle w:val="6"/>
                <w:rFonts w:hint="default" w:ascii="Times New Roman" w:hAnsi="Times New Roman" w:cs="Times New Roman"/>
                <w:sz w:val="20"/>
                <w:szCs w:val="20"/>
                <w:highlight w:val="none"/>
                <w:lang w:val="en-US" w:eastAsia="zh-CN" w:bidi="ar"/>
              </w:rPr>
              <w:t>分，扣完为止。</w:t>
            </w:r>
            <w:r>
              <w:rPr>
                <w:rStyle w:val="7"/>
                <w:rFonts w:hint="default" w:ascii="Times New Roman" w:hAnsi="Times New Roman" w:eastAsia="宋体" w:cs="Times New Roman"/>
                <w:sz w:val="20"/>
                <w:szCs w:val="20"/>
                <w:highlight w:val="none"/>
                <w:lang w:val="en-US" w:eastAsia="zh-CN" w:bidi="ar"/>
              </w:rPr>
              <w:br w:type="textWrapping"/>
            </w:r>
            <w:r>
              <w:rPr>
                <w:rStyle w:val="6"/>
                <w:rFonts w:hint="default" w:ascii="Times New Roman" w:hAnsi="Times New Roman" w:cs="Times New Roman"/>
                <w:sz w:val="20"/>
                <w:szCs w:val="20"/>
                <w:highlight w:val="none"/>
                <w:lang w:val="en-US" w:eastAsia="zh-CN" w:bidi="ar"/>
              </w:rPr>
              <w:t>③部门预算项目支出调剂到</w:t>
            </w:r>
            <w:r>
              <w:rPr>
                <w:rStyle w:val="6"/>
                <w:rFonts w:hint="eastAsia" w:cs="Times New Roman"/>
                <w:sz w:val="20"/>
                <w:szCs w:val="20"/>
                <w:highlight w:val="none"/>
                <w:shd w:val="clear" w:fill="FFFFFF" w:themeFill="background1"/>
                <w:lang w:val="en-US" w:eastAsia="zh-CN" w:bidi="ar"/>
              </w:rPr>
              <w:t>单位</w:t>
            </w:r>
            <w:r>
              <w:rPr>
                <w:rStyle w:val="6"/>
                <w:rFonts w:hint="default" w:ascii="Times New Roman" w:hAnsi="Times New Roman" w:cs="Times New Roman"/>
                <w:sz w:val="20"/>
                <w:szCs w:val="20"/>
                <w:highlight w:val="none"/>
                <w:lang w:val="en-US" w:eastAsia="zh-CN" w:bidi="ar"/>
              </w:rPr>
              <w:t>小于等于项目支出</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分；大于</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根据</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政府文件规定，预算单位年度安排的</w:t>
            </w: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级预算资金不能结转。</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highlight w:val="none"/>
                <w:u w:val="none"/>
              </w:rPr>
            </w:pPr>
            <w:r>
              <w:rPr>
                <w:rFonts w:hint="eastAsia" w:cs="Times New Roman"/>
                <w:i w:val="0"/>
                <w:color w:val="000000"/>
                <w:kern w:val="0"/>
                <w:sz w:val="20"/>
                <w:szCs w:val="20"/>
                <w:highlight w:val="none"/>
                <w:u w:val="none"/>
                <w:lang w:val="en-US" w:eastAsia="zh-CN" w:bidi="ar"/>
              </w:rPr>
              <w:t>区</w:t>
            </w:r>
            <w:r>
              <w:rPr>
                <w:rFonts w:hint="default" w:ascii="Times New Roman" w:hAnsi="Times New Roman" w:eastAsia="宋体" w:cs="Times New Roman"/>
                <w:i w:val="0"/>
                <w:color w:val="000000"/>
                <w:kern w:val="0"/>
                <w:sz w:val="20"/>
                <w:szCs w:val="20"/>
                <w:highlight w:val="none"/>
                <w:u w:val="none"/>
                <w:lang w:val="en-US" w:eastAsia="zh-CN" w:bidi="ar"/>
              </w:rPr>
              <w:t>本级资金无结转，计2分；有结转，不计分；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75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预算单位严格执行</w:t>
            </w:r>
            <w:r>
              <w:rPr>
                <w:rStyle w:val="6"/>
                <w:rFonts w:hint="eastAsia" w:cs="Times New Roman"/>
                <w:sz w:val="20"/>
                <w:szCs w:val="20"/>
                <w:lang w:val="en-US" w:eastAsia="zh-CN" w:bidi="ar"/>
              </w:rPr>
              <w:t>《中华人民共和国政府采购法》</w:t>
            </w:r>
            <w:r>
              <w:rPr>
                <w:rStyle w:val="6"/>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管理制度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①部门（单位）内控制度、内部财务管理制度和会计核算制度是否健全；</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②相关管理制度是否合法、合规、完整；</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③相关管理制度是否得到有效执行。</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资金使用</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合规性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②资金的支付是否有完整的审批程序和手续；</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③重大项目开支和大额资金使用是否经单位党组集体研究决策；</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④是否符合项目预算批复或合同规定的用途；</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⑤是否存在截留、挤占、挪用、虚列支出等情况；</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⑥是否存在重复申报项目、虚报冒领资金。</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⑦违规情况特别严重的，重点绩效评价等级定为“差”。</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过程</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预算</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①预算单位按规定及时、准确、完整的公开预决算和绩效管理信息；</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②基础数据信息和会计信息资料真实、准确、完整；</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绩效自评</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highlight w:val="none"/>
                <w:u w:val="none"/>
              </w:rPr>
            </w:pPr>
            <w:r>
              <w:rPr>
                <w:rFonts w:hint="default" w:ascii="Times New Roman" w:hAnsi="Times New Roman" w:eastAsia="宋体" w:cs="Times New Roman"/>
                <w:i w:val="0"/>
                <w:color w:val="000000"/>
                <w:kern w:val="0"/>
                <w:sz w:val="20"/>
                <w:szCs w:val="20"/>
                <w:highlight w:val="none"/>
                <w:u w:val="none"/>
                <w:lang w:val="en-US" w:eastAsia="zh-CN" w:bidi="ar"/>
              </w:rPr>
              <w:t>4</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highlight w:val="none"/>
                <w:u w:val="none"/>
              </w:rPr>
            </w:pPr>
            <w:r>
              <w:rPr>
                <w:rStyle w:val="6"/>
                <w:rFonts w:hint="default" w:ascii="Times New Roman" w:hAnsi="Times New Roman" w:cs="Times New Roman"/>
                <w:sz w:val="20"/>
                <w:szCs w:val="20"/>
                <w:highlight w:val="none"/>
                <w:lang w:val="en-US" w:eastAsia="zh-CN" w:bidi="ar"/>
              </w:rPr>
              <w:t>根据</w:t>
            </w:r>
            <w:r>
              <w:rPr>
                <w:rStyle w:val="6"/>
                <w:rFonts w:hint="eastAsia" w:cs="Times New Roman"/>
                <w:sz w:val="20"/>
                <w:szCs w:val="20"/>
                <w:highlight w:val="none"/>
                <w:lang w:val="en-US" w:eastAsia="zh-CN" w:bidi="ar"/>
              </w:rPr>
              <w:t>区</w:t>
            </w:r>
            <w:r>
              <w:rPr>
                <w:rStyle w:val="6"/>
                <w:rFonts w:hint="default" w:ascii="Times New Roman" w:hAnsi="Times New Roman" w:cs="Times New Roman"/>
                <w:sz w:val="20"/>
                <w:szCs w:val="20"/>
                <w:highlight w:val="none"/>
                <w:lang w:val="en-US" w:eastAsia="zh-CN" w:bidi="ar"/>
              </w:rPr>
              <w:t>财政局2020年考核结果，评审为优，计</w:t>
            </w:r>
            <w:r>
              <w:rPr>
                <w:rStyle w:val="7"/>
                <w:rFonts w:hint="default" w:ascii="Times New Roman" w:hAnsi="Times New Roman" w:eastAsia="宋体" w:cs="Times New Roman"/>
                <w:sz w:val="20"/>
                <w:szCs w:val="20"/>
                <w:highlight w:val="none"/>
                <w:lang w:val="en-US" w:eastAsia="zh-CN" w:bidi="ar"/>
              </w:rPr>
              <w:t>4</w:t>
            </w:r>
            <w:r>
              <w:rPr>
                <w:rStyle w:val="6"/>
                <w:rFonts w:hint="default" w:ascii="Times New Roman" w:hAnsi="Times New Roman" w:cs="Times New Roman"/>
                <w:sz w:val="20"/>
                <w:szCs w:val="20"/>
                <w:highlight w:val="none"/>
                <w:lang w:val="en-US" w:eastAsia="zh-CN" w:bidi="ar"/>
              </w:rPr>
              <w:t>分；评审为良，计</w:t>
            </w:r>
            <w:r>
              <w:rPr>
                <w:rStyle w:val="7"/>
                <w:rFonts w:hint="default" w:ascii="Times New Roman" w:hAnsi="Times New Roman" w:eastAsia="宋体" w:cs="Times New Roman"/>
                <w:sz w:val="20"/>
                <w:szCs w:val="20"/>
                <w:highlight w:val="none"/>
                <w:lang w:val="en-US" w:eastAsia="zh-CN" w:bidi="ar"/>
              </w:rPr>
              <w:t>3</w:t>
            </w:r>
            <w:r>
              <w:rPr>
                <w:rStyle w:val="6"/>
                <w:rFonts w:hint="default" w:ascii="Times New Roman" w:hAnsi="Times New Roman" w:cs="Times New Roman"/>
                <w:sz w:val="20"/>
                <w:szCs w:val="20"/>
                <w:highlight w:val="none"/>
                <w:lang w:val="en-US" w:eastAsia="zh-CN" w:bidi="ar"/>
              </w:rPr>
              <w:t>分；评审为中，计</w:t>
            </w:r>
            <w:r>
              <w:rPr>
                <w:rStyle w:val="7"/>
                <w:rFonts w:hint="default" w:ascii="Times New Roman" w:hAnsi="Times New Roman" w:eastAsia="宋体" w:cs="Times New Roman"/>
                <w:sz w:val="20"/>
                <w:szCs w:val="20"/>
                <w:highlight w:val="none"/>
                <w:lang w:val="en-US" w:eastAsia="zh-CN" w:bidi="ar"/>
              </w:rPr>
              <w:t>2</w:t>
            </w:r>
            <w:r>
              <w:rPr>
                <w:rStyle w:val="6"/>
                <w:rFonts w:hint="default" w:ascii="Times New Roman" w:hAnsi="Times New Roman" w:cs="Times New Roman"/>
                <w:sz w:val="20"/>
                <w:szCs w:val="20"/>
                <w:highlight w:val="none"/>
                <w:lang w:val="en-US" w:eastAsia="zh-CN" w:bidi="ar"/>
              </w:rPr>
              <w:t>分；评审为低，计</w:t>
            </w:r>
            <w:r>
              <w:rPr>
                <w:rStyle w:val="7"/>
                <w:rFonts w:hint="default" w:ascii="Times New Roman" w:hAnsi="Times New Roman" w:eastAsia="宋体" w:cs="Times New Roman"/>
                <w:sz w:val="20"/>
                <w:szCs w:val="20"/>
                <w:highlight w:val="none"/>
                <w:lang w:val="en-US" w:eastAsia="zh-CN" w:bidi="ar"/>
              </w:rPr>
              <w:t>1</w:t>
            </w:r>
            <w:r>
              <w:rPr>
                <w:rStyle w:val="6"/>
                <w:rFonts w:hint="default" w:ascii="Times New Roman" w:hAnsi="Times New Roman" w:cs="Times New Roman"/>
                <w:sz w:val="20"/>
                <w:szCs w:val="20"/>
                <w:highlight w:val="none"/>
                <w:lang w:val="en-US" w:eastAsia="zh-CN" w:bidi="ar"/>
              </w:rPr>
              <w:t>分；评审为差，计</w:t>
            </w:r>
            <w:r>
              <w:rPr>
                <w:rStyle w:val="7"/>
                <w:rFonts w:hint="default" w:ascii="Times New Roman" w:hAnsi="Times New Roman" w:eastAsia="宋体" w:cs="Times New Roman"/>
                <w:sz w:val="20"/>
                <w:szCs w:val="20"/>
                <w:highlight w:val="none"/>
                <w:lang w:val="en-US" w:eastAsia="zh-CN" w:bidi="ar"/>
              </w:rPr>
              <w:t>0</w:t>
            </w:r>
            <w:r>
              <w:rPr>
                <w:rStyle w:val="6"/>
                <w:rFonts w:hint="default" w:ascii="Times New Roman" w:hAnsi="Times New Roman" w:cs="Times New Roman"/>
                <w:sz w:val="20"/>
                <w:szCs w:val="20"/>
                <w:highlight w:val="none"/>
                <w:lang w:val="en-US" w:eastAsia="zh-CN" w:bidi="ar"/>
              </w:rPr>
              <w:t>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759"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739"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资产</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①是否已制定合法、合规、完整的资产管理制度；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②相关资产管理制度是否得到有效执行；</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③资产配置是否编制年度预算；</w:t>
            </w:r>
            <w:r>
              <w:rPr>
                <w:rStyle w:val="6"/>
                <w:rFonts w:hint="default" w:ascii="Times New Roman" w:hAnsi="Times New Roman"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④资产配置预算实际执行情况。</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资产管理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安全性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①资产保存是否完整并有台账；</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②资产配置是否合理；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③资产处置是否规范；</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账实相符</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⑤资产是否有偿使用或处置收入及时足额上缴；</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⑥相关资产购置是否履行政府采购手续；</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⑦资产是否定期进行盘点并有记录。</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②资产处置规范，计0.5分，发现一例不符，扣0.1分，扣完为止；</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③资产有偿使用或处置收入及时足额上缴，计0.5分，发现未上缴，本项不得分；</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固定资产</w:t>
            </w:r>
            <w:r>
              <w:rPr>
                <w:rStyle w:val="7"/>
                <w:rFonts w:hint="default" w:ascii="Times New Roman" w:hAnsi="Times New Roman" w:eastAsia="宋体" w:cs="Times New Roman"/>
                <w:sz w:val="20"/>
                <w:szCs w:val="20"/>
                <w:lang w:val="en-US" w:eastAsia="zh-CN" w:bidi="ar"/>
              </w:rPr>
              <w:br w:type="textWrapping"/>
            </w:r>
            <w:r>
              <w:rPr>
                <w:rStyle w:val="6"/>
                <w:rFonts w:hint="default" w:ascii="Times New Roman" w:hAnsi="Times New Roman" w:cs="Times New Roman"/>
                <w:sz w:val="20"/>
                <w:szCs w:val="20"/>
                <w:lang w:val="en-US" w:eastAsia="zh-CN" w:bidi="ar"/>
              </w:rPr>
              <w:t>保管和使用情况</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3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739" w:type="dxa"/>
            <w:vMerge w:val="restart"/>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3311" w:type="dxa"/>
            <w:vMerge w:val="restart"/>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331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3311" w:type="dxa"/>
            <w:vMerge w:val="continue"/>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75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739" w:type="dxa"/>
            <w:vMerge w:val="continue"/>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75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739" w:type="dxa"/>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832"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330"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2986"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3311"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945"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87.5</w:t>
            </w:r>
          </w:p>
        </w:tc>
      </w:tr>
    </w:tbl>
    <w:p/>
    <w:p/>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仿宋_GB2312" w:hAnsi="仿宋_GB2312" w:eastAsia="仿宋_GB2312" w:cs="仿宋_GB2312"/>
          <w:b/>
          <w:bCs/>
          <w:sz w:val="44"/>
          <w:szCs w:val="44"/>
          <w:lang w:val="en-US" w:eastAsia="zh-CN"/>
        </w:rPr>
      </w:pPr>
    </w:p>
    <w:p>
      <w:pPr>
        <w:spacing w:line="600" w:lineRule="exact"/>
        <w:jc w:val="center"/>
        <w:rPr>
          <w:rFonts w:hint="eastAsia" w:ascii="仿宋_GB2312" w:hAnsi="仿宋_GB2312" w:eastAsia="仿宋_GB2312" w:cs="仿宋_GB2312"/>
          <w:b/>
          <w:bCs/>
          <w:sz w:val="44"/>
          <w:szCs w:val="44"/>
          <w:lang w:val="en-US" w:eastAsia="zh-CN"/>
        </w:rPr>
      </w:pPr>
    </w:p>
    <w:p>
      <w:pPr>
        <w:pStyle w:val="2"/>
        <w:rPr>
          <w:rFonts w:hint="eastAsia" w:ascii="仿宋_GB2312" w:hAnsi="仿宋_GB2312" w:eastAsia="仿宋_GB2312" w:cs="仿宋_GB2312"/>
          <w:b/>
          <w:bCs/>
          <w:sz w:val="44"/>
          <w:szCs w:val="44"/>
        </w:rPr>
      </w:pPr>
    </w:p>
    <w:p>
      <w:pPr>
        <w:pStyle w:val="10"/>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spacing w:line="600" w:lineRule="exact"/>
        <w:ind w:firstLine="643" w:firstLineChars="200"/>
        <w:rPr>
          <w:rFonts w:hint="eastAsia" w:ascii="宋体" w:hAnsi="宋体" w:eastAsia="宋体" w:cs="宋体"/>
          <w:color w:val="000000"/>
          <w:kern w:val="0"/>
          <w:sz w:val="32"/>
          <w:szCs w:val="32"/>
        </w:rPr>
      </w:pPr>
      <w:r>
        <w:rPr>
          <w:rFonts w:hint="eastAsia" w:ascii="仿宋_GB2312" w:hAnsi="宋体" w:eastAsia="仿宋_GB2312" w:cs="宋体"/>
          <w:b/>
          <w:color w:val="000000"/>
          <w:kern w:val="0"/>
          <w:sz w:val="32"/>
          <w:szCs w:val="32"/>
          <w:lang w:val="en-US" w:eastAsia="zh-CN"/>
        </w:rPr>
        <w:t xml:space="preserve"> </w:t>
      </w:r>
      <w:r>
        <w:rPr>
          <w:rFonts w:hint="eastAsia" w:ascii="仿宋_GB2312" w:hAnsi="仿宋_GB2312" w:eastAsia="仿宋_GB2312" w:cs="仿宋_GB2312"/>
          <w:sz w:val="32"/>
          <w:szCs w:val="32"/>
        </w:rPr>
        <w:t>区应急局机关行政编制11名。领导职数为：局长（乡科级正职）1名,副局长（乡科级副职）2名，总工程师（乡科级副职）1名，政治工作办公室主任（乡科级副职）1名。区应急局机关后勤服务全额拨款事业编制1名</w:t>
      </w:r>
      <w:r>
        <w:rPr>
          <w:rFonts w:hint="eastAsia" w:ascii="仿宋_GB2312" w:hAnsi="仿宋_GB2312" w:eastAsia="仿宋_GB2312" w:cs="仿宋_GB2312"/>
          <w:sz w:val="32"/>
          <w:szCs w:val="32"/>
          <w:lang w:eastAsia="zh-CN"/>
        </w:rPr>
        <w:t>，雨花区安全生产监察执法大队全额拨款事业编制</w:t>
      </w:r>
      <w:r>
        <w:rPr>
          <w:rFonts w:hint="eastAsia" w:ascii="仿宋_GB2312" w:hAnsi="仿宋_GB2312" w:eastAsia="仿宋_GB2312" w:cs="仿宋_GB2312"/>
          <w:sz w:val="32"/>
          <w:szCs w:val="32"/>
          <w:lang w:val="en-US" w:eastAsia="zh-CN"/>
        </w:rPr>
        <w:t>8名，雨花区应急事务中心</w:t>
      </w:r>
      <w:r>
        <w:rPr>
          <w:rFonts w:hint="eastAsia" w:ascii="仿宋_GB2312" w:hAnsi="仿宋_GB2312" w:eastAsia="仿宋_GB2312" w:cs="仿宋_GB2312"/>
          <w:sz w:val="32"/>
          <w:szCs w:val="32"/>
          <w:lang w:eastAsia="zh-CN"/>
        </w:rPr>
        <w:t>全额拨款事业编制</w:t>
      </w:r>
      <w:r>
        <w:rPr>
          <w:rFonts w:hint="eastAsia" w:ascii="仿宋_GB2312" w:hAnsi="仿宋_GB2312" w:eastAsia="仿宋_GB2312" w:cs="仿宋_GB2312"/>
          <w:sz w:val="32"/>
          <w:szCs w:val="32"/>
          <w:lang w:val="en-US" w:eastAsia="zh-CN"/>
        </w:rPr>
        <w:t>8名。</w:t>
      </w:r>
      <w:r>
        <w:rPr>
          <w:rFonts w:ascii="仿宋" w:hAnsi="仿宋" w:eastAsia="仿宋" w:cs="Arial"/>
          <w:kern w:val="0"/>
          <w:sz w:val="32"/>
          <w:szCs w:val="32"/>
          <w:lang w:val="en"/>
        </w:rPr>
        <w:t>现有在职人员</w:t>
      </w:r>
      <w:r>
        <w:rPr>
          <w:rFonts w:hint="eastAsia" w:ascii="仿宋" w:hAnsi="仿宋" w:eastAsia="仿宋" w:cs="Arial"/>
          <w:kern w:val="0"/>
          <w:sz w:val="32"/>
          <w:szCs w:val="32"/>
          <w:lang w:val="en-US" w:eastAsia="zh-CN"/>
        </w:rPr>
        <w:t>40</w:t>
      </w:r>
      <w:r>
        <w:rPr>
          <w:rFonts w:ascii="仿宋" w:hAnsi="仿宋" w:eastAsia="仿宋" w:cs="Arial"/>
          <w:kern w:val="0"/>
          <w:sz w:val="32"/>
          <w:szCs w:val="32"/>
          <w:lang w:val="en"/>
        </w:rPr>
        <w:t>人（其中在职在编</w:t>
      </w:r>
      <w:r>
        <w:rPr>
          <w:rFonts w:hint="eastAsia" w:ascii="仿宋" w:hAnsi="仿宋" w:eastAsia="仿宋" w:cs="Arial"/>
          <w:kern w:val="0"/>
          <w:sz w:val="32"/>
          <w:szCs w:val="32"/>
          <w:lang w:val="en-US" w:eastAsia="zh-CN"/>
        </w:rPr>
        <w:t>30</w:t>
      </w:r>
      <w:r>
        <w:rPr>
          <w:rFonts w:ascii="仿宋" w:hAnsi="仿宋" w:eastAsia="仿宋" w:cs="Arial"/>
          <w:kern w:val="0"/>
          <w:sz w:val="32"/>
          <w:szCs w:val="32"/>
          <w:lang w:val="en"/>
        </w:rPr>
        <w:t>人，引进人才1人，雇员</w:t>
      </w:r>
      <w:r>
        <w:rPr>
          <w:rFonts w:hint="eastAsia" w:ascii="仿宋" w:hAnsi="仿宋" w:eastAsia="仿宋" w:cs="Arial"/>
          <w:kern w:val="0"/>
          <w:sz w:val="32"/>
          <w:szCs w:val="32"/>
          <w:lang w:val="en-US" w:eastAsia="zh-CN"/>
        </w:rPr>
        <w:t>9</w:t>
      </w:r>
      <w:r>
        <w:rPr>
          <w:rFonts w:ascii="仿宋" w:hAnsi="仿宋" w:eastAsia="仿宋" w:cs="Arial"/>
          <w:kern w:val="0"/>
          <w:sz w:val="32"/>
          <w:szCs w:val="32"/>
          <w:lang w:val="en"/>
        </w:rPr>
        <w:t>人）</w:t>
      </w:r>
      <w:r>
        <w:rPr>
          <w:rFonts w:ascii="仿宋" w:hAnsi="仿宋" w:eastAsia="仿宋" w:cs="Arial"/>
          <w:color w:val="333333"/>
          <w:kern w:val="0"/>
          <w:sz w:val="32"/>
          <w:szCs w:val="32"/>
          <w:lang w:val="en"/>
        </w:rPr>
        <w:t>。</w:t>
      </w:r>
      <w:r>
        <w:rPr>
          <w:rFonts w:hint="eastAsia" w:ascii="宋体" w:hAnsi="宋体" w:eastAsia="宋体" w:cs="宋体"/>
          <w:color w:val="000000"/>
          <w:kern w:val="0"/>
          <w:sz w:val="32"/>
          <w:szCs w:val="32"/>
        </w:rPr>
        <w:t>部门职能职责</w:t>
      </w:r>
      <w:r>
        <w:rPr>
          <w:rFonts w:hint="eastAsia" w:ascii="宋体" w:hAnsi="宋体" w:eastAsia="宋体" w:cs="宋体"/>
          <w:color w:val="000000"/>
          <w:kern w:val="0"/>
          <w:sz w:val="32"/>
          <w:szCs w:val="32"/>
          <w:lang w:eastAsia="zh-CN"/>
        </w:rPr>
        <w:t>主要为：</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outlineLvl w:val="9"/>
        <w:rPr>
          <w:rFonts w:hint="eastAsia" w:ascii="仿宋_GB2312" w:hAnsi="仿宋_GB2312" w:eastAsia="仿宋_GB2312" w:cs="仿宋_GB2312"/>
          <w:spacing w:val="-2"/>
          <w:sz w:val="32"/>
          <w:szCs w:val="32"/>
        </w:rPr>
      </w:pPr>
      <w:r>
        <w:rPr>
          <w:rFonts w:hint="eastAsia" w:ascii="仿宋_GB2312" w:hAnsi="宋体" w:eastAsia="仿宋_GB2312" w:cs="宋体"/>
          <w:color w:val="000000"/>
          <w:kern w:val="0"/>
          <w:sz w:val="32"/>
          <w:szCs w:val="32"/>
        </w:rPr>
        <w:t>1、</w:t>
      </w:r>
      <w:r>
        <w:rPr>
          <w:rFonts w:hint="eastAsia" w:ascii="仿宋_GB2312" w:hAnsi="仿宋_GB2312" w:eastAsia="仿宋_GB2312" w:cs="仿宋_GB2312"/>
          <w:spacing w:val="-2"/>
          <w:sz w:val="32"/>
          <w:szCs w:val="32"/>
        </w:rPr>
        <w:t>负责应急管理工作，指导全区各级各部门应对安全生产类、自然灾害类等突发事件和综合防灾减灾救灾工作。负责安全生产综合监督管理和工矿商贸行业安全生产监督管理工作。</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贯彻实施相关法律法规、部门规章、规程和标准，组织编制全区应急体系建设、安全生产和综合防灾减灾计划。</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指导应急预案体系建设，建立完善事故灾难和自然灾害分级应对制度，组织编制全区总体应急预案和安全生产类、自然灾害类专项预案，综合协调应急预案衔接工作，组织开展预案演练。</w:t>
      </w:r>
    </w:p>
    <w:p>
      <w:pPr>
        <w:keepNext w:val="0"/>
        <w:keepLines w:val="0"/>
        <w:pageBreakBefore w:val="0"/>
        <w:kinsoku/>
        <w:wordWrap/>
        <w:overflowPunct/>
        <w:topLinePunct w:val="0"/>
        <w:autoSpaceDE/>
        <w:autoSpaceDN/>
        <w:bidi w:val="0"/>
        <w:adjustRightInd/>
        <w:snapToGrid/>
        <w:spacing w:beforeAutospacing="0" w:afterAutospacing="0" w:line="540" w:lineRule="exact"/>
        <w:ind w:left="0" w:leftChars="0" w:right="0" w:rightChars="0"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牵头推进全区统一的应急管理信息系统建设，负责信息传输渠道的计划和布局，建立监测预警和灾情报告制度，健全自然灾害信息资源获取和共享机制，依法统一发布灾情。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outlineLvl w:val="9"/>
        <w:rPr>
          <w:rFonts w:ascii="仿宋_GB2312" w:hAnsi="宋体" w:eastAsia="仿宋_GB2312" w:cs="宋体"/>
          <w:color w:val="000000"/>
          <w:kern w:val="0"/>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组织指导协调安全生产类、自然灾害类等突发事件应急救援，承担区应对较大灾害指挥部的相关工作，综合研判突发事件发展态势并提出应对建议，协助区委、区政府指定的负责同志组织较大及以上灾害应急处置工作。</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基本支出：</w:t>
      </w:r>
      <w:r>
        <w:rPr>
          <w:rFonts w:hint="eastAsia" w:ascii="仿宋_GB2312" w:hAnsi="宋体" w:eastAsia="仿宋_GB2312" w:cs="宋体"/>
          <w:color w:val="000000"/>
          <w:kern w:val="0"/>
          <w:sz w:val="32"/>
          <w:szCs w:val="32"/>
          <w:lang w:val="en-US" w:eastAsia="zh-CN"/>
        </w:rPr>
        <w:t>2020</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底决算数</w:t>
      </w:r>
      <w:r>
        <w:rPr>
          <w:rFonts w:hint="eastAsia" w:ascii="仿宋_GB2312" w:hAnsi="宋体" w:eastAsia="仿宋_GB2312" w:cs="宋体"/>
          <w:color w:val="000000"/>
          <w:kern w:val="0"/>
          <w:sz w:val="32"/>
          <w:szCs w:val="32"/>
        </w:rPr>
        <w:t>为</w:t>
      </w:r>
      <w:r>
        <w:rPr>
          <w:rFonts w:hint="eastAsia" w:ascii="仿宋_GB2312" w:hAnsi="宋体" w:eastAsia="仿宋_GB2312" w:cs="宋体"/>
          <w:color w:val="000000"/>
          <w:kern w:val="0"/>
          <w:sz w:val="32"/>
          <w:szCs w:val="32"/>
          <w:lang w:val="en-US" w:eastAsia="zh-CN"/>
        </w:rPr>
        <w:t>1434.01</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其中，人员经费</w:t>
      </w:r>
      <w:r>
        <w:rPr>
          <w:rFonts w:hint="eastAsia" w:ascii="仿宋_GB2312" w:hAnsi="宋体" w:eastAsia="仿宋_GB2312" w:cs="宋体"/>
          <w:color w:val="000000"/>
          <w:kern w:val="0"/>
          <w:sz w:val="32"/>
          <w:szCs w:val="32"/>
          <w:lang w:val="en-US" w:eastAsia="zh-CN"/>
        </w:rPr>
        <w:t>1338.99万元，主要包括：</w:t>
      </w:r>
      <w:r>
        <w:rPr>
          <w:rFonts w:hint="eastAsia" w:ascii="仿宋_GB2312" w:hAnsi="仿宋_GB2312" w:eastAsia="仿宋_GB2312" w:cs="仿宋_GB2312"/>
          <w:sz w:val="32"/>
          <w:szCs w:val="32"/>
        </w:rPr>
        <w:t>基本工资、津贴补贴、奖金、社会保障缴费、其他工资福利支出、退休费、奖励金、住房公积金、其他对个人和家庭的补助支出；公用经费</w:t>
      </w:r>
      <w:r>
        <w:rPr>
          <w:rFonts w:hint="eastAsia" w:ascii="仿宋_GB2312" w:hAnsi="仿宋_GB2312" w:eastAsia="仿宋_GB2312" w:cs="仿宋_GB2312"/>
          <w:sz w:val="32"/>
          <w:szCs w:val="32"/>
          <w:lang w:val="en-US" w:eastAsia="zh-CN"/>
        </w:rPr>
        <w:t>95.02</w:t>
      </w:r>
      <w:r>
        <w:rPr>
          <w:rFonts w:hint="eastAsia" w:ascii="仿宋_GB2312" w:hAnsi="仿宋_GB2312" w:eastAsia="仿宋_GB2312" w:cs="仿宋_GB2312"/>
          <w:sz w:val="32"/>
          <w:szCs w:val="32"/>
        </w:rPr>
        <w:t>万元，主要包括：办公费、邮电费、差旅费、维修（护）费、会议费、培训费、公务接待费、劳务费、工会经费、公务用车运行维护费、其他交通费用、其他商品和服务支出。</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outlineLvl w:val="9"/>
        <w:rPr>
          <w:rFonts w:hint="default" w:ascii="仿宋_GB2312" w:hAnsi="宋体" w:eastAsia="仿宋_GB2312" w:cs="宋体"/>
          <w:color w:val="000000"/>
          <w:kern w:val="0"/>
          <w:sz w:val="32"/>
          <w:szCs w:val="32"/>
          <w:lang w:val="en-US"/>
        </w:rPr>
      </w:pPr>
      <w:r>
        <w:rPr>
          <w:rFonts w:hint="eastAsia" w:ascii="仿宋_GB2312" w:hAnsi="宋体" w:eastAsia="仿宋_GB2312" w:cs="宋体"/>
          <w:color w:val="000000"/>
          <w:kern w:val="0"/>
          <w:sz w:val="32"/>
          <w:szCs w:val="32"/>
          <w:lang w:val="en-US" w:eastAsia="zh-CN"/>
        </w:rPr>
        <w:t>2020</w:t>
      </w:r>
      <w:r>
        <w:rPr>
          <w:rFonts w:hint="eastAsia" w:ascii="仿宋_GB2312" w:hAnsi="宋体" w:eastAsia="仿宋_GB2312" w:cs="宋体"/>
          <w:color w:val="000000"/>
          <w:kern w:val="0"/>
          <w:sz w:val="32"/>
          <w:szCs w:val="32"/>
        </w:rPr>
        <w:t>年“三公”经费</w:t>
      </w:r>
      <w:r>
        <w:rPr>
          <w:rFonts w:hint="eastAsia" w:ascii="仿宋_GB2312" w:hAnsi="宋体" w:eastAsia="仿宋_GB2312" w:cs="宋体"/>
          <w:color w:val="000000"/>
          <w:kern w:val="0"/>
          <w:sz w:val="32"/>
          <w:szCs w:val="32"/>
          <w:lang w:eastAsia="zh-CN"/>
        </w:rPr>
        <w:t>决算</w:t>
      </w:r>
      <w:r>
        <w:rPr>
          <w:rFonts w:hint="eastAsia" w:ascii="仿宋_GB2312" w:hAnsi="宋体" w:eastAsia="仿宋_GB2312" w:cs="宋体"/>
          <w:color w:val="000000"/>
          <w:kern w:val="0"/>
          <w:sz w:val="32"/>
          <w:szCs w:val="32"/>
        </w:rPr>
        <w:t>数为</w:t>
      </w:r>
      <w:r>
        <w:rPr>
          <w:rFonts w:hint="eastAsia" w:ascii="仿宋_GB2312" w:hAnsi="宋体" w:eastAsia="仿宋_GB2312" w:cs="宋体"/>
          <w:color w:val="000000"/>
          <w:kern w:val="0"/>
          <w:sz w:val="32"/>
          <w:szCs w:val="32"/>
          <w:lang w:val="en-US" w:eastAsia="zh-CN"/>
        </w:rPr>
        <w:t>3.83</w:t>
      </w:r>
      <w:r>
        <w:rPr>
          <w:rFonts w:hint="eastAsia" w:ascii="仿宋_GB2312" w:hAnsi="宋体" w:eastAsia="仿宋_GB2312" w:cs="宋体"/>
          <w:color w:val="000000"/>
          <w:kern w:val="0"/>
          <w:sz w:val="32"/>
          <w:szCs w:val="32"/>
        </w:rPr>
        <w:t>万元，其中：公务接待费</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万元，公务用车购置及运行费</w:t>
      </w:r>
      <w:r>
        <w:rPr>
          <w:rFonts w:hint="eastAsia" w:ascii="仿宋_GB2312" w:hAnsi="宋体" w:eastAsia="仿宋_GB2312" w:cs="宋体"/>
          <w:color w:val="000000"/>
          <w:kern w:val="0"/>
          <w:sz w:val="32"/>
          <w:szCs w:val="32"/>
          <w:lang w:val="en-US" w:eastAsia="zh-CN"/>
        </w:rPr>
        <w:t>3.83</w:t>
      </w:r>
      <w:r>
        <w:rPr>
          <w:rFonts w:hint="eastAsia" w:ascii="仿宋_GB2312" w:hAnsi="宋体" w:eastAsia="仿宋_GB2312" w:cs="宋体"/>
          <w:color w:val="000000"/>
          <w:kern w:val="0"/>
          <w:sz w:val="32"/>
          <w:szCs w:val="32"/>
        </w:rPr>
        <w:t>万元（公务用车购置费</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公务用车</w:t>
      </w:r>
      <w:r>
        <w:rPr>
          <w:rFonts w:hint="eastAsia" w:ascii="仿宋_GB2312" w:hAnsi="宋体" w:eastAsia="仿宋_GB2312" w:cs="宋体"/>
          <w:color w:val="000000"/>
          <w:kern w:val="0"/>
          <w:sz w:val="32"/>
          <w:szCs w:val="32"/>
        </w:rPr>
        <w:t>运行费</w:t>
      </w:r>
      <w:r>
        <w:rPr>
          <w:rFonts w:hint="eastAsia" w:ascii="仿宋_GB2312" w:hAnsi="宋体" w:eastAsia="仿宋_GB2312" w:cs="宋体"/>
          <w:color w:val="000000"/>
          <w:kern w:val="0"/>
          <w:sz w:val="32"/>
          <w:szCs w:val="32"/>
          <w:lang w:val="en-US" w:eastAsia="zh-CN"/>
        </w:rPr>
        <w:t>3.83</w:t>
      </w:r>
      <w:r>
        <w:rPr>
          <w:rFonts w:hint="eastAsia" w:ascii="仿宋_GB2312" w:hAnsi="宋体" w:eastAsia="仿宋_GB2312" w:cs="宋体"/>
          <w:color w:val="000000"/>
          <w:kern w:val="0"/>
          <w:sz w:val="32"/>
          <w:szCs w:val="32"/>
        </w:rPr>
        <w:t>万元），因公出国（境）费</w:t>
      </w:r>
      <w:r>
        <w:rPr>
          <w:rFonts w:hint="eastAsia" w:ascii="仿宋_GB2312" w:hAnsi="宋体" w:eastAsia="仿宋_GB2312" w:cs="宋体"/>
          <w:color w:val="000000"/>
          <w:kern w:val="0"/>
          <w:sz w:val="32"/>
          <w:szCs w:val="32"/>
          <w:lang w:val="en-US" w:eastAsia="zh-CN"/>
        </w:rPr>
        <w:t>0</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val="en-US" w:eastAsia="zh-CN"/>
        </w:rPr>
        <w:t>2020</w:t>
      </w:r>
      <w:r>
        <w:rPr>
          <w:rFonts w:hint="eastAsia" w:ascii="仿宋_GB2312" w:hAnsi="宋体" w:eastAsia="仿宋_GB2312" w:cs="宋体"/>
          <w:color w:val="000000"/>
          <w:kern w:val="0"/>
          <w:sz w:val="32"/>
          <w:szCs w:val="32"/>
        </w:rPr>
        <w:t>年“三公”经费</w:t>
      </w:r>
      <w:r>
        <w:rPr>
          <w:rFonts w:hint="eastAsia" w:ascii="仿宋_GB2312" w:hAnsi="宋体" w:eastAsia="仿宋_GB2312" w:cs="宋体"/>
          <w:color w:val="000000"/>
          <w:kern w:val="0"/>
          <w:sz w:val="32"/>
          <w:szCs w:val="32"/>
          <w:lang w:eastAsia="zh-CN"/>
        </w:rPr>
        <w:t>决算</w:t>
      </w:r>
      <w:r>
        <w:rPr>
          <w:rFonts w:hint="eastAsia" w:ascii="仿宋_GB2312" w:hAnsi="宋体" w:eastAsia="仿宋_GB2312" w:cs="宋体"/>
          <w:color w:val="000000"/>
          <w:kern w:val="0"/>
          <w:sz w:val="32"/>
          <w:szCs w:val="32"/>
        </w:rPr>
        <w:t>较</w:t>
      </w:r>
      <w:r>
        <w:rPr>
          <w:rFonts w:hint="eastAsia" w:ascii="仿宋_GB2312" w:hAnsi="宋体" w:eastAsia="仿宋_GB2312" w:cs="宋体"/>
          <w:color w:val="000000"/>
          <w:kern w:val="0"/>
          <w:sz w:val="32"/>
          <w:szCs w:val="32"/>
          <w:lang w:eastAsia="zh-CN"/>
        </w:rPr>
        <w:t>上</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eastAsia="zh-CN"/>
        </w:rPr>
        <w:t>增加</w:t>
      </w:r>
      <w:r>
        <w:rPr>
          <w:rFonts w:hint="eastAsia" w:ascii="仿宋_GB2312" w:hAnsi="宋体" w:eastAsia="仿宋_GB2312" w:cs="宋体"/>
          <w:color w:val="000000"/>
          <w:kern w:val="0"/>
          <w:sz w:val="32"/>
          <w:szCs w:val="32"/>
          <w:lang w:val="en-US" w:eastAsia="zh-CN"/>
        </w:rPr>
        <w:t>0.3</w:t>
      </w:r>
      <w:r>
        <w:rPr>
          <w:rFonts w:hint="eastAsia" w:ascii="仿宋_GB2312" w:hAnsi="宋体" w:eastAsia="仿宋_GB2312" w:cs="宋体"/>
          <w:color w:val="000000"/>
          <w:kern w:val="0"/>
          <w:sz w:val="32"/>
          <w:szCs w:val="32"/>
        </w:rPr>
        <w:t>万元，主要原因是</w:t>
      </w:r>
      <w:r>
        <w:rPr>
          <w:rFonts w:hint="eastAsia" w:ascii="仿宋_GB2312" w:hAnsi="宋体" w:eastAsia="仿宋_GB2312" w:cs="宋体"/>
          <w:color w:val="000000"/>
          <w:kern w:val="0"/>
          <w:sz w:val="32"/>
          <w:szCs w:val="32"/>
          <w:lang w:eastAsia="zh-CN"/>
        </w:rPr>
        <w:t>打非治违和保障执法力度</w:t>
      </w:r>
      <w:r>
        <w:rPr>
          <w:rFonts w:hint="eastAsia" w:ascii="仿宋_GB2312" w:hAnsi="宋体" w:eastAsia="仿宋_GB2312" w:cs="宋体"/>
          <w:color w:val="000000"/>
          <w:kern w:val="0"/>
          <w:sz w:val="32"/>
          <w:szCs w:val="32"/>
          <w:lang w:val="en-US" w:eastAsia="zh-CN"/>
        </w:rPr>
        <w:t>。</w:t>
      </w:r>
    </w:p>
    <w:p>
      <w:pPr>
        <w:pStyle w:val="2"/>
        <w:rPr>
          <w:rFonts w:hint="eastAsia"/>
        </w:rPr>
      </w:pPr>
    </w:p>
    <w:p>
      <w:pPr>
        <w:pStyle w:val="10"/>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项目资金（包括财政资金、自筹资金等）安排落实、总投入等情况分析。</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outlineLvl w:val="9"/>
        <w:rPr>
          <w:rFonts w:hint="default"/>
        </w:rPr>
      </w:pPr>
      <w:r>
        <w:rPr>
          <w:rFonts w:hint="eastAsia" w:ascii="仿宋_GB2312" w:hAnsi="宋体" w:eastAsia="仿宋_GB2312" w:cs="宋体"/>
          <w:color w:val="000000"/>
          <w:kern w:val="0"/>
          <w:sz w:val="32"/>
          <w:szCs w:val="32"/>
          <w:lang w:val="en-US" w:eastAsia="zh-CN"/>
        </w:rPr>
        <w:t>2020</w:t>
      </w:r>
      <w:r>
        <w:rPr>
          <w:rFonts w:hint="eastAsia" w:ascii="仿宋_GB2312" w:hAnsi="宋体" w:eastAsia="仿宋_GB2312" w:cs="宋体"/>
          <w:color w:val="000000"/>
          <w:kern w:val="0"/>
          <w:sz w:val="32"/>
          <w:szCs w:val="32"/>
        </w:rPr>
        <w:t>年年初预算数为</w:t>
      </w:r>
      <w:r>
        <w:rPr>
          <w:rFonts w:hint="eastAsia" w:ascii="仿宋_GB2312" w:hAnsi="宋体" w:eastAsia="仿宋_GB2312" w:cs="宋体"/>
          <w:color w:val="000000"/>
          <w:kern w:val="0"/>
          <w:sz w:val="32"/>
          <w:szCs w:val="32"/>
          <w:lang w:val="en-US" w:eastAsia="zh-CN"/>
        </w:rPr>
        <w:t>147</w:t>
      </w:r>
      <w:r>
        <w:rPr>
          <w:rFonts w:hint="eastAsia"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后根据实际工作需要，调整预算数</w:t>
      </w:r>
      <w:r>
        <w:rPr>
          <w:rFonts w:hint="eastAsia" w:ascii="仿宋_GB2312" w:hAnsi="宋体" w:eastAsia="仿宋_GB2312" w:cs="宋体"/>
          <w:color w:val="000000"/>
          <w:kern w:val="0"/>
          <w:sz w:val="32"/>
          <w:szCs w:val="32"/>
          <w:lang w:val="en-US" w:eastAsia="zh-CN"/>
        </w:rPr>
        <w:t>3487.37万元，</w:t>
      </w:r>
      <w:r>
        <w:rPr>
          <w:rFonts w:hint="eastAsia" w:ascii="仿宋_GB2312" w:hAnsi="宋体" w:eastAsia="仿宋_GB2312" w:cs="宋体"/>
          <w:color w:val="000000"/>
          <w:kern w:val="0"/>
          <w:sz w:val="32"/>
          <w:szCs w:val="32"/>
        </w:rPr>
        <w:t>是指单位为完成特定行政工作任务或事业发展目标而发生的支出，包括</w:t>
      </w:r>
      <w:r>
        <w:rPr>
          <w:rFonts w:hint="eastAsia" w:ascii="仿宋_GB2312" w:hAnsi="宋体" w:eastAsia="仿宋_GB2312" w:cs="宋体"/>
          <w:color w:val="000000"/>
          <w:kern w:val="0"/>
          <w:sz w:val="32"/>
          <w:szCs w:val="32"/>
          <w:lang w:eastAsia="zh-CN"/>
        </w:rPr>
        <w:t>有关事业发展专项、专项业务费、基本建设支出、对市县专项补助等。</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项目资金（主要指财政资金）实际使用情况分析。</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0" w:firstLineChars="200"/>
        <w:jc w:val="left"/>
        <w:outlineLvl w:val="9"/>
        <w:rPr>
          <w:rFonts w:hint="default"/>
        </w:rPr>
      </w:pPr>
      <w:r>
        <w:rPr>
          <w:rFonts w:hint="eastAsia" w:ascii="仿宋_GB2312" w:hAnsi="宋体" w:eastAsia="仿宋_GB2312" w:cs="宋体"/>
          <w:color w:val="000000"/>
          <w:kern w:val="0"/>
          <w:sz w:val="32"/>
          <w:szCs w:val="32"/>
          <w:lang w:val="en-US" w:eastAsia="zh-CN"/>
        </w:rPr>
        <w:t>2020年实际支出数3487.37万元，其中主要为</w:t>
      </w:r>
      <w:r>
        <w:rPr>
          <w:rFonts w:hint="eastAsia" w:ascii="仿宋_GB2312" w:hAnsi="宋体" w:eastAsia="仿宋_GB2312" w:cs="宋体"/>
          <w:color w:val="000000"/>
          <w:kern w:val="0"/>
          <w:sz w:val="32"/>
          <w:szCs w:val="32"/>
          <w:lang w:eastAsia="zh-CN"/>
        </w:rPr>
        <w:t>灾害防治及应急管理支出</w:t>
      </w:r>
      <w:r>
        <w:rPr>
          <w:rFonts w:hint="eastAsia" w:ascii="仿宋_GB2312" w:hAnsi="宋体" w:eastAsia="仿宋_GB2312" w:cs="宋体"/>
          <w:color w:val="000000"/>
          <w:kern w:val="0"/>
          <w:sz w:val="32"/>
          <w:szCs w:val="32"/>
          <w:lang w:val="en-US" w:eastAsia="zh-CN"/>
        </w:rPr>
        <w:t>2609.81万元，主要</w:t>
      </w:r>
      <w:r>
        <w:rPr>
          <w:rFonts w:hint="eastAsia" w:ascii="仿宋_GB2312" w:hAnsi="宋体" w:eastAsia="仿宋_GB2312" w:cs="宋体"/>
          <w:color w:val="000000"/>
          <w:kern w:val="0"/>
          <w:sz w:val="32"/>
          <w:szCs w:val="32"/>
          <w:lang w:eastAsia="zh-CN"/>
        </w:rPr>
        <w:t>包括以下项目：法律服务实际支出</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lang w:eastAsia="zh-CN"/>
        </w:rPr>
        <w:t>万元，主要用于完善规范性文件制定程序，落实合法性审核制度</w:t>
      </w:r>
      <w:r>
        <w:rPr>
          <w:rFonts w:hint="eastAsia" w:ascii="仿宋_GB2312" w:hAnsi="宋体" w:eastAsia="仿宋_GB2312" w:cs="宋体"/>
          <w:color w:val="000000"/>
          <w:kern w:val="0"/>
          <w:sz w:val="32"/>
          <w:szCs w:val="32"/>
          <w:lang w:val="en-US" w:eastAsia="zh-CN"/>
        </w:rPr>
        <w:t>等方面；事故调查2</w:t>
      </w:r>
      <w:r>
        <w:rPr>
          <w:rFonts w:hint="eastAsia" w:ascii="仿宋_GB2312" w:hAnsi="宋体" w:eastAsia="仿宋_GB2312" w:cs="宋体"/>
          <w:color w:val="000000"/>
          <w:kern w:val="0"/>
          <w:sz w:val="32"/>
          <w:szCs w:val="32"/>
          <w:lang w:eastAsia="zh-CN"/>
        </w:rPr>
        <w:t>万元，主要用于查明事故发生原因，落实事故责任追究制度</w:t>
      </w:r>
      <w:r>
        <w:rPr>
          <w:rFonts w:hint="eastAsia" w:ascii="仿宋_GB2312" w:hAnsi="宋体" w:eastAsia="仿宋_GB2312" w:cs="宋体"/>
          <w:color w:val="000000"/>
          <w:kern w:val="0"/>
          <w:sz w:val="32"/>
          <w:szCs w:val="32"/>
          <w:lang w:val="en-US" w:eastAsia="zh-CN"/>
        </w:rPr>
        <w:t xml:space="preserve">等方面；安全生产宣传教育培训30万元，主要用于推进宣教培训、加强安全监管、普及公众应急知识；国家级、省级综合防灾减灾示范社区创建15万元，主要用于创建国家级、省级综合防灾减灾示范社区，提升群众灾害自救能力；工贸企业监管9.66万元，其中上年结转3.79万元，主要用于有限空间摸底、辨识、培训、指导应急预案编制与演练；应急值班工作6万元，主要用于安排应急工作值班人员就餐；应急预案演练7.99万元，主要用于应急救援演练物品资料等相关费用购置；行政执法检查和打非治违18.06万元，主要用于保障和规范安全生产行政执法工作,打击非法违法生产、经营、储存危险化学品、烟花爆竹行为；安全生产年度工作会议及奖励费用15.98万元，主要用于绩效考核表彰奖励，区安委会例会；安委办经费5.76万元，主要用于督查、协调市区安委会成员单位，组织领导带队检查，召开相关会议；消防事务经费2190.22万元，主要用于消防大队日常业务经费及绩效开支等。  </w:t>
      </w:r>
    </w:p>
    <w:p>
      <w:pPr>
        <w:pStyle w:val="2"/>
        <w:numPr>
          <w:ilvl w:val="0"/>
          <w:numId w:val="0"/>
        </w:numPr>
        <w:rPr>
          <w:rFonts w:hint="default"/>
        </w:rPr>
      </w:pP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项目资金管理情况分析，主要包括管理制度、办法的制订及执行情况。</w:t>
      </w:r>
    </w:p>
    <w:p>
      <w:pPr>
        <w:pStyle w:val="2"/>
        <w:rPr>
          <w:rFonts w:hint="default"/>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管理制度执行方法：</w:t>
      </w:r>
      <w:r>
        <w:rPr>
          <w:rFonts w:hint="eastAsia" w:ascii="仿宋_GB2312" w:hAnsi="仿宋_GB2312" w:eastAsia="仿宋_GB2312" w:cs="仿宋_GB2312"/>
          <w:sz w:val="32"/>
          <w:szCs w:val="32"/>
        </w:rPr>
        <w:t>专项资金管理按照雨花区财政局专项资金管理相关文件执行。</w:t>
      </w:r>
    </w:p>
    <w:p>
      <w:pPr>
        <w:pStyle w:val="2"/>
        <w:rPr>
          <w:rFonts w:hint="default"/>
        </w:rPr>
      </w:pP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40" w:lineRule="exact"/>
        <w:ind w:leftChars="200" w:right="0" w:rightChars="0" w:firstLine="640" w:firstLineChars="200"/>
        <w:jc w:val="left"/>
        <w:outlineLvl w:val="9"/>
        <w:rPr>
          <w:rFonts w:hint="eastAsia" w:ascii="仿宋_GB2312" w:hAnsi="仿宋_GB2312" w:eastAsia="仿宋_GB2312" w:cs="仿宋_GB2312"/>
          <w:color w:val="444444"/>
          <w:kern w:val="0"/>
          <w:sz w:val="32"/>
          <w:szCs w:val="32"/>
          <w:lang w:val="en-US" w:eastAsia="zh-CN"/>
        </w:rPr>
      </w:pPr>
      <w:r>
        <w:rPr>
          <w:rFonts w:hint="eastAsia" w:ascii="仿宋_GB2312" w:hAnsi="仿宋_GB2312" w:eastAsia="仿宋_GB2312" w:cs="仿宋_GB2312"/>
          <w:color w:val="444444"/>
          <w:kern w:val="0"/>
          <w:sz w:val="32"/>
          <w:szCs w:val="32"/>
          <w:lang w:eastAsia="zh-CN"/>
        </w:rPr>
        <w:t>按照区本级预算绩效管理工作的总体要求，</w:t>
      </w:r>
      <w:r>
        <w:rPr>
          <w:rFonts w:hint="eastAsia" w:ascii="仿宋_GB2312" w:hAnsi="仿宋_GB2312" w:eastAsia="仿宋_GB2312" w:cs="仿宋_GB2312"/>
          <w:color w:val="444444"/>
          <w:kern w:val="0"/>
          <w:sz w:val="32"/>
          <w:szCs w:val="32"/>
          <w:lang w:val="en-US" w:eastAsia="zh-CN"/>
        </w:rPr>
        <w:t>2020年雨花区应急局整体支出4921.38万元，全部实行整体支出绩效目标管理，涉及项目支出3487.37万元，全部实行项目支出绩效目标管理。</w:t>
      </w:r>
    </w:p>
    <w:p>
      <w:pPr>
        <w:pStyle w:val="10"/>
        <w:keepNext w:val="0"/>
        <w:keepLines w:val="0"/>
        <w:pageBreakBefore w:val="0"/>
        <w:widowControl/>
        <w:numPr>
          <w:ilvl w:val="0"/>
          <w:numId w:val="4"/>
        </w:numPr>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存在的问题及原因分析</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存在问题：1.绩效管理不到位</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建议：在申报项目绩效预算时制定明确、细化、量化、合理的绩效目标。</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存在问题：</w:t>
      </w:r>
      <w:r>
        <w:rPr>
          <w:rFonts w:hint="eastAsia" w:ascii="仿宋_GB2312" w:hAnsi="仿宋_GB2312" w:eastAsia="仿宋_GB2312" w:cs="仿宋_GB2312"/>
          <w:sz w:val="32"/>
          <w:szCs w:val="32"/>
          <w:lang w:val="en-US" w:eastAsia="zh-CN"/>
        </w:rPr>
        <w:t>2、预算支出与实际支出相差较大</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建议：财政能统筹安排应急线突发事件经费，下达明确指标。</w:t>
      </w:r>
    </w:p>
    <w:p>
      <w:pPr>
        <w:keepNext w:val="0"/>
        <w:keepLines w:val="0"/>
        <w:pageBreakBefore w:val="0"/>
        <w:widowControl/>
        <w:numPr>
          <w:ilvl w:val="0"/>
          <w:numId w:val="5"/>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对各科室项目经费加强管理，进行厉行节约，照部门预算管理的相关要求列入年度部门预算。</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绩效自评结果拟应用和公开情况</w:t>
      </w:r>
    </w:p>
    <w:p>
      <w:pPr>
        <w:pStyle w:val="2"/>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2020年绩效自评结果87.5分，总体为良好，自评结果存在问题方面在局会议上通告，高度重视，进行整改和落实，</w:t>
      </w:r>
      <w:r>
        <w:rPr>
          <w:rFonts w:hint="eastAsia" w:ascii="仿宋" w:hAnsi="仿宋" w:eastAsia="仿宋" w:cs="仿宋"/>
          <w:i w:val="0"/>
          <w:caps w:val="0"/>
          <w:color w:val="333333"/>
          <w:spacing w:val="0"/>
          <w:kern w:val="0"/>
          <w:sz w:val="32"/>
          <w:szCs w:val="32"/>
          <w:shd w:val="clear" w:fill="FFFFFF"/>
          <w:lang w:val="en-US" w:eastAsia="zh-CN" w:bidi="ar"/>
        </w:rPr>
        <w:t>严格执行财经制度</w:t>
      </w:r>
      <w:r>
        <w:rPr>
          <w:rFonts w:hint="eastAsia" w:ascii="仿宋_GB2312" w:hAnsi="仿宋_GB2312" w:eastAsia="仿宋_GB2312" w:cs="仿宋_GB2312"/>
          <w:b w:val="0"/>
          <w:bCs w:val="0"/>
          <w:sz w:val="32"/>
          <w:szCs w:val="32"/>
          <w:lang w:val="en-US" w:eastAsia="zh-CN"/>
        </w:rPr>
        <w:t>，</w:t>
      </w:r>
      <w:r>
        <w:rPr>
          <w:rFonts w:hint="eastAsia" w:ascii="仿宋" w:hAnsi="仿宋" w:eastAsia="仿宋" w:cs="仿宋"/>
          <w:i w:val="0"/>
          <w:caps w:val="0"/>
          <w:color w:val="333333"/>
          <w:spacing w:val="0"/>
          <w:kern w:val="0"/>
          <w:sz w:val="32"/>
          <w:szCs w:val="32"/>
          <w:shd w:val="clear" w:fill="FFFFFF"/>
          <w:lang w:val="en-US" w:eastAsia="zh-CN" w:bidi="ar"/>
        </w:rPr>
        <w:t>加强财务审核监督，严格审批审核程序，加强拨出资金监管，保证资金的专项使用。2020年绩效自评在预、决算政务公开网上按时间规定进行相应公示</w:t>
      </w:r>
      <w:r>
        <w:rPr>
          <w:rFonts w:hint="eastAsia" w:ascii="仿宋_GB2312" w:hAnsi="仿宋_GB2312" w:eastAsia="仿宋_GB2312" w:cs="仿宋_GB2312"/>
          <w:b w:val="0"/>
          <w:bCs w:val="0"/>
          <w:sz w:val="32"/>
          <w:szCs w:val="32"/>
          <w:lang w:val="en-US" w:eastAsia="zh-CN"/>
        </w:rPr>
        <w:t>。</w:t>
      </w:r>
    </w:p>
    <w:p>
      <w:pPr>
        <w:pStyle w:val="2"/>
        <w:numPr>
          <w:ilvl w:val="0"/>
          <w:numId w:val="0"/>
        </w:numP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其他需要说明的情况</w:t>
      </w:r>
    </w:p>
    <w:p>
      <w:pPr>
        <w:pStyle w:val="2"/>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r>
        <w:rPr>
          <w:rFonts w:hint="eastAsia" w:ascii="仿宋_GB2312" w:hAnsi="仿宋_GB2312" w:eastAsia="仿宋_GB2312" w:cs="仿宋_GB2312"/>
          <w:sz w:val="32"/>
          <w:szCs w:val="32"/>
          <w:lang w:val="en-US" w:eastAsia="zh-CN"/>
        </w:rPr>
        <w:t>其他需要说明问题</w:t>
      </w:r>
      <w:r>
        <w:rPr>
          <w:rFonts w:hint="eastAsia" w:ascii="仿宋_GB2312" w:hAnsi="仿宋_GB2312" w:eastAsia="仿宋_GB2312" w:cs="仿宋_GB2312"/>
          <w:b w:val="0"/>
          <w:bCs w:val="0"/>
          <w:sz w:val="32"/>
          <w:szCs w:val="32"/>
          <w:lang w:eastAsia="zh-CN"/>
        </w:rPr>
        <w:t>。</w:t>
      </w:r>
    </w:p>
    <w:p/>
    <w:p/>
    <w:p/>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rPr>
      </w:pPr>
    </w:p>
    <w:p>
      <w:pPr>
        <w:numPr>
          <w:ilvl w:val="0"/>
          <w:numId w:val="0"/>
        </w:numPr>
        <w:spacing w:line="560" w:lineRule="exact"/>
      </w:pPr>
    </w:p>
    <w:sectPr>
      <w:pgSz w:w="11906" w:h="16838"/>
      <w:pgMar w:top="1440" w:right="1474"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09070"/>
    <w:multiLevelType w:val="singleLevel"/>
    <w:tmpl w:val="60409070"/>
    <w:lvl w:ilvl="0" w:tentative="0">
      <w:start w:val="1"/>
      <w:numFmt w:val="chineseCounting"/>
      <w:suff w:val="nothing"/>
      <w:lvlText w:val="%1、"/>
      <w:lvlJc w:val="left"/>
    </w:lvl>
  </w:abstractNum>
  <w:abstractNum w:abstractNumId="1">
    <w:nsid w:val="6047152A"/>
    <w:multiLevelType w:val="singleLevel"/>
    <w:tmpl w:val="6047152A"/>
    <w:lvl w:ilvl="0" w:tentative="0">
      <w:start w:val="5"/>
      <w:numFmt w:val="chineseCounting"/>
      <w:suff w:val="nothing"/>
      <w:lvlText w:val="%1、"/>
      <w:lvlJc w:val="left"/>
    </w:lvl>
  </w:abstractNum>
  <w:abstractNum w:abstractNumId="2">
    <w:nsid w:val="6047153D"/>
    <w:multiLevelType w:val="singleLevel"/>
    <w:tmpl w:val="6047153D"/>
    <w:lvl w:ilvl="0" w:tentative="0">
      <w:start w:val="6"/>
      <w:numFmt w:val="chineseCounting"/>
      <w:suff w:val="nothing"/>
      <w:lvlText w:val="%1、"/>
      <w:lvlJc w:val="left"/>
    </w:lvl>
  </w:abstractNum>
  <w:abstractNum w:abstractNumId="3">
    <w:nsid w:val="6047176E"/>
    <w:multiLevelType w:val="singleLevel"/>
    <w:tmpl w:val="6047176E"/>
    <w:lvl w:ilvl="0" w:tentative="0">
      <w:start w:val="2"/>
      <w:numFmt w:val="decimal"/>
      <w:suff w:val="nothing"/>
      <w:lvlText w:val="%1."/>
      <w:lvlJc w:val="left"/>
    </w:lvl>
  </w:abstractNum>
  <w:abstractNum w:abstractNumId="4">
    <w:nsid w:val="60505CB9"/>
    <w:multiLevelType w:val="singleLevel"/>
    <w:tmpl w:val="60505CB9"/>
    <w:lvl w:ilvl="0" w:tentative="0">
      <w:start w:val="4"/>
      <w:numFmt w:val="chineseCounting"/>
      <w:suff w:val="nothing"/>
      <w:lvlText w:val="%1、"/>
      <w:lvlJc w:val="left"/>
    </w:lvl>
  </w:abstractNum>
  <w:abstractNum w:abstractNumId="5">
    <w:nsid w:val="6C500524"/>
    <w:multiLevelType w:val="singleLevel"/>
    <w:tmpl w:val="6C500524"/>
    <w:lvl w:ilvl="0" w:tentative="0">
      <w:start w:val="1"/>
      <w:numFmt w:val="chineseCounting"/>
      <w:suff w:val="nothing"/>
      <w:lvlText w:val="（%1）"/>
      <w:lvlJc w:val="left"/>
      <w:rPr>
        <w:rFonts w:hint="eastAsia"/>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NTNhZThiMDJlOWZjZmFhYjQ3YzEwNGFiNDg1MDEifQ=="/>
  </w:docVars>
  <w:rsids>
    <w:rsidRoot w:val="2F7D712F"/>
    <w:rsid w:val="001D0C34"/>
    <w:rsid w:val="08575084"/>
    <w:rsid w:val="085D73FD"/>
    <w:rsid w:val="09267B54"/>
    <w:rsid w:val="0B56304F"/>
    <w:rsid w:val="0BD1322A"/>
    <w:rsid w:val="0C1D4E6B"/>
    <w:rsid w:val="13A32C25"/>
    <w:rsid w:val="15FB4E4F"/>
    <w:rsid w:val="19A43707"/>
    <w:rsid w:val="1ACD3A02"/>
    <w:rsid w:val="1F6B394C"/>
    <w:rsid w:val="20D802B7"/>
    <w:rsid w:val="21460D52"/>
    <w:rsid w:val="231F39C2"/>
    <w:rsid w:val="23D5412B"/>
    <w:rsid w:val="24D05D57"/>
    <w:rsid w:val="2907059E"/>
    <w:rsid w:val="2A6073C1"/>
    <w:rsid w:val="2BE10696"/>
    <w:rsid w:val="2BF248C8"/>
    <w:rsid w:val="2D3D2DE5"/>
    <w:rsid w:val="2F7D712F"/>
    <w:rsid w:val="30736A83"/>
    <w:rsid w:val="33086B14"/>
    <w:rsid w:val="33E106FF"/>
    <w:rsid w:val="353F31FC"/>
    <w:rsid w:val="363F7B92"/>
    <w:rsid w:val="36611DD3"/>
    <w:rsid w:val="3834379A"/>
    <w:rsid w:val="3AFB3259"/>
    <w:rsid w:val="3B723FF3"/>
    <w:rsid w:val="3C650A16"/>
    <w:rsid w:val="3E970298"/>
    <w:rsid w:val="41E06EDA"/>
    <w:rsid w:val="45B576C1"/>
    <w:rsid w:val="45FB3205"/>
    <w:rsid w:val="48545BC2"/>
    <w:rsid w:val="48D80876"/>
    <w:rsid w:val="496B16AE"/>
    <w:rsid w:val="4ABA2B6C"/>
    <w:rsid w:val="4C3C659E"/>
    <w:rsid w:val="4CE91D58"/>
    <w:rsid w:val="4DC8486E"/>
    <w:rsid w:val="4E292388"/>
    <w:rsid w:val="504A2947"/>
    <w:rsid w:val="53C97DA1"/>
    <w:rsid w:val="54DD5A5E"/>
    <w:rsid w:val="57AA30B9"/>
    <w:rsid w:val="580640CD"/>
    <w:rsid w:val="5AA65097"/>
    <w:rsid w:val="5B141BF0"/>
    <w:rsid w:val="5CD21F0F"/>
    <w:rsid w:val="5E677D8A"/>
    <w:rsid w:val="5F202B9E"/>
    <w:rsid w:val="60670BA4"/>
    <w:rsid w:val="6094253D"/>
    <w:rsid w:val="62EF6F00"/>
    <w:rsid w:val="64DD09ED"/>
    <w:rsid w:val="663E341C"/>
    <w:rsid w:val="67262EF5"/>
    <w:rsid w:val="6727251F"/>
    <w:rsid w:val="67B4474D"/>
    <w:rsid w:val="69B76AD5"/>
    <w:rsid w:val="6AEF290A"/>
    <w:rsid w:val="6BFE4D2C"/>
    <w:rsid w:val="6D1D02EE"/>
    <w:rsid w:val="6D31728B"/>
    <w:rsid w:val="6EBB5C2C"/>
    <w:rsid w:val="717D4C86"/>
    <w:rsid w:val="77D135C7"/>
    <w:rsid w:val="786B2AEE"/>
    <w:rsid w:val="79781D3D"/>
    <w:rsid w:val="7A824119"/>
    <w:rsid w:val="7C3127DF"/>
    <w:rsid w:val="7DA148AE"/>
    <w:rsid w:val="7F34717C"/>
    <w:rsid w:val="7F8A1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customStyle="1"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5801</Words>
  <Characters>6102</Characters>
  <Lines>0</Lines>
  <Paragraphs>0</Paragraphs>
  <TotalTime>5</TotalTime>
  <ScaleCrop>false</ScaleCrop>
  <LinksUpToDate>false</LinksUpToDate>
  <CharactersWithSpaces>6106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2021-09-27T07:05:00Z</cp:lastPrinted>
  <dcterms:modified xsi:type="dcterms:W3CDTF">2023-04-26T02:43:33Z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B007DD7BBB044B1EBA67657ECD16EBE4_13</vt:lpwstr>
  </property>
</Properties>
</file>