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rPr>
          <w:b w:val="0"/>
        </w:rPr>
      </w:pPr>
      <w:r>
        <w:rPr>
          <w:rFonts w:hint="eastAsia" w:eastAsia="黑体"/>
          <w:b w:val="0"/>
          <w:sz w:val="32"/>
          <w:szCs w:val="32"/>
        </w:rPr>
        <w:t>附件2</w:t>
      </w:r>
    </w:p>
    <w:p>
      <w:pPr>
        <w:pStyle w:val="3"/>
        <w:spacing w:before="0" w:after="71" w:afterLines="23" w:line="560" w:lineRule="exact"/>
        <w:jc w:val="center"/>
        <w:rPr>
          <w:rFonts w:eastAsia="方正小标宋简体" w:cs="方正小标宋简体"/>
          <w:b w:val="0"/>
        </w:rPr>
      </w:pPr>
      <w:bookmarkStart w:id="0" w:name="_Toc105419985"/>
      <w:r>
        <w:rPr>
          <w:rFonts w:hint="eastAsia" w:eastAsia="方正小标宋简体" w:cs="方正小标宋简体"/>
          <w:b w:val="0"/>
        </w:rPr>
        <w:t>长沙市雨花区碳达峰重点工程表</w:t>
      </w:r>
      <w:bookmarkEnd w:id="0"/>
    </w:p>
    <w:tbl>
      <w:tblPr>
        <w:tblStyle w:val="4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5"/>
        <w:gridCol w:w="1308"/>
        <w:gridCol w:w="3539"/>
        <w:gridCol w:w="5084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tblHeader/>
          <w:jc w:val="center"/>
        </w:trPr>
        <w:tc>
          <w:tcPr>
            <w:tcW w:w="625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序号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类别</w:t>
            </w:r>
          </w:p>
        </w:tc>
        <w:tc>
          <w:tcPr>
            <w:tcW w:w="3539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名称</w:t>
            </w:r>
          </w:p>
        </w:tc>
        <w:tc>
          <w:tcPr>
            <w:tcW w:w="5084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内容</w:t>
            </w:r>
          </w:p>
        </w:tc>
        <w:tc>
          <w:tcPr>
            <w:tcW w:w="3817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</w:t>
            </w:r>
          </w:p>
        </w:tc>
        <w:tc>
          <w:tcPr>
            <w:tcW w:w="1308" w:type="dxa"/>
            <w:vMerge w:val="restart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重点行业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绿色提升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工程</w:t>
            </w: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比亚迪</w:t>
            </w:r>
            <w:r>
              <w:rPr>
                <w:rFonts w:cs="仿宋_GB2312"/>
                <w:sz w:val="24"/>
              </w:rPr>
              <w:t>20</w:t>
            </w:r>
            <w:r>
              <w:rPr>
                <w:rFonts w:hint="eastAsia" w:cs="仿宋_GB2312"/>
                <w:sz w:val="24"/>
              </w:rPr>
              <w:t>万辆新能源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乘用车改（扩）建项目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针对比亚迪二期技改项目，安装光伏面板，进一步提高企业光伏发电比例。针对企业一期项目开展节能技改，减少一期项目能耗，如焊接机器人焊接参数优化、建筑保温措施、新型节能设备替代等。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2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湖南晓光汽车模具有限公司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光伏发电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企业全厂安装光伏面板，完全解决企业生产电耗需求，实现企业生产过程碳中和，开展企业碳中和示范。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3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长沙卷烟厂光伏发电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企业全厂安装光伏面板，解决一部</w:t>
            </w:r>
            <w:r>
              <w:rPr>
                <w:rFonts w:hint="eastAsia" w:cs="仿宋_GB2312"/>
                <w:sz w:val="24"/>
                <w:lang w:eastAsia="zh-CN"/>
              </w:rPr>
              <w:t>分</w:t>
            </w:r>
            <w:r>
              <w:rPr>
                <w:rFonts w:hint="eastAsia" w:cs="仿宋_GB2312"/>
                <w:sz w:val="24"/>
              </w:rPr>
              <w:t>企业生产电耗需求。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4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湖南红星盛业食品股份有限公司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企业全厂优化照明系统，厂区路灯优化为太阳能灯。应用数字化智慧控能系统。推动冷库制冷系统节能改造，应用新能源冷藏车。实现中水回用，循环利用水资源。安装光伏面板，提升电力消耗中可再生能源比例，解决一部分公司生产电耗需求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5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湖南云冷冷链股份有限公司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企业全厂优化照明系统，推动冷库制冷系统节能改造，应用混合动力或新能源动力冷藏车。安装光伏面板，解决一部</w:t>
            </w:r>
            <w:r>
              <w:rPr>
                <w:rFonts w:hint="eastAsia" w:cs="仿宋_GB2312"/>
                <w:sz w:val="24"/>
                <w:lang w:eastAsia="zh-CN"/>
              </w:rPr>
              <w:t>分</w:t>
            </w:r>
            <w:r>
              <w:rPr>
                <w:rFonts w:hint="eastAsia" w:cs="仿宋_GB2312"/>
                <w:sz w:val="24"/>
              </w:rPr>
              <w:t>企业生产电耗需求。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6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可孚医疗二期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企业安装分布式光伏发电系统，并建设储能电站，解决企业部分生产电耗需求，实现企业生产过程碳中和，开展企业碳中和示范。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7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申亿高端零部件智能制造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生产基地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企业安装分布式光伏发电系统，解决</w:t>
            </w:r>
            <w:bookmarkStart w:id="1" w:name="_GoBack"/>
            <w:bookmarkEnd w:id="1"/>
            <w:r>
              <w:rPr>
                <w:rFonts w:hint="eastAsia" w:cs="仿宋_GB2312"/>
                <w:sz w:val="24"/>
                <w:lang w:eastAsia="zh-CN"/>
              </w:rPr>
              <w:t>一部分</w:t>
            </w:r>
            <w:r>
              <w:rPr>
                <w:rFonts w:hint="eastAsia" w:cs="仿宋_GB2312"/>
                <w:sz w:val="24"/>
              </w:rPr>
              <w:t>企业生产电耗需求。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8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重点行业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绿色提升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工程</w:t>
            </w: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雨花智能制造中心二期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中心安装分布式光伏发电系统，并建设储能电站，解决一部</w:t>
            </w:r>
            <w:r>
              <w:rPr>
                <w:rFonts w:hint="eastAsia" w:cs="仿宋_GB2312"/>
                <w:sz w:val="24"/>
                <w:lang w:eastAsia="zh-CN"/>
              </w:rPr>
              <w:t>分</w:t>
            </w:r>
            <w:r>
              <w:rPr>
                <w:rFonts w:hint="eastAsia" w:cs="仿宋_GB2312"/>
                <w:sz w:val="24"/>
              </w:rPr>
              <w:t>企业生产电耗需求。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cs="仿宋_GB2312"/>
                <w:sz w:val="24"/>
              </w:rPr>
              <w:t>9</w:t>
            </w:r>
          </w:p>
        </w:tc>
        <w:tc>
          <w:tcPr>
            <w:tcW w:w="1308" w:type="dxa"/>
            <w:vMerge w:val="continue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打造低碳、智慧园区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推动空调通风、集中供暖等系统节能改造和生产设备智能化改造。推进光伏工程，利用新能源技术实现能源效益最大化。推动园区信息基础设施建设、智慧管理系统建设、智慧产业建设。以经开区为主体打造低碳（零碳）制造业智慧园区。在红星农副产品智慧冷链物流基地、盒马鲜生长沙运营中心、华泽集团九裕新零售智慧产业园、东百新零售供应链金融产业园等物流园区中选取</w:t>
            </w:r>
            <w:r>
              <w:rPr>
                <w:rFonts w:cs="仿宋_GB2312"/>
                <w:sz w:val="24"/>
              </w:rPr>
              <w:t>1-2</w:t>
            </w:r>
            <w:r>
              <w:rPr>
                <w:rFonts w:hint="eastAsia" w:cs="仿宋_GB2312"/>
                <w:sz w:val="24"/>
              </w:rPr>
              <w:t>个园区，打造低碳（零碳）物流产业园区试点示范。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区电商物流中心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10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园区提质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降碳工程</w:t>
            </w: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雨花区城镇老旧小区及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配套基础设施改造项目</w:t>
            </w:r>
          </w:p>
        </w:tc>
        <w:tc>
          <w:tcPr>
            <w:tcW w:w="5084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推进既有建筑节能改造、建筑光伏一体化建设，推动太阳能光热利用系统、太阳能光电利用系统规模化应用。对老旧小区开展城市更新，增强建筑保温，持续降低建筑能耗。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区人居环境局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11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雅塘片区城市更新项目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长鼓正圆更新单元（一期）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雨花城市建设投资集团有限公司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12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白田二期、同升保障性住房项目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13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跳马镇中心卫生院建设项目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14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红星片区开发综合建设项目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雨花国有资产经营集团有限公司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15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低碳社区建设项目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16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政府办公建筑低碳化改造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17</w:t>
            </w:r>
          </w:p>
        </w:tc>
        <w:tc>
          <w:tcPr>
            <w:tcW w:w="1308" w:type="dxa"/>
            <w:vMerge w:val="restart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交通运输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降碳工程</w:t>
            </w: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环卫清扫车</w:t>
            </w:r>
            <w:r>
              <w:rPr>
                <w:rFonts w:hint="eastAsia" w:cs="仿宋_GB2312"/>
                <w:sz w:val="24"/>
                <w:lang w:eastAsia="zh-CN"/>
              </w:rPr>
              <w:t>辆</w:t>
            </w:r>
            <w:r>
              <w:rPr>
                <w:rFonts w:hint="eastAsia" w:cs="仿宋_GB2312"/>
                <w:sz w:val="24"/>
              </w:rPr>
              <w:t>清洁能源替代</w:t>
            </w:r>
          </w:p>
        </w:tc>
        <w:tc>
          <w:tcPr>
            <w:tcW w:w="5084" w:type="dxa"/>
            <w:vMerge w:val="restart"/>
            <w:noWrap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推动现有汽油、柴油车清洁能源替代。</w:t>
            </w:r>
          </w:p>
        </w:tc>
        <w:tc>
          <w:tcPr>
            <w:tcW w:w="3817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区市容环境卫生维护中心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18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城乡纯电公交车替代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cs="仿宋_GB2312"/>
                <w:sz w:val="24"/>
              </w:rPr>
              <w:t>19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轻、中型货车电动化</w:t>
            </w:r>
          </w:p>
        </w:tc>
        <w:tc>
          <w:tcPr>
            <w:tcW w:w="5084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推动现有汽油、柴油车清洁能源替代。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20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居民小区的公共充电站建设项目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21</w:t>
            </w: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工程运输车清洁能源替代</w:t>
            </w:r>
          </w:p>
        </w:tc>
        <w:tc>
          <w:tcPr>
            <w:tcW w:w="508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区城管执法局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1" w:hRule="atLeast"/>
          <w:jc w:val="center"/>
        </w:trPr>
        <w:tc>
          <w:tcPr>
            <w:tcW w:w="625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22</w:t>
            </w:r>
          </w:p>
        </w:tc>
        <w:tc>
          <w:tcPr>
            <w:tcW w:w="1308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城市居民生活降碳工程</w:t>
            </w:r>
          </w:p>
        </w:tc>
        <w:tc>
          <w:tcPr>
            <w:tcW w:w="3539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雨花区双碳产业孵化基地</w:t>
            </w:r>
          </w:p>
        </w:tc>
        <w:tc>
          <w:tcPr>
            <w:tcW w:w="5084" w:type="dxa"/>
            <w:noWrap/>
            <w:vAlign w:val="center"/>
          </w:tcPr>
          <w:p>
            <w:pPr>
              <w:snapToGrid w:val="0"/>
              <w:spacing w:line="340" w:lineRule="exac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建立雨花区低碳产业示范清单，以金屏组团为中心联合创建双碳教育示范基地，形成“理论培训</w:t>
            </w:r>
            <w:r>
              <w:rPr>
                <w:rFonts w:cs="仿宋_GB2312"/>
                <w:sz w:val="24"/>
              </w:rPr>
              <w:t>+</w:t>
            </w:r>
            <w:r>
              <w:rPr>
                <w:rFonts w:hint="eastAsia" w:cs="仿宋_GB2312"/>
                <w:sz w:val="24"/>
              </w:rPr>
              <w:t>实地示范学习”区域低碳孵化器。</w:t>
            </w:r>
          </w:p>
        </w:tc>
        <w:tc>
          <w:tcPr>
            <w:tcW w:w="3817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雨花南部融城片区</w:t>
            </w:r>
          </w:p>
          <w:p>
            <w:pPr>
              <w:snapToGrid w:val="0"/>
              <w:spacing w:line="34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开发建设指挥部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OTBjNWYxYzg2NTlkYTRmNmMxYjYzZjU3YmU1YWYifQ=="/>
  </w:docVars>
  <w:rsids>
    <w:rsidRoot w:val="2D9877DB"/>
    <w:rsid w:val="00FB1BDD"/>
    <w:rsid w:val="05450AB9"/>
    <w:rsid w:val="10F768FE"/>
    <w:rsid w:val="2D9877DB"/>
    <w:rsid w:val="4B9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eastAsia="华文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1342</Words>
  <Characters>1358</Characters>
  <Lines>0</Lines>
  <Paragraphs>0</Paragraphs>
  <TotalTime>6</TotalTime>
  <ScaleCrop>false</ScaleCrop>
  <LinksUpToDate>false</LinksUpToDate>
  <CharactersWithSpaces>1358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2023-05-22T06:46:00Z</dcterms:created>
  <dc:creator>Administrator</dc:creator>
  <cp:lastModifiedBy>佳倩</cp:lastModifiedBy>
  <dcterms:modified xsi:type="dcterms:W3CDTF">2023-05-30T06:13:26Z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FE435EEE77AE4545BD8CB781337B48FF_13</vt:lpwstr>
  </property>
</Properties>
</file>