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街道（镇）生态环境保护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工作目标考核细则</w:t>
      </w:r>
    </w:p>
    <w:bookmarkEnd w:id="0"/>
    <w:tbl>
      <w:tblPr>
        <w:tblStyle w:val="8"/>
        <w:tblW w:w="14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575"/>
        <w:gridCol w:w="9779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考核指标</w:t>
            </w:r>
          </w:p>
        </w:tc>
        <w:tc>
          <w:tcPr>
            <w:tcW w:w="9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考核要求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考核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信息提供单位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蓝天保卫战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0分）</w:t>
            </w:r>
          </w:p>
        </w:tc>
        <w:tc>
          <w:tcPr>
            <w:tcW w:w="977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严格落实蓝天保卫战“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1+13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”方案及“六控十严禁”要求，在问题整改、空气小微站数据、负面清单控制等方面达成月度及年度绩效管理相关目标。考核计分规则详见《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2020年度雨花区蓝天保卫战工作目标考核实施方案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》（附件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区蓝天办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6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水污染防治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977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排污口专项排查整治（2分）：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未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按要求配合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浏阳河（雨花段）、圭塘河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排污口专项排查整治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任务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，每次扣0.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扣完为止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市政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排口监管（2分）：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发生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市政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排口旱季溢流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现象未及时上报并配合治理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的，每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扣0.2分，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扣完为止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区市政设施维护中心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56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土壤污染防治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9779" w:type="dxa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污染地块安全利用（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按要求开展污染地块治理修复工作，本辖区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污染地块安全利用率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须不低于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90%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每少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个污染地块治理修复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，扣0.2分，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扣完为止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vMerge w:val="continue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环保问题整改和污染防治攻坚（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97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）突出生态环境问题整改（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生态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环保督察及“回头看”、长江经济带生态环境警示片、全国人大执法检查、省级环保督察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“绿盾”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行动等反馈问题整改任务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未按期完成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个问题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，扣完为止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。同一问题不重复扣分。</w:t>
            </w:r>
          </w:p>
        </w:tc>
        <w:tc>
          <w:tcPr>
            <w:tcW w:w="245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区环委办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5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）生态环保督察“天天在线”（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以生态环保督察问题整改为契机，强化生态环境保护信访举报问题处置长效机制，有效化解存量、遏制增量，持续巩固生态环境质量向好态势。考核计分按照《雨花区生态环境保护督察“天天在线”目标考核办法（试行）》（雨环委办发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）有关规定执行。</w:t>
            </w: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 w:hRule="atLeast"/>
          <w:jc w:val="center"/>
        </w:trPr>
        <w:tc>
          <w:tcPr>
            <w:tcW w:w="5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（3）污染防治攻坚及“夏季攻势”（4分）：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按照2020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污染防治攻坚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“夏季攻势”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任务安排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绿色餐饮示范街创建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、绿色社区创建、噪声控制示范区创建、农村生活污水治理等省、市、区铺排的项目（任务）。。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未按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完成的，每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个项目（任务）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，扣完为止。</w:t>
            </w:r>
          </w:p>
        </w:tc>
        <w:tc>
          <w:tcPr>
            <w:tcW w:w="245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其他工作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9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（1）生态环境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监测自动站建设及运行保障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分）：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按照有关要求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配合完成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国控、省控、市控、油烟在线监测等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各类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自动监测站点（设施）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的建设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并配合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做好相关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仪器设备更新、受损站点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（设施）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应急修复、水电路网等保障，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确保自动监测站点（设施）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正常运行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未按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要求落实的，每次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扣0.5分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，扣完为止。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区城管执法局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5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固定污染源排污许可清理整顿和核发登记（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分）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按照有关要求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配合行业主管部门完成固定污染源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排污许可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清理整顿和发证登记任务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。未按要求配合落实的，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每少完成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1家，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扣0.2分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，扣完为止。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0" w:hRule="atLeast"/>
          <w:jc w:val="center"/>
        </w:trPr>
        <w:tc>
          <w:tcPr>
            <w:tcW w:w="56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77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）生态环境监管（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分）：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主动加强本辖区生态环境日常监管，及时移送涉嫌生态环境保护违法案件的有效线索，并按要求配合整治。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内街及跳马镇：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每移送1个行政处罚案件有效线索得2.5分，最高得5分。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其他街道：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每移送1个行政处罚案件有效线索得1分，最高得4分；移送1个行政拘留或刑事拘留案件有效线索得1分，最高得1分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案件有效线索的认定以生态环境部门下达行政处罚、责令改正、关停文书等为依据（机动车尾气排放及非道路移动机械违法类案件不纳入加分范围）。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生态环境保护违法案件应报未报、应移送未移送，或者违法问题逾期未完成整治，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经查证属街镇责任的，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每个问题扣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0.2分，累计扣分不超过1分。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56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负面清单</w:t>
            </w:r>
          </w:p>
        </w:tc>
        <w:tc>
          <w:tcPr>
            <w:tcW w:w="97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（1）被国家、省级、市级区域限批或因突出问题整改不力被国家、省级、市级专项督察（督办），每次分别扣2分、1分、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；被国家、省级、市级约谈或挂牌督办的，每次（挂牌督办为每个问题）分别扣1分、0.5分、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，未按要求整改到位的，加倍扣分；被国家、省级、市级典型案例曝光或通报批评的，每个问题分别扣1分、0.5分、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0.25分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（2）环境信访投诉或者环境舆情处置不力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督办，每次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分别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扣0.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0.2分、0.1分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；引发群体性事件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或导致其它不良社会影响的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加倍扣分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区级交办的生态环境问题，逾期未调查处理并进行反馈的，每个事项扣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0.2分；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逾期未按要求整改到位的，加倍扣分。区级部署的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非道路移动机械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整治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、高排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车辆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整治、受污染耕地安全利用、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饮用水源保护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等工作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，未按要求配合完成的，每次扣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0.2分。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）发生较大及以上突发环境（事件）问题的，扣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分。发生重大环境事故的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直接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纳入同组考核单位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最后一名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，考核等次定为三等。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查实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发现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人为干扰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空气小微站等监测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数据的，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每次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；出现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3次（含）以上的，直接纳入同组考核单位最后一名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，考核等次定为三等。</w:t>
            </w:r>
          </w:p>
        </w:tc>
        <w:tc>
          <w:tcPr>
            <w:tcW w:w="24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区蓝天办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区环委办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区农业农村局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3F9F"/>
    <w:rsid w:val="01F86BC1"/>
    <w:rsid w:val="09112A2B"/>
    <w:rsid w:val="09F4170A"/>
    <w:rsid w:val="0A361ECD"/>
    <w:rsid w:val="0B790477"/>
    <w:rsid w:val="165C5FBB"/>
    <w:rsid w:val="173A2452"/>
    <w:rsid w:val="1A697DAB"/>
    <w:rsid w:val="1FDF09FE"/>
    <w:rsid w:val="2A137295"/>
    <w:rsid w:val="31286440"/>
    <w:rsid w:val="33450C1A"/>
    <w:rsid w:val="455E61EC"/>
    <w:rsid w:val="46B446EA"/>
    <w:rsid w:val="48AF325A"/>
    <w:rsid w:val="4C5504FA"/>
    <w:rsid w:val="686F1822"/>
    <w:rsid w:val="6A1F3813"/>
    <w:rsid w:val="6AE54119"/>
    <w:rsid w:val="6F543F9F"/>
    <w:rsid w:val="72497E6B"/>
    <w:rsid w:val="7CB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20" w:beforeLines="0" w:beforeAutospacing="0" w:after="120" w:afterLines="0" w:afterAutospacing="0" w:line="360" w:lineRule="auto"/>
      <w:ind w:firstLine="0" w:firstLineChars="0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1"/>
    </w:pPr>
    <w:rPr>
      <w:rFonts w:ascii="Times New Roman" w:hAnsi="Times New Roman" w:eastAsia="黑体"/>
      <w:b/>
      <w:bCs/>
      <w:sz w:val="28"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ind w:firstLine="0" w:firstLineChars="0"/>
      <w:outlineLvl w:val="2"/>
    </w:pPr>
    <w:rPr>
      <w:b/>
      <w:bCs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360" w:lineRule="auto"/>
      <w:outlineLvl w:val="3"/>
    </w:pPr>
    <w:rPr>
      <w:rFonts w:eastAsia="宋体"/>
      <w:b/>
      <w:bCs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2020-07-06T02:30:00Z</dcterms:created>
  <dc:creator>区生态环境局</dc:creator>
  <cp:lastModifiedBy>区生态环境局</cp:lastModifiedBy>
  <dcterms:modified xsi:type="dcterms:W3CDTF">2020-07-06T02:33:11Z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