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rPr>
      </w:pPr>
      <w:r>
        <w:rPr>
          <w:rFonts w:hint="eastAsia"/>
          <w:szCs w:val="21"/>
        </w:rPr>
        <w:t>附件1：</w:t>
      </w:r>
    </w:p>
    <w:p>
      <w:pPr>
        <w:jc w:val="center"/>
        <w:rPr>
          <w:rFonts w:hint="eastAsia" w:ascii="黑体" w:hAnsi="黑体" w:eastAsia="黑体"/>
          <w:sz w:val="32"/>
          <w:szCs w:val="32"/>
        </w:rPr>
      </w:pPr>
      <w:r>
        <w:rPr>
          <w:rFonts w:hint="eastAsia" w:ascii="黑体" w:hAnsi="黑体" w:eastAsia="黑体"/>
          <w:sz w:val="32"/>
          <w:szCs w:val="32"/>
        </w:rPr>
        <w:t>拨付2020年中央、省、市和区财政基本公共卫生服务补助资金明细表</w:t>
      </w:r>
    </w:p>
    <w:tbl>
      <w:tblPr>
        <w:tblStyle w:val="3"/>
        <w:tblW w:w="16602" w:type="dxa"/>
        <w:jc w:val="center"/>
        <w:tblInd w:w="432" w:type="dxa"/>
        <w:tblLayout w:type="fixed"/>
        <w:tblCellMar>
          <w:top w:w="0" w:type="dxa"/>
          <w:left w:w="108" w:type="dxa"/>
          <w:bottom w:w="0" w:type="dxa"/>
          <w:right w:w="108" w:type="dxa"/>
        </w:tblCellMar>
      </w:tblPr>
      <w:tblGrid>
        <w:gridCol w:w="555"/>
        <w:gridCol w:w="1392"/>
        <w:gridCol w:w="816"/>
        <w:gridCol w:w="941"/>
        <w:gridCol w:w="941"/>
        <w:gridCol w:w="1097"/>
        <w:gridCol w:w="1016"/>
        <w:gridCol w:w="1016"/>
        <w:gridCol w:w="1016"/>
        <w:gridCol w:w="1016"/>
        <w:gridCol w:w="916"/>
        <w:gridCol w:w="916"/>
        <w:gridCol w:w="916"/>
        <w:gridCol w:w="1016"/>
        <w:gridCol w:w="1021"/>
        <w:gridCol w:w="995"/>
        <w:gridCol w:w="1016"/>
      </w:tblGrid>
      <w:tr>
        <w:tblPrEx>
          <w:tblLayout w:type="fixed"/>
          <w:tblCellMar>
            <w:top w:w="0" w:type="dxa"/>
            <w:left w:w="108" w:type="dxa"/>
            <w:bottom w:w="0" w:type="dxa"/>
            <w:right w:w="108" w:type="dxa"/>
          </w:tblCellMar>
        </w:tblPrEx>
        <w:trPr>
          <w:trHeight w:val="476" w:hRule="atLeast"/>
          <w:jc w:val="center"/>
        </w:trPr>
        <w:tc>
          <w:tcPr>
            <w:tcW w:w="5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3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街道名称</w:t>
            </w:r>
          </w:p>
        </w:tc>
        <w:tc>
          <w:tcPr>
            <w:tcW w:w="269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街道服务人口数</w:t>
            </w:r>
          </w:p>
        </w:tc>
        <w:tc>
          <w:tcPr>
            <w:tcW w:w="312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2020年全年应预拨经费</w:t>
            </w:r>
          </w:p>
        </w:tc>
        <w:tc>
          <w:tcPr>
            <w:tcW w:w="4780" w:type="dxa"/>
            <w:gridSpan w:val="5"/>
            <w:tcBorders>
              <w:top w:val="single" w:color="auto" w:sz="4" w:space="0"/>
              <w:left w:val="nil"/>
              <w:bottom w:val="nil"/>
              <w:right w:val="single" w:color="000000"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2020年已预拨经费</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2020年绩效考核结算经费</w:t>
            </w:r>
          </w:p>
        </w:tc>
        <w:tc>
          <w:tcPr>
            <w:tcW w:w="20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2020年考核奖励</w:t>
            </w:r>
          </w:p>
        </w:tc>
        <w:tc>
          <w:tcPr>
            <w:tcW w:w="101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本次实拨经费</w:t>
            </w:r>
          </w:p>
        </w:tc>
      </w:tr>
      <w:tr>
        <w:tblPrEx>
          <w:tblLayout w:type="fixed"/>
          <w:tblCellMar>
            <w:top w:w="0" w:type="dxa"/>
            <w:left w:w="108" w:type="dxa"/>
            <w:bottom w:w="0" w:type="dxa"/>
            <w:right w:w="108" w:type="dxa"/>
          </w:tblCellMar>
        </w:tblPrEx>
        <w:trPr>
          <w:trHeight w:val="1400" w:hRule="atLeast"/>
          <w:jc w:val="center"/>
        </w:trPr>
        <w:tc>
          <w:tcPr>
            <w:tcW w:w="55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p>
        </w:tc>
        <w:tc>
          <w:tcPr>
            <w:tcW w:w="13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其中：</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中心服</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务人数</w:t>
            </w:r>
          </w:p>
        </w:tc>
        <w:tc>
          <w:tcPr>
            <w:tcW w:w="941"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其中：</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服务站</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服务人数</w:t>
            </w:r>
          </w:p>
        </w:tc>
        <w:tc>
          <w:tcPr>
            <w:tcW w:w="10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其中：</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中心</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预拨资金</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其中：</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服务站</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预拨</w:t>
            </w:r>
            <w:r>
              <w:rPr>
                <w:rFonts w:hint="eastAsia" w:ascii="仿宋" w:hAnsi="仿宋" w:eastAsia="仿宋" w:cs="宋体"/>
                <w:b/>
                <w:bCs/>
                <w:kern w:val="0"/>
                <w:sz w:val="20"/>
                <w:szCs w:val="20"/>
              </w:rPr>
              <w:br w:type="textWrapping"/>
            </w:r>
            <w:r>
              <w:rPr>
                <w:rFonts w:hint="eastAsia" w:ascii="仿宋" w:hAnsi="仿宋" w:eastAsia="仿宋" w:cs="宋体"/>
                <w:b/>
                <w:bCs/>
                <w:kern w:val="0"/>
                <w:sz w:val="20"/>
                <w:szCs w:val="20"/>
              </w:rPr>
              <w:t>资金</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1016"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中央</w:t>
            </w:r>
          </w:p>
        </w:tc>
        <w:tc>
          <w:tcPr>
            <w:tcW w:w="916"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省</w:t>
            </w:r>
          </w:p>
        </w:tc>
        <w:tc>
          <w:tcPr>
            <w:tcW w:w="916"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市</w:t>
            </w:r>
          </w:p>
        </w:tc>
        <w:tc>
          <w:tcPr>
            <w:tcW w:w="916"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区</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p>
        </w:tc>
        <w:tc>
          <w:tcPr>
            <w:tcW w:w="1021"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2020年区级统筹(中心奖励)</w:t>
            </w:r>
          </w:p>
        </w:tc>
        <w:tc>
          <w:tcPr>
            <w:tcW w:w="995"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2020年区级统筹(村/站奖励)</w:t>
            </w:r>
          </w:p>
        </w:tc>
        <w:tc>
          <w:tcPr>
            <w:tcW w:w="101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b/>
                <w:bCs/>
                <w:kern w:val="0"/>
                <w:sz w:val="20"/>
                <w:szCs w:val="20"/>
              </w:rPr>
            </w:pP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侯家塘红旗</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75434</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44515</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30919</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4903210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4300289</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602921</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3745768</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2247461</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299661</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479458</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719188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3644531</w:t>
            </w:r>
          </w:p>
        </w:tc>
        <w:tc>
          <w:tcPr>
            <w:tcW w:w="102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102871</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1634</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左家塘康达</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130041</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48470</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81571</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8452665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6862030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1590635</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6762132</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4057279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540971</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865553</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1298329</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7651024</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115000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1023892</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圭塘中南院</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70229</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37785</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32444</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4564885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3932227</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632658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3651908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2191144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292153</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467444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701167</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4342543</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130000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830635</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高桥</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79591</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28925</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50666</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5173415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4185428</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987987</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4138732</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2483239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331099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529758</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794636</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4990799</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185000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1057067</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砂子塘</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67575</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30870</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36705</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4392375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3676627</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715748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3513900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2108340</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281112</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449779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674669</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3749577</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90000</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325677</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东塘</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55408</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36467</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18941</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3601520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3232170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369350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2881216</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1728729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230498</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368796</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553193</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3305606</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165000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599390</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雨花亭</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70234</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23859</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46375</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4565210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3660897</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904313</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3652168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2191301</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292173</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467478</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701216</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4787383</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217000</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1352215</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洞井</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90615</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25140</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65475</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5889975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4613212</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1276763</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4711980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2827188</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376959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603133</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904700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6701776</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165000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2164796</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井湾子仁和</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124009</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48241</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75768</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8060585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6583109</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1477476</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5668468</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3401081</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453477</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725564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1088346</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6955341</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90000</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1376873</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东山</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64564</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21733</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42831</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4196660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3361455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835205</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3149327</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1889597</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251946</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403114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604670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4969278</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277000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2116951</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跳马</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81600</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19067</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62533</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5304000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4084606</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1219394</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4243200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2545920</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339456</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543129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814695</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5782572</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187000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1736372</w:t>
            </w:r>
          </w:p>
        </w:tc>
      </w:tr>
      <w:tr>
        <w:tblPrEx>
          <w:tblLayout w:type="fixed"/>
          <w:tblCellMar>
            <w:top w:w="0" w:type="dxa"/>
            <w:left w:w="108" w:type="dxa"/>
            <w:bottom w:w="0" w:type="dxa"/>
            <w:right w:w="108" w:type="dxa"/>
          </w:tblCellMar>
        </w:tblPrEx>
        <w:trPr>
          <w:trHeight w:val="42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黎托基成</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40500</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16763</w:t>
            </w: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23737</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2632500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2169628</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462872</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2106001</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1263601</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168479</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269568</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404353</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2837699</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195000</w:t>
            </w:r>
          </w:p>
        </w:tc>
        <w:tc>
          <w:tcPr>
            <w:tcW w:w="99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926698</w:t>
            </w:r>
          </w:p>
        </w:tc>
      </w:tr>
      <w:tr>
        <w:tblPrEx>
          <w:tblLayout w:type="fixed"/>
          <w:tblCellMar>
            <w:top w:w="0" w:type="dxa"/>
            <w:left w:w="108" w:type="dxa"/>
            <w:bottom w:w="0" w:type="dxa"/>
            <w:right w:w="108" w:type="dxa"/>
          </w:tblCellMar>
        </w:tblPrEx>
        <w:trPr>
          <w:trHeight w:val="425" w:hRule="atLeast"/>
          <w:jc w:val="center"/>
        </w:trPr>
        <w:tc>
          <w:tcPr>
            <w:tcW w:w="194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合计</w:t>
            </w:r>
          </w:p>
        </w:tc>
        <w:tc>
          <w:tcPr>
            <w:tcW w:w="8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949800</w:t>
            </w:r>
          </w:p>
        </w:tc>
        <w:tc>
          <w:tcPr>
            <w:tcW w:w="94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p>
        </w:tc>
        <w:tc>
          <w:tcPr>
            <w:tcW w:w="941"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381835</w:t>
            </w:r>
          </w:p>
        </w:tc>
        <w:tc>
          <w:tcPr>
            <w:tcW w:w="1097"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567965</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61737000</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50661678</w:t>
            </w:r>
          </w:p>
        </w:tc>
        <w:tc>
          <w:tcPr>
            <w:tcW w:w="1016" w:type="dxa"/>
            <w:tcBorders>
              <w:top w:val="nil"/>
              <w:left w:val="nil"/>
              <w:bottom w:val="single" w:color="auto" w:sz="4" w:space="0"/>
              <w:right w:val="single" w:color="auto" w:sz="4" w:space="0"/>
            </w:tcBorders>
            <w:shd w:val="clear" w:color="auto" w:fill="auto"/>
            <w:vAlign w:val="center"/>
          </w:tcPr>
          <w:p>
            <w:pPr>
              <w:jc w:val="right"/>
              <w:rPr>
                <w:rFonts w:ascii="仿宋" w:hAnsi="仿宋" w:eastAsia="仿宋" w:cs="宋体"/>
                <w:sz w:val="20"/>
                <w:szCs w:val="20"/>
              </w:rPr>
            </w:pPr>
            <w:r>
              <w:rPr>
                <w:rFonts w:hint="eastAsia" w:ascii="仿宋" w:hAnsi="仿宋" w:eastAsia="仿宋"/>
                <w:sz w:val="20"/>
                <w:szCs w:val="20"/>
              </w:rPr>
              <w:t>11075322</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28934880</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3857984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6172774</w:t>
            </w:r>
          </w:p>
        </w:tc>
        <w:tc>
          <w:tcPr>
            <w:tcW w:w="9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9259162</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59718129</w:t>
            </w:r>
          </w:p>
        </w:tc>
        <w:tc>
          <w:tcPr>
            <w:tcW w:w="102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1918871</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100000</w:t>
            </w:r>
          </w:p>
        </w:tc>
        <w:tc>
          <w:tcPr>
            <w:tcW w:w="1016"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13512200</w:t>
            </w:r>
          </w:p>
        </w:tc>
      </w:tr>
      <w:tr>
        <w:tblPrEx>
          <w:tblLayout w:type="fixed"/>
          <w:tblCellMar>
            <w:top w:w="0" w:type="dxa"/>
            <w:left w:w="108" w:type="dxa"/>
            <w:bottom w:w="0" w:type="dxa"/>
            <w:right w:w="108" w:type="dxa"/>
          </w:tblCellMar>
        </w:tblPrEx>
        <w:trPr>
          <w:trHeight w:val="1419" w:hRule="atLeast"/>
          <w:jc w:val="center"/>
        </w:trPr>
        <w:tc>
          <w:tcPr>
            <w:tcW w:w="16602" w:type="dxa"/>
            <w:gridSpan w:val="17"/>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说明：</w:t>
            </w:r>
            <w:r>
              <w:rPr>
                <w:rFonts w:hint="eastAsia" w:ascii="宋体" w:hAnsi="宋体" w:cs="宋体"/>
                <w:kern w:val="0"/>
                <w:sz w:val="20"/>
                <w:szCs w:val="20"/>
              </w:rPr>
              <w:br w:type="textWrapping"/>
            </w:r>
            <w:r>
              <w:rPr>
                <w:rFonts w:hint="eastAsia" w:ascii="宋体" w:hAnsi="宋体" w:cs="宋体"/>
                <w:kern w:val="0"/>
                <w:sz w:val="20"/>
                <w:szCs w:val="20"/>
              </w:rPr>
              <w:t>1、拨付2020年雨花区基本公共卫生服务第四批补助资金根据本年绩效考核结算数据一并拨付，明细见附件2。</w:t>
            </w:r>
            <w:r>
              <w:rPr>
                <w:rFonts w:hint="eastAsia" w:ascii="宋体" w:hAnsi="宋体" w:cs="宋体"/>
                <w:kern w:val="0"/>
                <w:sz w:val="20"/>
                <w:szCs w:val="20"/>
              </w:rPr>
              <w:br w:type="textWrapping"/>
            </w:r>
            <w:r>
              <w:rPr>
                <w:rFonts w:hint="eastAsia" w:ascii="宋体" w:hAnsi="宋体" w:cs="宋体"/>
                <w:kern w:val="0"/>
                <w:sz w:val="20"/>
                <w:szCs w:val="20"/>
              </w:rPr>
              <w:t>2、区级资金145.6万元与结算后的资金根据考核成绩进行分配，明细见附件3。</w:t>
            </w:r>
            <w:r>
              <w:rPr>
                <w:rFonts w:hint="eastAsia" w:ascii="宋体" w:hAnsi="宋体" w:cs="宋体"/>
                <w:kern w:val="0"/>
                <w:sz w:val="20"/>
                <w:szCs w:val="20"/>
              </w:rPr>
              <w:br w:type="textWrapping"/>
            </w:r>
            <w:r>
              <w:rPr>
                <w:rFonts w:hint="eastAsia" w:ascii="宋体" w:hAnsi="宋体" w:cs="宋体"/>
                <w:kern w:val="0"/>
                <w:sz w:val="20"/>
                <w:szCs w:val="20"/>
              </w:rPr>
              <w:t>3、2020年村/站奖励资金10万元不在结算资金之内，由各中心（卫生院）按附件3“2020年优质社区卫生服务站（村卫生室）”拨付到各村、站。</w:t>
            </w:r>
            <w:r>
              <w:rPr>
                <w:rFonts w:hint="eastAsia" w:ascii="宋体" w:hAnsi="宋体" w:cs="宋体"/>
                <w:kern w:val="0"/>
                <w:sz w:val="20"/>
                <w:szCs w:val="20"/>
              </w:rPr>
              <w:br w:type="textWrapping"/>
            </w:r>
            <w:r>
              <w:rPr>
                <w:rFonts w:hint="eastAsia" w:ascii="宋体" w:hAnsi="宋体" w:cs="宋体"/>
                <w:kern w:val="0"/>
                <w:sz w:val="20"/>
                <w:szCs w:val="20"/>
              </w:rPr>
              <w:t>4、村卫生室公卫经费的结算按标准的40%进行结算，服务站公卫经费的结算按标准的30%进行结算。</w:t>
            </w:r>
          </w:p>
        </w:tc>
      </w:tr>
    </w:tbl>
    <w:p>
      <w:pPr>
        <w:rPr>
          <w:rFonts w:hint="eastAsia"/>
        </w:rPr>
      </w:pP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0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2020-12-15T06:15:34Z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