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jc w:val="center"/>
        <w:outlineLvl w:val="0"/>
        <w:rPr>
          <w:rFonts w:ascii="黑体" w:hAnsi="黑体" w:eastAsia="黑体" w:cs="Times New Roman"/>
          <w:b/>
          <w:bCs/>
          <w:sz w:val="32"/>
          <w:szCs w:val="32"/>
          <w:highlight w:val="none"/>
        </w:rPr>
      </w:pPr>
      <w:r>
        <w:rPr>
          <w:rFonts w:hint="eastAsia" w:ascii="黑体" w:hAnsi="黑体" w:eastAsia="黑体" w:cs="Times New Roman"/>
          <w:b/>
          <w:bCs/>
          <w:sz w:val="32"/>
          <w:szCs w:val="32"/>
          <w:highlight w:val="none"/>
        </w:rPr>
        <w:t>采购需求</w:t>
      </w:r>
    </w:p>
    <w:p>
      <w:pPr>
        <w:pStyle w:val="3"/>
        <w:keepNext w:val="0"/>
        <w:keepLines w:val="0"/>
        <w:pageBreakBefore w:val="0"/>
        <w:widowControl w:val="0"/>
        <w:numPr>
          <w:ilvl w:val="0"/>
          <w:numId w:val="0"/>
        </w:numPr>
        <w:kinsoku/>
        <w:wordWrap/>
        <w:overflowPunct/>
        <w:topLinePunct w:val="0"/>
        <w:autoSpaceDE/>
        <w:autoSpaceDN/>
        <w:bidi w:val="0"/>
        <w:spacing w:after="0" w:line="500" w:lineRule="exact"/>
        <w:textAlignment w:val="auto"/>
        <w:rPr>
          <w:rFonts w:hint="eastAsia" w:ascii="宋体" w:hAnsi="宋体" w:eastAsia="宋体" w:cs="Times New Roman"/>
          <w:b/>
          <w:bCs/>
          <w:color w:val="000000"/>
          <w:kern w:val="2"/>
          <w:sz w:val="21"/>
          <w:szCs w:val="21"/>
          <w:lang w:val="en-US" w:eastAsia="zh-CN" w:bidi="ar-SA"/>
        </w:rPr>
      </w:pPr>
      <w:r>
        <w:rPr>
          <w:rFonts w:hint="eastAsia" w:ascii="宋体" w:hAnsi="宋体" w:eastAsia="宋体" w:cs="Times New Roman"/>
          <w:b/>
          <w:bCs/>
          <w:color w:val="000000"/>
          <w:kern w:val="2"/>
          <w:sz w:val="21"/>
          <w:szCs w:val="21"/>
          <w:lang w:val="en-US" w:eastAsia="zh-CN" w:bidi="ar-SA"/>
        </w:rPr>
        <w:t>一、项目概况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1.项目名称：长沙市雨花区高桥街道社区卫生服务中心医疗设备采购项目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rPr>
          <w:rFonts w:hint="default"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2.项目预算：454700.00元</w:t>
      </w:r>
      <w:bookmarkStart w:id="4" w:name="_GoBack"/>
      <w:bookmarkEnd w:id="4"/>
    </w:p>
    <w:p>
      <w:pPr>
        <w:pStyle w:val="3"/>
        <w:keepNext w:val="0"/>
        <w:keepLines w:val="0"/>
        <w:pageBreakBefore w:val="0"/>
        <w:widowControl w:val="0"/>
        <w:numPr>
          <w:ilvl w:val="0"/>
          <w:numId w:val="0"/>
        </w:numPr>
        <w:kinsoku/>
        <w:wordWrap/>
        <w:overflowPunct/>
        <w:topLinePunct w:val="0"/>
        <w:autoSpaceDE/>
        <w:autoSpaceDN/>
        <w:bidi w:val="0"/>
        <w:spacing w:after="0" w:line="500" w:lineRule="exact"/>
        <w:textAlignment w:val="auto"/>
        <w:rPr>
          <w:rFonts w:hint="default"/>
          <w:b/>
          <w:bCs/>
          <w:sz w:val="24"/>
          <w:szCs w:val="32"/>
          <w:lang w:val="en-US" w:eastAsia="zh-CN"/>
        </w:rPr>
      </w:pPr>
      <w:r>
        <w:rPr>
          <w:rFonts w:hint="eastAsia" w:ascii="宋体" w:hAnsi="宋体" w:eastAsia="宋体" w:cs="Times New Roman"/>
          <w:b/>
          <w:bCs/>
          <w:color w:val="000000"/>
          <w:kern w:val="2"/>
          <w:sz w:val="21"/>
          <w:szCs w:val="21"/>
          <w:lang w:val="en-US" w:eastAsia="zh-CN" w:bidi="ar-SA"/>
        </w:rPr>
        <w:t>二、采购项目清单：</w:t>
      </w:r>
    </w:p>
    <w:tbl>
      <w:tblPr>
        <w:tblStyle w:val="5"/>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1317"/>
        <w:gridCol w:w="4062"/>
        <w:gridCol w:w="565"/>
        <w:gridCol w:w="475"/>
        <w:gridCol w:w="933"/>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470"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序号</w:t>
            </w:r>
          </w:p>
        </w:tc>
        <w:tc>
          <w:tcPr>
            <w:tcW w:w="1317"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设备名称</w:t>
            </w:r>
          </w:p>
        </w:tc>
        <w:tc>
          <w:tcPr>
            <w:tcW w:w="4062"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highlight w:val="none"/>
                <w:vertAlign w:val="baseline"/>
                <w:lang w:val="en-US" w:eastAsia="zh-CN"/>
                <w14:textFill>
                  <w14:solidFill>
                    <w14:schemeClr w14:val="tx1"/>
                  </w14:solidFill>
                </w14:textFill>
              </w:rPr>
              <w:t>参数要求</w:t>
            </w:r>
          </w:p>
        </w:tc>
        <w:tc>
          <w:tcPr>
            <w:tcW w:w="565"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单位</w:t>
            </w:r>
          </w:p>
        </w:tc>
        <w:tc>
          <w:tcPr>
            <w:tcW w:w="475"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数量</w:t>
            </w:r>
          </w:p>
        </w:tc>
        <w:tc>
          <w:tcPr>
            <w:tcW w:w="933"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单价</w:t>
            </w:r>
          </w:p>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（元）</w:t>
            </w:r>
          </w:p>
        </w:tc>
        <w:tc>
          <w:tcPr>
            <w:tcW w:w="910"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总价</w:t>
            </w:r>
          </w:p>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70"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w:t>
            </w:r>
          </w:p>
        </w:tc>
        <w:tc>
          <w:tcPr>
            <w:tcW w:w="1317"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全自动凝血分析仪</w:t>
            </w:r>
          </w:p>
        </w:tc>
        <w:tc>
          <w:tcPr>
            <w:tcW w:w="4062" w:type="dxa"/>
            <w:vAlign w:val="top"/>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测试方法：全项目光学法检测，并同时具备散射法以及透射法通道</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测试速度：≥120项测试/小时</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检测通道：≥7个,包含凝固法、免疫比浊法、发色底物法三种检测通道</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检测项目：PT、APTT、TT、FIB、PLG、α2-AP、PC、Heparin、D-Dimer、FDP、各项凝血因子等。</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样本位：≥27个，均可作为急诊位</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试剂位：≥23个，均具备冷藏功能</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样本量：4—120μl</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 xml:space="preserve">试剂量：4—200μl                           </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9</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混匀方式：旋涡振荡混匀，非介入式搅拌模式</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10</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反应杯：可同时装载≥72个反应杯</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试剂针具备预热及可恢复式过热保护功能</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操作方式：触摸屏操作，一体机，不需要外接电脑控制，节约实验室空间</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耗水量：≤0.5L/小时</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纤维蛋白原（FIB）测定：clauss法</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15</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定标方法：“折线回归”、“线性回归”、“双对数直线回归”、“双对数折线回归”。</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16</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试剂量监测：对测试过程中试剂用量的实时监测，当试剂用余量较少时，系统将报警。</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17</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质控判别规则：具备质控控制限和多规则质控等多种判别规则</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18</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样本管规格：支持标准试管、原始采血管和微量样本杯</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19</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自动重测功能，依据测试结果和多种预设条件，系统可自动判断是否需要进行样本重稀释及测试，保证结果的可靠性。</w:t>
            </w:r>
          </w:p>
        </w:tc>
        <w:tc>
          <w:tcPr>
            <w:tcW w:w="565"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台</w:t>
            </w:r>
          </w:p>
        </w:tc>
        <w:tc>
          <w:tcPr>
            <w:tcW w:w="475"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w:t>
            </w:r>
          </w:p>
        </w:tc>
        <w:tc>
          <w:tcPr>
            <w:tcW w:w="933" w:type="dxa"/>
            <w:vAlign w:val="center"/>
          </w:tcPr>
          <w:p>
            <w:pPr>
              <w:jc w:val="righ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60000</w:t>
            </w:r>
          </w:p>
        </w:tc>
        <w:tc>
          <w:tcPr>
            <w:tcW w:w="910" w:type="dxa"/>
            <w:vAlign w:val="center"/>
          </w:tcPr>
          <w:p>
            <w:pPr>
              <w:jc w:val="right"/>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6" w:hRule="atLeast"/>
          <w:jc w:val="center"/>
        </w:trPr>
        <w:tc>
          <w:tcPr>
            <w:tcW w:w="470"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w:t>
            </w:r>
          </w:p>
        </w:tc>
        <w:tc>
          <w:tcPr>
            <w:tcW w:w="1317"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全自动生化分析仪</w:t>
            </w:r>
          </w:p>
        </w:tc>
        <w:tc>
          <w:tcPr>
            <w:tcW w:w="4062" w:type="dxa"/>
            <w:vAlign w:val="top"/>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检测速度：生化比色分析恒速≥800测试/小时</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分析方法：具有终点法、动力学法、固定时间法</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同时最大在线分析项目：≥175个</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试剂位:≥180个，具备24小时2-8℃冷藏功能</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样本位≥190个，可应对大批量体检</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反应位：≥160个</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加样针：≥1支，采用随量跟踪技术，具备水平、垂直防撞功能，液面检测，气泡检测空吸检测等功能</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试剂针：≥2支，采用随量跟踪技术，具备水平、垂直防撞功能</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9</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最小反应体积≤70ul，节省试剂消耗</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10</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光学系统：光栅后分光，波长范围：340-850nm,≥16个波长</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吸光度线性范围:0-3.5Abs</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温控方式：固体直热恒温方式，控温均匀,控温精度要求达到37C0.1C</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无需添加任何耗材，需真正免维护免保养</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比色杯温水清洗，重复使用，支持单个比色杯更换</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清洗系统：全自动温水清洗反应杯</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15</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运行中装载试剂：仪器测试进行中支持试剂在线更换</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16</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一个项目装载多瓶试剂功能</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17</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交叉污染率：＜0.08%</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18</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耗材提醒：具有耗材余量不足提醒, 每日耗材检查及提醒，每批耗材检查及提醒</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19</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参数导入：具有参数导入、校准参数导入功能，远程维护功能</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20</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支持定时休眠与唤醒功能</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支持全血糖化检测功能</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耗水量≤38升/小时；</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提供</w:t>
            </w:r>
            <w:r>
              <w:rPr>
                <w:rFonts w:hint="eastAsia" w:ascii="宋体" w:hAnsi="宋体" w:eastAsia="宋体" w:cs="宋体"/>
                <w:color w:val="000000" w:themeColor="text1"/>
                <w:lang w:eastAsia="zh-CN"/>
                <w14:textFill>
                  <w14:solidFill>
                    <w14:schemeClr w14:val="tx1"/>
                  </w14:solidFill>
                </w14:textFill>
              </w:rPr>
              <w:t>产品</w:t>
            </w:r>
            <w:r>
              <w:rPr>
                <w:rFonts w:hint="eastAsia" w:ascii="宋体" w:hAnsi="宋体" w:eastAsia="宋体" w:cs="宋体"/>
                <w:color w:val="000000" w:themeColor="text1"/>
                <w14:textFill>
                  <w14:solidFill>
                    <w14:schemeClr w14:val="tx1"/>
                  </w14:solidFill>
                </w14:textFill>
              </w:rPr>
              <w:t>彩页或技术白皮书的复印件</w:t>
            </w:r>
            <w:r>
              <w:rPr>
                <w:rFonts w:hint="eastAsia" w:ascii="宋体" w:hAnsi="宋体" w:eastAsia="宋体" w:cs="宋体"/>
                <w:color w:val="000000" w:themeColor="text1"/>
                <w:lang w:val="en-US" w:eastAsia="zh-CN"/>
                <w14:textFill>
                  <w14:solidFill>
                    <w14:schemeClr w14:val="tx1"/>
                  </w14:solidFill>
                </w14:textFill>
              </w:rPr>
              <w:t>(须能清晰列明以上参数）</w:t>
            </w:r>
            <w:r>
              <w:rPr>
                <w:rFonts w:hint="eastAsia" w:ascii="宋体" w:hAnsi="宋体" w:eastAsia="宋体" w:cs="宋体"/>
                <w:color w:val="000000" w:themeColor="text1"/>
                <w14:textFill>
                  <w14:solidFill>
                    <w14:schemeClr w14:val="tx1"/>
                  </w14:solidFill>
                </w14:textFill>
              </w:rPr>
              <w:t>。</w:t>
            </w:r>
          </w:p>
        </w:tc>
        <w:tc>
          <w:tcPr>
            <w:tcW w:w="565" w:type="dxa"/>
            <w:vAlign w:val="center"/>
          </w:tcPr>
          <w:p>
            <w:pPr>
              <w:jc w:val="center"/>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台</w:t>
            </w:r>
          </w:p>
        </w:tc>
        <w:tc>
          <w:tcPr>
            <w:tcW w:w="475" w:type="dxa"/>
            <w:vAlign w:val="center"/>
          </w:tcPr>
          <w:p>
            <w:pPr>
              <w:jc w:val="center"/>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w:t>
            </w:r>
          </w:p>
        </w:tc>
        <w:tc>
          <w:tcPr>
            <w:tcW w:w="933" w:type="dxa"/>
            <w:vAlign w:val="center"/>
          </w:tcPr>
          <w:p>
            <w:pPr>
              <w:jc w:val="both"/>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200000</w:t>
            </w:r>
          </w:p>
        </w:tc>
        <w:tc>
          <w:tcPr>
            <w:tcW w:w="910" w:type="dxa"/>
            <w:vAlign w:val="center"/>
          </w:tcPr>
          <w:p>
            <w:pPr>
              <w:jc w:val="right"/>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1" w:hRule="atLeast"/>
          <w:jc w:val="center"/>
        </w:trPr>
        <w:tc>
          <w:tcPr>
            <w:tcW w:w="470"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3</w:t>
            </w:r>
          </w:p>
        </w:tc>
        <w:tc>
          <w:tcPr>
            <w:tcW w:w="1317"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全自动五分类血液细胞分析仪</w:t>
            </w:r>
          </w:p>
        </w:tc>
        <w:tc>
          <w:tcPr>
            <w:tcW w:w="4062" w:type="dxa"/>
            <w:vAlign w:val="top"/>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检测原理：具有激光散射法对白细胞进行准确的五分类检测技术，采用免疫比浊法进行C-反应蛋白（CRP）测定，采用阻抗法测定红细胞和血小板</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检测参数：≥26项可报告参数</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研究参数：≥6项，具有异常淋巴细胞、有核红细胞和原始细胞报警信息</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进样方式：可以全自动进样、封闭进样，具有急诊进样模式</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检测模式：具有五分类、独立CRP、五分类+CRP等3种以上全血检测模式</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进样器容量：≥40个</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进样模式：具有独立的静脉全血、末梢全血、预稀释血检测模式</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样本用量：五分类+CRP全血自动进样模式≤40μl，CRP模式≤20μl</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9</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采用CRP校正技术，可修正CRP检测结果</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10</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检测速度：五分类+CRP模式≥50个测试/小时</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预稀释模式：自动定量打出稀释液，具备五分类+CRP功能</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WBC线性范围：0～400×109/L</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CRP线性范围：0.2～300mg/L</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CRP携带污染：≤1.0%</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15</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操作系统：全中文操作分析报告软件</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16</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排堵方式：正反冲洗，高压灼烧</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17</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具有原厂配套的试剂、校准品、质控品，可提供溯源文件</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18</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工作电压: (100V-240V～)允差±10%</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提供</w:t>
            </w:r>
            <w:r>
              <w:rPr>
                <w:rFonts w:hint="eastAsia" w:ascii="宋体" w:hAnsi="宋体" w:eastAsia="宋体" w:cs="宋体"/>
                <w:color w:val="000000" w:themeColor="text1"/>
                <w:lang w:eastAsia="zh-CN"/>
                <w14:textFill>
                  <w14:solidFill>
                    <w14:schemeClr w14:val="tx1"/>
                  </w14:solidFill>
                </w14:textFill>
              </w:rPr>
              <w:t>产品</w:t>
            </w:r>
            <w:r>
              <w:rPr>
                <w:rFonts w:hint="eastAsia" w:ascii="宋体" w:hAnsi="宋体" w:eastAsia="宋体" w:cs="宋体"/>
                <w:color w:val="000000" w:themeColor="text1"/>
                <w14:textFill>
                  <w14:solidFill>
                    <w14:schemeClr w14:val="tx1"/>
                  </w14:solidFill>
                </w14:textFill>
              </w:rPr>
              <w:t>彩页或技术白皮书的复印件</w:t>
            </w:r>
            <w:r>
              <w:rPr>
                <w:rFonts w:hint="eastAsia" w:ascii="宋体" w:hAnsi="宋体" w:eastAsia="宋体" w:cs="宋体"/>
                <w:color w:val="000000" w:themeColor="text1"/>
                <w:lang w:val="en-US" w:eastAsia="zh-CN"/>
                <w14:textFill>
                  <w14:solidFill>
                    <w14:schemeClr w14:val="tx1"/>
                  </w14:solidFill>
                </w14:textFill>
              </w:rPr>
              <w:t>(须能清晰列明以上参数）</w:t>
            </w:r>
            <w:r>
              <w:rPr>
                <w:rFonts w:hint="eastAsia" w:ascii="宋体" w:hAnsi="宋体" w:eastAsia="宋体" w:cs="宋体"/>
                <w:color w:val="000000" w:themeColor="text1"/>
                <w14:textFill>
                  <w14:solidFill>
                    <w14:schemeClr w14:val="tx1"/>
                  </w14:solidFill>
                </w14:textFill>
              </w:rPr>
              <w:t>。</w:t>
            </w:r>
          </w:p>
        </w:tc>
        <w:tc>
          <w:tcPr>
            <w:tcW w:w="565" w:type="dxa"/>
            <w:vAlign w:val="center"/>
          </w:tcPr>
          <w:p>
            <w:pPr>
              <w:jc w:val="center"/>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台</w:t>
            </w:r>
          </w:p>
        </w:tc>
        <w:tc>
          <w:tcPr>
            <w:tcW w:w="475" w:type="dxa"/>
            <w:vAlign w:val="center"/>
          </w:tcPr>
          <w:p>
            <w:pPr>
              <w:jc w:val="center"/>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w:t>
            </w:r>
          </w:p>
        </w:tc>
        <w:tc>
          <w:tcPr>
            <w:tcW w:w="933" w:type="dxa"/>
            <w:vAlign w:val="center"/>
          </w:tcPr>
          <w:p>
            <w:pPr>
              <w:jc w:val="righ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98000</w:t>
            </w:r>
          </w:p>
        </w:tc>
        <w:tc>
          <w:tcPr>
            <w:tcW w:w="910" w:type="dxa"/>
            <w:vAlign w:val="center"/>
          </w:tcPr>
          <w:p>
            <w:pPr>
              <w:jc w:val="right"/>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9" w:hRule="atLeast"/>
          <w:jc w:val="center"/>
        </w:trPr>
        <w:tc>
          <w:tcPr>
            <w:tcW w:w="470"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4</w:t>
            </w:r>
          </w:p>
        </w:tc>
        <w:tc>
          <w:tcPr>
            <w:tcW w:w="1317"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电热恒温水箱</w:t>
            </w:r>
          </w:p>
        </w:tc>
        <w:tc>
          <w:tcPr>
            <w:tcW w:w="4062" w:type="dxa"/>
            <w:vAlign w:val="top"/>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1、指示方式：数显</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2、有效容积</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≧600*300*1500mm</w:t>
            </w:r>
            <w:r>
              <w:rPr>
                <w:rFonts w:hint="eastAsia" w:ascii="宋体" w:hAnsi="宋体" w:eastAsia="宋体" w:cs="宋体"/>
                <w:color w:val="000000" w:themeColor="text1"/>
                <w:vertAlign w:val="superscript"/>
                <w14:textFill>
                  <w14:solidFill>
                    <w14:schemeClr w14:val="tx1"/>
                  </w14:solidFill>
                </w14:textFill>
              </w:rPr>
              <w:t>3</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3、控温范围：室温-99.9℃ </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4、水温均匀性：1.0℃</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5、电源电压：220±22V</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6、电源频率：50±1Hz</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7、额定功率：800±50W</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8、采用分体温控仪表</w:t>
            </w:r>
          </w:p>
        </w:tc>
        <w:tc>
          <w:tcPr>
            <w:tcW w:w="565" w:type="dxa"/>
            <w:vAlign w:val="center"/>
          </w:tcPr>
          <w:p>
            <w:pPr>
              <w:jc w:val="center"/>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台</w:t>
            </w:r>
          </w:p>
        </w:tc>
        <w:tc>
          <w:tcPr>
            <w:tcW w:w="475" w:type="dxa"/>
            <w:vAlign w:val="center"/>
          </w:tcPr>
          <w:p>
            <w:pPr>
              <w:jc w:val="center"/>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w:t>
            </w:r>
          </w:p>
        </w:tc>
        <w:tc>
          <w:tcPr>
            <w:tcW w:w="933" w:type="dxa"/>
            <w:vAlign w:val="center"/>
          </w:tcPr>
          <w:p>
            <w:pPr>
              <w:jc w:val="righ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1500</w:t>
            </w:r>
          </w:p>
        </w:tc>
        <w:tc>
          <w:tcPr>
            <w:tcW w:w="910" w:type="dxa"/>
            <w:vAlign w:val="center"/>
          </w:tcPr>
          <w:p>
            <w:pPr>
              <w:jc w:val="right"/>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0"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5</w:t>
            </w:r>
          </w:p>
        </w:tc>
        <w:tc>
          <w:tcPr>
            <w:tcW w:w="1317"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电解质分析仪</w:t>
            </w:r>
          </w:p>
        </w:tc>
        <w:tc>
          <w:tcPr>
            <w:tcW w:w="4062" w:type="dxa"/>
            <w:vAlign w:val="top"/>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1.测试项目：K、Na、Cl、Ca、PH、Mg、</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2.适用样品：血清、血浆、全血或稀释尿液</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3.测量技术：离子选择性电极</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4.测量速度：≤30秒</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5.测量范围、分辨率： </w:t>
            </w:r>
          </w:p>
          <w:p>
            <w:pPr>
              <w:ind w:firstLine="630" w:firstLineChars="30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测量范围         </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分辨率             </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K+  </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0.50—20.00mmol/L  0.01mmol/L         </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Na+  15.0—200.0mmol/L </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0.1mmol/L          </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Cl-  15.0—200.0mmol/L  0.1mmol/L          </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Ca++ </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0.10—6.00mmol/L</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0.01mmol/L         </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pH    4.00—9.00        0.01                     </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Mg++  0.10—4.00mmol/L  0.01mmol/L      </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6.彩色高清晰触摸屏≥</w:t>
            </w:r>
            <w:r>
              <w:rPr>
                <w:rFonts w:hint="eastAsia" w:ascii="宋体" w:hAnsi="宋体" w:eastAsia="宋体"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14:textFill>
                  <w14:solidFill>
                    <w14:schemeClr w14:val="tx1"/>
                  </w14:solidFill>
                </w14:textFill>
              </w:rPr>
              <w:t>寸，人机互动界面，故障自动报警及排除。</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配具有全自动原试管加样器，血清管直接上机。具有液面探测功能，兼容生化杯、子弹头。具有自动寻杯检测系统，全自动原试管进样盘设有38个测试位（包括5个急诊位，3个功能位），每批测试只需按下“开始”键，仪器即自动检测样品位置和数量。</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8.自动进样和手动进样采用完全独立进样系统。</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9.自动进样，自动定标，自动清洗。</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10.强大的质控功能，可打印质控图及质控统计参数，支持LIS联网系统，上传数据格式可选。实时显示动态标本号码，备有RS-232通讯接口，RTC时钟管理。</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11.仪器可24小时开机，长时间不操作即转入待机状态，节约试剂消耗。</w:t>
            </w:r>
          </w:p>
          <w:p>
            <w:pPr>
              <w:jc w:val="left"/>
              <w:rPr>
                <w:rFonts w:hint="eastAsia" w:ascii="宋体" w:hAnsi="宋体" w:eastAsia="宋体" w:cs="宋体"/>
                <w:color w:val="000000" w:themeColor="text1"/>
                <w:highlight w:val="yellow"/>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12.体系认证:</w:t>
            </w:r>
            <w:r>
              <w:rPr>
                <w:rFonts w:hint="eastAsia" w:ascii="宋体" w:hAnsi="宋体" w:eastAsia="宋体" w:cs="宋体"/>
                <w:color w:val="000000" w:themeColor="text1"/>
                <w:highlight w:val="none"/>
                <w14:textFill>
                  <w14:solidFill>
                    <w14:schemeClr w14:val="tx1"/>
                  </w14:solidFill>
                </w14:textFill>
              </w:rPr>
              <w:t>产品</w:t>
            </w:r>
            <w:r>
              <w:rPr>
                <w:rFonts w:hint="eastAsia" w:ascii="宋体" w:hAnsi="宋体" w:eastAsia="宋体" w:cs="宋体"/>
                <w:color w:val="000000" w:themeColor="text1"/>
                <w:highlight w:val="none"/>
                <w:lang w:eastAsia="zh-CN"/>
                <w14:textFill>
                  <w14:solidFill>
                    <w14:schemeClr w14:val="tx1"/>
                  </w14:solidFill>
                </w14:textFill>
              </w:rPr>
              <w:t>厂家</w:t>
            </w:r>
            <w:r>
              <w:rPr>
                <w:rFonts w:hint="eastAsia" w:ascii="宋体" w:hAnsi="宋体" w:eastAsia="宋体" w:cs="宋体"/>
                <w:color w:val="000000" w:themeColor="text1"/>
                <w:highlight w:val="none"/>
                <w14:textFill>
                  <w14:solidFill>
                    <w14:schemeClr w14:val="tx1"/>
                  </w14:solidFill>
                </w14:textFill>
              </w:rPr>
              <w:t>具有ISO13485认证</w:t>
            </w:r>
            <w:r>
              <w:rPr>
                <w:rFonts w:hint="eastAsia" w:ascii="宋体" w:hAnsi="宋体" w:eastAsia="宋体" w:cs="宋体"/>
                <w:color w:val="000000" w:themeColor="text1"/>
                <w:highlight w:val="none"/>
                <w:lang w:eastAsia="zh-CN"/>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ISO9001</w:t>
            </w:r>
            <w:r>
              <w:rPr>
                <w:rFonts w:hint="eastAsia" w:ascii="宋体" w:hAnsi="宋体" w:eastAsia="宋体" w:cs="宋体"/>
                <w:color w:val="000000" w:themeColor="text1"/>
                <w:highlight w:val="none"/>
                <w:lang w:eastAsia="zh-CN"/>
                <w14:textFill>
                  <w14:solidFill>
                    <w14:schemeClr w14:val="tx1"/>
                  </w14:solidFill>
                </w14:textFill>
              </w:rPr>
              <w:t>体系认证</w:t>
            </w:r>
            <w:r>
              <w:rPr>
                <w:rFonts w:hint="eastAsia" w:ascii="宋体" w:hAnsi="宋体" w:eastAsia="宋体" w:cs="宋体"/>
                <w:color w:val="000000" w:themeColor="text1"/>
                <w:highlight w:val="none"/>
                <w14:textFill>
                  <w14:solidFill>
                    <w14:schemeClr w14:val="tx1"/>
                  </w14:solidFill>
                </w14:textFill>
              </w:rPr>
              <w:t>。</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13.试剂具有单独的注册证（包括尿液等样本稀释液）。</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.终身技术服务支持，</w:t>
            </w:r>
            <w:r>
              <w:rPr>
                <w:rFonts w:hint="eastAsia" w:ascii="宋体" w:hAnsi="宋体" w:eastAsia="宋体" w:cs="宋体"/>
                <w:color w:val="000000" w:themeColor="text1"/>
                <w:lang w:eastAsia="zh-CN"/>
                <w14:textFill>
                  <w14:solidFill>
                    <w14:schemeClr w14:val="tx1"/>
                  </w14:solidFill>
                </w14:textFill>
              </w:rPr>
              <w:t>免费</w:t>
            </w:r>
            <w:r>
              <w:rPr>
                <w:rFonts w:hint="eastAsia" w:ascii="宋体" w:hAnsi="宋体" w:eastAsia="宋体" w:cs="宋体"/>
                <w:color w:val="000000" w:themeColor="text1"/>
                <w14:textFill>
                  <w14:solidFill>
                    <w14:schemeClr w14:val="tx1"/>
                  </w14:solidFill>
                </w14:textFill>
              </w:rPr>
              <w:t>软件升级</w:t>
            </w:r>
            <w:r>
              <w:rPr>
                <w:rFonts w:hint="eastAsia" w:ascii="宋体" w:hAnsi="宋体" w:eastAsia="宋体" w:cs="宋体"/>
                <w:color w:val="000000" w:themeColor="text1"/>
                <w:vertAlign w:val="baseline"/>
                <w14:textFill>
                  <w14:solidFill>
                    <w14:schemeClr w14:val="tx1"/>
                  </w14:solidFill>
                </w14:textFill>
              </w:rPr>
              <w:t>；厂家设有400免费服务热线电话。</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提供</w:t>
            </w:r>
            <w:r>
              <w:rPr>
                <w:rFonts w:hint="eastAsia" w:ascii="宋体" w:hAnsi="宋体" w:eastAsia="宋体" w:cs="宋体"/>
                <w:color w:val="000000" w:themeColor="text1"/>
                <w:lang w:eastAsia="zh-CN"/>
                <w14:textFill>
                  <w14:solidFill>
                    <w14:schemeClr w14:val="tx1"/>
                  </w14:solidFill>
                </w14:textFill>
              </w:rPr>
              <w:t>产品</w:t>
            </w:r>
            <w:r>
              <w:rPr>
                <w:rFonts w:hint="eastAsia" w:ascii="宋体" w:hAnsi="宋体" w:eastAsia="宋体" w:cs="宋体"/>
                <w:color w:val="000000" w:themeColor="text1"/>
                <w14:textFill>
                  <w14:solidFill>
                    <w14:schemeClr w14:val="tx1"/>
                  </w14:solidFill>
                </w14:textFill>
              </w:rPr>
              <w:t>彩页或技术白皮书的复印件</w:t>
            </w:r>
            <w:r>
              <w:rPr>
                <w:rFonts w:hint="eastAsia" w:ascii="宋体" w:hAnsi="宋体" w:eastAsia="宋体" w:cs="宋体"/>
                <w:color w:val="000000" w:themeColor="text1"/>
                <w:lang w:val="en-US" w:eastAsia="zh-CN"/>
                <w14:textFill>
                  <w14:solidFill>
                    <w14:schemeClr w14:val="tx1"/>
                  </w14:solidFill>
                </w14:textFill>
              </w:rPr>
              <w:t>(须能清晰列明1-11小项的性能参数）</w:t>
            </w:r>
            <w:r>
              <w:rPr>
                <w:rFonts w:hint="eastAsia" w:ascii="宋体" w:hAnsi="宋体" w:eastAsia="宋体" w:cs="宋体"/>
                <w:color w:val="000000" w:themeColor="text1"/>
                <w14:textFill>
                  <w14:solidFill>
                    <w14:schemeClr w14:val="tx1"/>
                  </w14:solidFill>
                </w14:textFill>
              </w:rPr>
              <w:t>。</w:t>
            </w:r>
          </w:p>
        </w:tc>
        <w:tc>
          <w:tcPr>
            <w:tcW w:w="565" w:type="dxa"/>
            <w:vAlign w:val="center"/>
          </w:tcPr>
          <w:p>
            <w:pPr>
              <w:jc w:val="center"/>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台</w:t>
            </w:r>
          </w:p>
        </w:tc>
        <w:tc>
          <w:tcPr>
            <w:tcW w:w="475" w:type="dxa"/>
            <w:vAlign w:val="center"/>
          </w:tcPr>
          <w:p>
            <w:pPr>
              <w:jc w:val="center"/>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w:t>
            </w:r>
          </w:p>
        </w:tc>
        <w:tc>
          <w:tcPr>
            <w:tcW w:w="933" w:type="dxa"/>
            <w:vAlign w:val="center"/>
          </w:tcPr>
          <w:p>
            <w:pPr>
              <w:jc w:val="righ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20000</w:t>
            </w:r>
          </w:p>
        </w:tc>
        <w:tc>
          <w:tcPr>
            <w:tcW w:w="910" w:type="dxa"/>
            <w:vAlign w:val="center"/>
          </w:tcPr>
          <w:p>
            <w:pPr>
              <w:jc w:val="right"/>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0" w:hRule="atLeast"/>
          <w:jc w:val="center"/>
        </w:trPr>
        <w:tc>
          <w:tcPr>
            <w:tcW w:w="470"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6</w:t>
            </w:r>
          </w:p>
        </w:tc>
        <w:tc>
          <w:tcPr>
            <w:tcW w:w="1317"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尿液分析仪</w:t>
            </w:r>
          </w:p>
        </w:tc>
        <w:tc>
          <w:tcPr>
            <w:tcW w:w="4062" w:type="dxa"/>
            <w:vAlign w:val="top"/>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测定原理</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冷光源反射测定原理</w:t>
            </w:r>
          </w:p>
          <w:p>
            <w:pPr>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测试波长</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两个检测波长。</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测试速度</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连续测试≥500个标本/小时</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存储功能</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≥2000个检测结果，有断电数据保护功能</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w:t>
            </w:r>
            <w:r>
              <w:rPr>
                <w:rFonts w:hint="eastAsia" w:ascii="宋体" w:hAnsi="宋体" w:eastAsia="宋体" w:cs="宋体"/>
                <w:color w:val="000000" w:themeColor="text1"/>
                <w14:textFill>
                  <w14:solidFill>
                    <w14:schemeClr w14:val="tx1"/>
                  </w14:solidFill>
                </w14:textFill>
              </w:rPr>
              <w:t>功能选项</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多项尿液检测试纸条(干式化学法)与尿液分析试纸条(干式化学法)测试功能</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w:t>
            </w:r>
            <w:r>
              <w:rPr>
                <w:rFonts w:hint="eastAsia" w:ascii="宋体" w:hAnsi="宋体" w:eastAsia="宋体" w:cs="宋体"/>
                <w:color w:val="000000" w:themeColor="text1"/>
                <w14:textFill>
                  <w14:solidFill>
                    <w14:schemeClr w14:val="tx1"/>
                  </w14:solidFill>
                </w14:textFill>
              </w:rPr>
              <w:t>试纸条选择</w:t>
            </w:r>
            <w:r>
              <w:rPr>
                <w:rFonts w:hint="eastAsia" w:ascii="宋体" w:hAnsi="宋体" w:eastAsia="宋体" w:cs="宋体"/>
                <w:color w:val="000000" w:themeColor="text1"/>
                <w:lang w:eastAsia="zh-CN"/>
                <w14:textFill>
                  <w14:solidFill>
                    <w14:schemeClr w14:val="tx1"/>
                  </w14:solidFill>
                </w14:textFill>
              </w:rPr>
              <w:t>：可选择</w:t>
            </w:r>
            <w:r>
              <w:rPr>
                <w:rFonts w:hint="eastAsia" w:ascii="宋体" w:hAnsi="宋体" w:eastAsia="宋体" w:cs="宋体"/>
                <w:color w:val="000000" w:themeColor="text1"/>
                <w14:textFill>
                  <w14:solidFill>
                    <w14:schemeClr w14:val="tx1"/>
                  </w14:solidFill>
                </w14:textFill>
              </w:rPr>
              <w:t>8</w:t>
            </w:r>
            <w:r>
              <w:rPr>
                <w:rFonts w:hint="eastAsia" w:ascii="宋体" w:hAnsi="宋体" w:eastAsia="宋体" w:cs="宋体"/>
                <w:color w:val="000000" w:themeColor="text1"/>
                <w:lang w:eastAsia="zh-CN"/>
                <w14:textFill>
                  <w14:solidFill>
                    <w14:schemeClr w14:val="tx1"/>
                  </w14:solidFill>
                </w14:textFill>
              </w:rPr>
              <w:t>项</w:t>
            </w:r>
            <w:r>
              <w:rPr>
                <w:rFonts w:hint="eastAsia" w:ascii="宋体" w:hAnsi="宋体" w:eastAsia="宋体" w:cs="宋体"/>
                <w:color w:val="000000" w:themeColor="text1"/>
                <w14:textFill>
                  <w14:solidFill>
                    <w14:schemeClr w14:val="tx1"/>
                  </w14:solidFill>
                </w14:textFill>
              </w:rPr>
              <w:t>、10</w:t>
            </w:r>
            <w:r>
              <w:rPr>
                <w:rFonts w:hint="eastAsia" w:ascii="宋体" w:hAnsi="宋体" w:eastAsia="宋体" w:cs="宋体"/>
                <w:color w:val="000000" w:themeColor="text1"/>
                <w:lang w:eastAsia="zh-CN"/>
                <w14:textFill>
                  <w14:solidFill>
                    <w14:schemeClr w14:val="tx1"/>
                  </w14:solidFill>
                </w14:textFill>
              </w:rPr>
              <w:t>项</w:t>
            </w:r>
            <w:r>
              <w:rPr>
                <w:rFonts w:hint="eastAsia" w:ascii="宋体" w:hAnsi="宋体" w:eastAsia="宋体" w:cs="宋体"/>
                <w:color w:val="000000" w:themeColor="text1"/>
                <w14:textFill>
                  <w14:solidFill>
                    <w14:schemeClr w14:val="tx1"/>
                  </w14:solidFill>
                </w14:textFill>
              </w:rPr>
              <w:t>、11</w:t>
            </w:r>
            <w:r>
              <w:rPr>
                <w:rFonts w:hint="eastAsia" w:ascii="宋体" w:hAnsi="宋体" w:eastAsia="宋体" w:cs="宋体"/>
                <w:color w:val="000000" w:themeColor="text1"/>
                <w:lang w:eastAsia="zh-CN"/>
                <w14:textFill>
                  <w14:solidFill>
                    <w14:schemeClr w14:val="tx1"/>
                  </w14:solidFill>
                </w14:textFill>
              </w:rPr>
              <w:t>项</w:t>
            </w:r>
            <w:r>
              <w:rPr>
                <w:rFonts w:hint="eastAsia" w:ascii="宋体" w:hAnsi="宋体" w:eastAsia="宋体" w:cs="宋体"/>
                <w:color w:val="000000" w:themeColor="text1"/>
                <w14:textFill>
                  <w14:solidFill>
                    <w14:schemeClr w14:val="tx1"/>
                  </w14:solidFill>
                </w14:textFill>
              </w:rPr>
              <w:t>、14项试纸条</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14:textFill>
                  <w14:solidFill>
                    <w14:schemeClr w14:val="tx1"/>
                  </w14:solidFill>
                </w14:textFill>
              </w:rPr>
              <w:t>检测项目</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白细胞、亚硝酸盐、尿胆原、蛋白质、PH值、隐血、尿比重、酮体、胆红素、葡萄糖、抗坏血酸、微量白蛋白、肌酐、尿钙</w:t>
            </w:r>
          </w:p>
          <w:p>
            <w:pPr>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w:t>
            </w:r>
            <w:r>
              <w:rPr>
                <w:rFonts w:hint="eastAsia" w:ascii="宋体" w:hAnsi="宋体" w:eastAsia="宋体" w:cs="宋体"/>
                <w:color w:val="000000" w:themeColor="text1"/>
                <w14:textFill>
                  <w14:solidFill>
                    <w14:schemeClr w14:val="tx1"/>
                  </w14:solidFill>
                </w14:textFill>
              </w:rPr>
              <w:t>屏幕</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 xml:space="preserve">≥115mm×90mm触摸式液晶显示器 </w:t>
            </w:r>
            <w:r>
              <w:rPr>
                <w:rFonts w:hint="eastAsia" w:ascii="宋体" w:hAnsi="宋体" w:eastAsia="宋体" w:cs="宋体"/>
                <w:color w:val="000000" w:themeColor="text1"/>
                <w:lang w:eastAsia="zh-CN"/>
                <w14:textFill>
                  <w14:solidFill>
                    <w14:schemeClr w14:val="tx1"/>
                  </w14:solidFill>
                </w14:textFill>
              </w:rPr>
              <w:t>。</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w:t>
            </w:r>
            <w:r>
              <w:rPr>
                <w:rFonts w:hint="eastAsia" w:ascii="宋体" w:hAnsi="宋体" w:eastAsia="宋体" w:cs="宋体"/>
                <w:color w:val="000000" w:themeColor="text1"/>
                <w14:textFill>
                  <w14:solidFill>
                    <w14:schemeClr w14:val="tx1"/>
                  </w14:solidFill>
                </w14:textFill>
              </w:rPr>
              <w:t>打印</w:t>
            </w:r>
            <w:r>
              <w:rPr>
                <w:rFonts w:hint="eastAsia" w:ascii="宋体" w:hAnsi="宋体" w:eastAsia="宋体" w:cs="宋体"/>
                <w:color w:val="000000" w:themeColor="text1"/>
                <w:lang w:val="en-US" w:eastAsia="zh-CN"/>
                <w14:textFill>
                  <w14:solidFill>
                    <w14:schemeClr w14:val="tx1"/>
                  </w14:solidFill>
                </w14:textFill>
              </w:rPr>
              <w:t>功能</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内置热敏打印机，配有外置打印机接口</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10、</w:t>
            </w:r>
            <w:r>
              <w:rPr>
                <w:rFonts w:hint="eastAsia" w:ascii="宋体" w:hAnsi="宋体" w:eastAsia="宋体" w:cs="宋体"/>
                <w:color w:val="000000" w:themeColor="text1"/>
                <w14:textFill>
                  <w14:solidFill>
                    <w14:schemeClr w14:val="tx1"/>
                  </w14:solidFill>
                </w14:textFill>
              </w:rPr>
              <w:t>联机操作</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标准RS232C输出端口可与电脑联网，进行数据管理</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11、</w:t>
            </w:r>
            <w:r>
              <w:rPr>
                <w:rFonts w:hint="eastAsia" w:ascii="宋体" w:hAnsi="宋体" w:eastAsia="宋体" w:cs="宋体"/>
                <w:color w:val="000000" w:themeColor="text1"/>
                <w14:textFill>
                  <w14:solidFill>
                    <w14:schemeClr w14:val="tx1"/>
                  </w14:solidFill>
                </w14:textFill>
              </w:rPr>
              <w:t>条码扫描仪</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标准RS232C输出端口可与条码扫描仪配套使用</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12、</w:t>
            </w:r>
            <w:r>
              <w:rPr>
                <w:rFonts w:hint="eastAsia" w:ascii="宋体" w:hAnsi="宋体" w:eastAsia="宋体" w:cs="宋体"/>
                <w:color w:val="000000" w:themeColor="text1"/>
                <w14:textFill>
                  <w14:solidFill>
                    <w14:schemeClr w14:val="tx1"/>
                  </w14:solidFill>
                </w14:textFill>
              </w:rPr>
              <w:t>工作环境</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温度：0-40℃，湿度：30%~85%</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13、</w:t>
            </w:r>
            <w:r>
              <w:rPr>
                <w:rFonts w:hint="eastAsia" w:ascii="宋体" w:hAnsi="宋体" w:eastAsia="宋体" w:cs="宋体"/>
                <w:color w:val="000000" w:themeColor="text1"/>
                <w14:textFill>
                  <w14:solidFill>
                    <w14:schemeClr w14:val="tx1"/>
                  </w14:solidFill>
                </w14:textFill>
              </w:rPr>
              <w:t>重复性</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尿液分析仪对标准灰度条的反射比进行重复测试10次，测试结果的变异系数（CV）不超过1.0%。</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14、</w:t>
            </w:r>
            <w:r>
              <w:rPr>
                <w:rFonts w:hint="eastAsia" w:ascii="宋体" w:hAnsi="宋体" w:eastAsia="宋体" w:cs="宋体"/>
                <w:color w:val="000000" w:themeColor="text1"/>
                <w14:textFill>
                  <w14:solidFill>
                    <w14:schemeClr w14:val="tx1"/>
                  </w14:solidFill>
                </w14:textFill>
              </w:rPr>
              <w:t>稳定性</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尿液分析仪开机8h内，分析仪对标准灰度条的反射比进行重复测试≥10次，测试结果的变异系数（CV）不超过1.0%</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15、</w:t>
            </w:r>
            <w:r>
              <w:rPr>
                <w:rFonts w:hint="eastAsia" w:ascii="宋体" w:hAnsi="宋体" w:eastAsia="宋体" w:cs="宋体"/>
                <w:color w:val="000000" w:themeColor="text1"/>
                <w14:textFill>
                  <w14:solidFill>
                    <w14:schemeClr w14:val="tx1"/>
                  </w14:solidFill>
                </w14:textFill>
              </w:rPr>
              <w:t>电源电压</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100V-240V</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16、</w:t>
            </w:r>
            <w:r>
              <w:rPr>
                <w:rFonts w:hint="eastAsia" w:ascii="宋体" w:hAnsi="宋体" w:eastAsia="宋体" w:cs="宋体"/>
                <w:color w:val="000000" w:themeColor="text1"/>
                <w14:textFill>
                  <w14:solidFill>
                    <w14:schemeClr w14:val="tx1"/>
                  </w14:solidFill>
                </w14:textFill>
              </w:rPr>
              <w:t>电源频率</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50Hz-60 Hz</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17、</w:t>
            </w:r>
            <w:r>
              <w:rPr>
                <w:rFonts w:hint="eastAsia" w:ascii="宋体" w:hAnsi="宋体" w:eastAsia="宋体" w:cs="宋体"/>
                <w:color w:val="000000" w:themeColor="text1"/>
                <w14:textFill>
                  <w14:solidFill>
                    <w14:schemeClr w14:val="tx1"/>
                  </w14:solidFill>
                </w14:textFill>
              </w:rPr>
              <w:t>功率</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50W</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18、</w:t>
            </w:r>
            <w:r>
              <w:rPr>
                <w:rFonts w:hint="eastAsia" w:ascii="宋体" w:hAnsi="宋体" w:eastAsia="宋体" w:cs="宋体"/>
                <w:color w:val="000000" w:themeColor="text1"/>
                <w14:textFill>
                  <w14:solidFill>
                    <w14:schemeClr w14:val="tx1"/>
                  </w14:solidFill>
                </w14:textFill>
              </w:rPr>
              <w:t>质控液</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具有原厂配套质控液（选配）</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19、</w:t>
            </w:r>
            <w:r>
              <w:rPr>
                <w:rFonts w:hint="eastAsia" w:ascii="宋体" w:hAnsi="宋体" w:eastAsia="宋体" w:cs="宋体"/>
                <w:color w:val="000000" w:themeColor="text1"/>
                <w14:textFill>
                  <w14:solidFill>
                    <w14:schemeClr w14:val="tx1"/>
                  </w14:solidFill>
                </w14:textFill>
              </w:rPr>
              <w:t>仪器重量</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4Kg</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21、</w:t>
            </w:r>
            <w:r>
              <w:rPr>
                <w:rFonts w:hint="eastAsia" w:ascii="宋体" w:hAnsi="宋体" w:eastAsia="宋体" w:cs="宋体"/>
                <w:color w:val="000000" w:themeColor="text1"/>
                <w14:textFill>
                  <w14:solidFill>
                    <w14:schemeClr w14:val="tx1"/>
                  </w14:solidFill>
                </w14:textFill>
              </w:rPr>
              <w:t>使用期限</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≥十年</w:t>
            </w:r>
          </w:p>
          <w:p>
            <w:pPr>
              <w:jc w:val="left"/>
              <w:rPr>
                <w:rFonts w:hint="eastAsia" w:ascii="宋体" w:hAnsi="宋体" w:eastAsia="宋体" w:cs="宋体"/>
                <w:color w:val="000000" w:themeColor="text1"/>
                <w:vertAlign w:val="baseline"/>
                <w14:textFill>
                  <w14:solidFill>
                    <w14:schemeClr w14:val="tx1"/>
                  </w14:solidFill>
                </w14:textFill>
              </w:rPr>
            </w:pPr>
          </w:p>
        </w:tc>
        <w:tc>
          <w:tcPr>
            <w:tcW w:w="565" w:type="dxa"/>
            <w:vAlign w:val="center"/>
          </w:tcPr>
          <w:p>
            <w:pPr>
              <w:jc w:val="center"/>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台</w:t>
            </w:r>
          </w:p>
        </w:tc>
        <w:tc>
          <w:tcPr>
            <w:tcW w:w="475" w:type="dxa"/>
            <w:vAlign w:val="center"/>
          </w:tcPr>
          <w:p>
            <w:pPr>
              <w:jc w:val="center"/>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w:t>
            </w:r>
          </w:p>
        </w:tc>
        <w:tc>
          <w:tcPr>
            <w:tcW w:w="933" w:type="dxa"/>
            <w:vAlign w:val="center"/>
          </w:tcPr>
          <w:p>
            <w:pPr>
              <w:jc w:val="righ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3800</w:t>
            </w:r>
          </w:p>
        </w:tc>
        <w:tc>
          <w:tcPr>
            <w:tcW w:w="910" w:type="dxa"/>
            <w:vAlign w:val="center"/>
          </w:tcPr>
          <w:p>
            <w:pPr>
              <w:jc w:val="right"/>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70" w:type="dxa"/>
            <w:vAlign w:val="center"/>
          </w:tcPr>
          <w:p>
            <w:pPr>
              <w:jc w:val="center"/>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7</w:t>
            </w:r>
          </w:p>
        </w:tc>
        <w:tc>
          <w:tcPr>
            <w:tcW w:w="1317"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台式低速离心机</w:t>
            </w:r>
          </w:p>
        </w:tc>
        <w:tc>
          <w:tcPr>
            <w:tcW w:w="4062" w:type="dxa"/>
            <w:vAlign w:val="top"/>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最高转速</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4000rpm</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最大离心力</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2580×g</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最大容量</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12×20ml 标配转子</w:t>
            </w: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4x7/10ml(适配采血管)</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转速控制精度</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±10rpm</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w:t>
            </w:r>
            <w:r>
              <w:rPr>
                <w:rFonts w:hint="eastAsia" w:ascii="宋体" w:hAnsi="宋体" w:eastAsia="宋体" w:cs="宋体"/>
                <w:color w:val="000000" w:themeColor="text1"/>
                <w14:textFill>
                  <w14:solidFill>
                    <w14:schemeClr w14:val="tx1"/>
                  </w14:solidFill>
                </w14:textFill>
              </w:rPr>
              <w:t>定时范围</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1min-99h59min</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w:t>
            </w:r>
            <w:r>
              <w:rPr>
                <w:rFonts w:hint="eastAsia" w:ascii="宋体" w:hAnsi="宋体" w:eastAsia="宋体" w:cs="宋体"/>
                <w:color w:val="000000" w:themeColor="text1"/>
                <w14:textFill>
                  <w14:solidFill>
                    <w14:schemeClr w14:val="tx1"/>
                  </w14:solidFill>
                </w14:textFill>
              </w:rPr>
              <w:t>显示方式</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LCD液晶显示</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14:textFill>
                  <w14:solidFill>
                    <w14:schemeClr w14:val="tx1"/>
                  </w14:solidFill>
                </w14:textFill>
              </w:rPr>
              <w:t>电机</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直流无刷电机</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w:t>
            </w:r>
            <w:r>
              <w:rPr>
                <w:rFonts w:hint="eastAsia" w:ascii="宋体" w:hAnsi="宋体" w:eastAsia="宋体" w:cs="宋体"/>
                <w:color w:val="000000" w:themeColor="text1"/>
                <w14:textFill>
                  <w14:solidFill>
                    <w14:schemeClr w14:val="tx1"/>
                  </w14:solidFill>
                </w14:textFill>
              </w:rPr>
              <w:t>整机噪音</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≤55dB(A)</w:t>
            </w:r>
          </w:p>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w:t>
            </w:r>
            <w:r>
              <w:rPr>
                <w:rFonts w:hint="eastAsia" w:ascii="宋体" w:hAnsi="宋体" w:eastAsia="宋体" w:cs="宋体"/>
                <w:color w:val="000000" w:themeColor="text1"/>
                <w14:textFill>
                  <w14:solidFill>
                    <w14:schemeClr w14:val="tx1"/>
                  </w14:solidFill>
                </w14:textFill>
              </w:rPr>
              <w:t>整机功率</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110W</w:t>
            </w:r>
          </w:p>
          <w:p>
            <w:pPr>
              <w:jc w:val="left"/>
              <w:rPr>
                <w:rFonts w:hint="eastAsia" w:ascii="宋体" w:hAnsi="宋体" w:eastAsia="宋体" w:cs="宋体"/>
                <w:color w:val="000000" w:themeColor="text1"/>
                <w:vertAlign w:val="baseline"/>
                <w14:textFill>
                  <w14:solidFill>
                    <w14:schemeClr w14:val="tx1"/>
                  </w14:solidFill>
                </w14:textFill>
              </w:rPr>
            </w:pPr>
          </w:p>
        </w:tc>
        <w:tc>
          <w:tcPr>
            <w:tcW w:w="565"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台</w:t>
            </w:r>
          </w:p>
        </w:tc>
        <w:tc>
          <w:tcPr>
            <w:tcW w:w="475"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w:t>
            </w:r>
          </w:p>
        </w:tc>
        <w:tc>
          <w:tcPr>
            <w:tcW w:w="933" w:type="dxa"/>
            <w:vAlign w:val="center"/>
          </w:tcPr>
          <w:p>
            <w:pPr>
              <w:jc w:val="right"/>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5800</w:t>
            </w:r>
          </w:p>
        </w:tc>
        <w:tc>
          <w:tcPr>
            <w:tcW w:w="910" w:type="dxa"/>
            <w:vAlign w:val="center"/>
          </w:tcPr>
          <w:p>
            <w:pPr>
              <w:jc w:val="right"/>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470" w:type="dxa"/>
            <w:vAlign w:val="center"/>
          </w:tcPr>
          <w:p>
            <w:pPr>
              <w:jc w:val="center"/>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8</w:t>
            </w:r>
          </w:p>
        </w:tc>
        <w:tc>
          <w:tcPr>
            <w:tcW w:w="1317"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highlight w:val="none"/>
                <w:vertAlign w:val="baseline"/>
                <w:lang w:val="en-US" w:eastAsia="zh-CN"/>
                <w14:textFill>
                  <w14:solidFill>
                    <w14:schemeClr w14:val="tx1"/>
                  </w14:solidFill>
                </w14:textFill>
              </w:rPr>
              <w:t>稳压电源</w:t>
            </w:r>
          </w:p>
        </w:tc>
        <w:tc>
          <w:tcPr>
            <w:tcW w:w="4062" w:type="dxa"/>
            <w:vAlign w:val="top"/>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工作站UPS电源产品参数：（功率要求6KVA 功率因数0.9）</w:t>
            </w:r>
          </w:p>
          <w:p>
            <w:pPr>
              <w:numPr>
                <w:ilvl w:val="0"/>
                <w:numId w:val="1"/>
              </w:num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UPS主机有直流启动功能，在没有市电供应的情况下，能使用UPS。</w:t>
            </w:r>
          </w:p>
          <w:p>
            <w:pPr>
              <w:numPr>
                <w:ilvl w:val="0"/>
                <w:numId w:val="1"/>
              </w:num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具有定时开关机的功能。有自动重启功能。</w:t>
            </w:r>
          </w:p>
          <w:p>
            <w:pPr>
              <w:numPr>
                <w:ilvl w:val="0"/>
                <w:numId w:val="1"/>
              </w:num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具用远程监控功能，实现无人化的目标。</w:t>
            </w:r>
          </w:p>
          <w:p>
            <w:pPr>
              <w:numPr>
                <w:ilvl w:val="0"/>
                <w:numId w:val="1"/>
              </w:numPr>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具有ECO节能模式功能</w:t>
            </w:r>
          </w:p>
        </w:tc>
        <w:tc>
          <w:tcPr>
            <w:tcW w:w="565" w:type="dxa"/>
            <w:vAlign w:val="center"/>
          </w:tcPr>
          <w:p>
            <w:pPr>
              <w:jc w:val="center"/>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台</w:t>
            </w:r>
          </w:p>
        </w:tc>
        <w:tc>
          <w:tcPr>
            <w:tcW w:w="475" w:type="dxa"/>
            <w:vAlign w:val="center"/>
          </w:tcPr>
          <w:p>
            <w:pPr>
              <w:jc w:val="center"/>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w:t>
            </w:r>
          </w:p>
        </w:tc>
        <w:tc>
          <w:tcPr>
            <w:tcW w:w="933" w:type="dxa"/>
            <w:vAlign w:val="center"/>
          </w:tcPr>
          <w:p>
            <w:pPr>
              <w:jc w:val="right"/>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6000</w:t>
            </w:r>
          </w:p>
        </w:tc>
        <w:tc>
          <w:tcPr>
            <w:tcW w:w="910" w:type="dxa"/>
            <w:vAlign w:val="center"/>
          </w:tcPr>
          <w:p>
            <w:pPr>
              <w:jc w:val="right"/>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5" w:hRule="atLeast"/>
          <w:jc w:val="center"/>
        </w:trPr>
        <w:tc>
          <w:tcPr>
            <w:tcW w:w="470" w:type="dxa"/>
            <w:vAlign w:val="center"/>
          </w:tcPr>
          <w:p>
            <w:pPr>
              <w:jc w:val="center"/>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9</w:t>
            </w:r>
          </w:p>
        </w:tc>
        <w:tc>
          <w:tcPr>
            <w:tcW w:w="1317"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检验专用纯水系统</w:t>
            </w:r>
          </w:p>
        </w:tc>
        <w:tc>
          <w:tcPr>
            <w:tcW w:w="4062" w:type="dxa"/>
            <w:tcFitText/>
            <w:vAlign w:val="top"/>
          </w:tcPr>
          <w:p>
            <w:pPr>
              <w:jc w:val="left"/>
              <w:rPr>
                <w:rFonts w:hint="eastAsia" w:ascii="宋体" w:hAnsi="宋体" w:eastAsia="宋体" w:cs="宋体"/>
                <w:color w:val="000000" w:themeColor="text1"/>
                <w:spacing w:val="0"/>
                <w:lang w:val="en-US" w:eastAsia="zh-CN"/>
                <w14:textFill>
                  <w14:solidFill>
                    <w14:schemeClr w14:val="tx1"/>
                  </w14:solidFill>
                </w14:textFill>
              </w:rPr>
            </w:pPr>
            <w:r>
              <w:rPr>
                <w:rFonts w:hint="eastAsia" w:ascii="宋体" w:hAnsi="宋体" w:eastAsia="宋体" w:cs="宋体"/>
                <w:color w:val="000000" w:themeColor="text1"/>
                <w:spacing w:val="67"/>
                <w:lang w:val="en-US" w:eastAsia="zh-CN"/>
                <w14:textFill>
                  <w14:solidFill>
                    <w14:schemeClr w14:val="tx1"/>
                  </w14:solidFill>
                </w14:textFill>
              </w:rPr>
              <w:t>1、进水水源：市政自来</w:t>
            </w:r>
            <w:r>
              <w:rPr>
                <w:rFonts w:hint="eastAsia" w:ascii="宋体" w:hAnsi="宋体" w:eastAsia="宋体" w:cs="宋体"/>
                <w:color w:val="000000" w:themeColor="text1"/>
                <w:spacing w:val="0"/>
                <w:lang w:val="en-US" w:eastAsia="zh-CN"/>
                <w14:textFill>
                  <w14:solidFill>
                    <w14:schemeClr w14:val="tx1"/>
                  </w14:solidFill>
                </w14:textFill>
              </w:rPr>
              <w:t>水</w:t>
            </w:r>
          </w:p>
          <w:p>
            <w:pPr>
              <w:jc w:val="left"/>
              <w:rPr>
                <w:rFonts w:hint="eastAsia" w:ascii="宋体" w:hAnsi="宋体" w:eastAsia="宋体" w:cs="宋体"/>
                <w:color w:val="000000" w:themeColor="text1"/>
                <w:spacing w:val="0"/>
                <w:lang w:val="en-US" w:eastAsia="zh-CN"/>
                <w14:textFill>
                  <w14:solidFill>
                    <w14:schemeClr w14:val="tx1"/>
                  </w14:solidFill>
                </w14:textFill>
              </w:rPr>
            </w:pPr>
            <w:r>
              <w:rPr>
                <w:rFonts w:hint="eastAsia" w:ascii="宋体" w:hAnsi="宋体" w:eastAsia="宋体" w:cs="宋体"/>
                <w:color w:val="000000" w:themeColor="text1"/>
                <w:spacing w:val="0"/>
                <w:lang w:val="en-US" w:eastAsia="zh-CN"/>
                <w14:textFill>
                  <w14:solidFill>
                    <w14:schemeClr w14:val="tx1"/>
                  </w14:solidFill>
                </w14:textFill>
              </w:rPr>
              <w:t xml:space="preserve">2、产水量：≥40L/H </w:t>
            </w:r>
          </w:p>
          <w:p>
            <w:pPr>
              <w:jc w:val="left"/>
              <w:rPr>
                <w:rFonts w:hint="eastAsia" w:ascii="宋体" w:hAnsi="宋体" w:eastAsia="宋体" w:cs="宋体"/>
                <w:color w:val="000000" w:themeColor="text1"/>
                <w:spacing w:val="0"/>
                <w:lang w:val="en-US" w:eastAsia="zh-CN"/>
                <w14:textFill>
                  <w14:solidFill>
                    <w14:schemeClr w14:val="tx1"/>
                  </w14:solidFill>
                </w14:textFill>
              </w:rPr>
            </w:pPr>
            <w:r>
              <w:rPr>
                <w:rFonts w:hint="eastAsia" w:ascii="宋体" w:hAnsi="宋体" w:eastAsia="宋体" w:cs="宋体"/>
                <w:color w:val="000000" w:themeColor="text1"/>
                <w:spacing w:val="0"/>
                <w:lang w:val="en-US" w:eastAsia="zh-CN"/>
                <w14:textFill>
                  <w14:solidFill>
                    <w14:schemeClr w14:val="tx1"/>
                  </w14:solidFill>
                </w14:textFill>
              </w:rPr>
              <w:t>3、取水速度：3-5L/min</w:t>
            </w:r>
          </w:p>
          <w:p>
            <w:pPr>
              <w:jc w:val="left"/>
              <w:rPr>
                <w:rFonts w:hint="eastAsia" w:ascii="宋体" w:hAnsi="宋体" w:eastAsia="宋体" w:cs="宋体"/>
                <w:color w:val="000000" w:themeColor="text1"/>
                <w:spacing w:val="0"/>
                <w:lang w:val="en-US" w:eastAsia="zh-CN"/>
                <w14:textFill>
                  <w14:solidFill>
                    <w14:schemeClr w14:val="tx1"/>
                  </w14:solidFill>
                </w14:textFill>
              </w:rPr>
            </w:pPr>
            <w:r>
              <w:rPr>
                <w:rFonts w:hint="eastAsia" w:ascii="宋体" w:hAnsi="宋体" w:eastAsia="宋体" w:cs="宋体"/>
                <w:color w:val="000000" w:themeColor="text1"/>
                <w:spacing w:val="0"/>
                <w:lang w:val="en-US" w:eastAsia="zh-CN"/>
                <w14:textFill>
                  <w14:solidFill>
                    <w14:schemeClr w14:val="tx1"/>
                  </w14:solidFill>
                </w14:textFill>
              </w:rPr>
              <w:t>4、产水指标：电阻率：≤18.2MΩ.cm@25℃；重金属＜0.01mg/l；细菌去除率＞99.6%；总有机碳（TOC）＜10ppb； 微颗粒物:(＞0.2um)＜1个/ml。</w:t>
            </w:r>
          </w:p>
          <w:p>
            <w:pPr>
              <w:jc w:val="left"/>
              <w:rPr>
                <w:rFonts w:hint="eastAsia" w:ascii="宋体" w:hAnsi="宋体" w:eastAsia="宋体" w:cs="宋体"/>
                <w:color w:val="000000" w:themeColor="text1"/>
                <w:spacing w:val="0"/>
                <w:lang w:val="en-US" w:eastAsia="zh-CN"/>
                <w14:textFill>
                  <w14:solidFill>
                    <w14:schemeClr w14:val="tx1"/>
                  </w14:solidFill>
                </w14:textFill>
              </w:rPr>
            </w:pPr>
            <w:r>
              <w:rPr>
                <w:rFonts w:hint="eastAsia" w:ascii="宋体" w:hAnsi="宋体" w:eastAsia="宋体" w:cs="宋体"/>
                <w:color w:val="000000" w:themeColor="text1"/>
                <w:spacing w:val="0"/>
                <w:lang w:val="en-US" w:eastAsia="zh-CN"/>
                <w14:textFill>
                  <w14:solidFill>
                    <w14:schemeClr w14:val="tx1"/>
                  </w14:solidFill>
                </w14:textFill>
              </w:rPr>
              <w:t>5、电源/功率：220V/50Hz  60-120W</w:t>
            </w:r>
          </w:p>
          <w:p>
            <w:pPr>
              <w:jc w:val="left"/>
              <w:rPr>
                <w:rFonts w:hint="eastAsia" w:ascii="宋体" w:hAnsi="宋体" w:eastAsia="宋体" w:cs="宋体"/>
                <w:color w:val="000000" w:themeColor="text1"/>
                <w:spacing w:val="0"/>
                <w14:textFill>
                  <w14:solidFill>
                    <w14:schemeClr w14:val="tx1"/>
                  </w14:solidFill>
                </w14:textFill>
              </w:rPr>
            </w:pPr>
            <w:r>
              <w:rPr>
                <w:rFonts w:hint="eastAsia" w:ascii="宋体" w:hAnsi="宋体" w:eastAsia="宋体" w:cs="宋体"/>
                <w:color w:val="000000" w:themeColor="text1"/>
                <w:spacing w:val="0"/>
                <w:lang w:val="en-US" w:eastAsia="zh-CN"/>
                <w14:textFill>
                  <w14:solidFill>
                    <w14:schemeClr w14:val="tx1"/>
                  </w14:solidFill>
                </w14:textFill>
              </w:rPr>
              <w:t>6、外型尺寸（mm）：≤570×370×930</w:t>
            </w:r>
            <w:r>
              <w:rPr>
                <w:rFonts w:hint="eastAsia" w:ascii="宋体" w:hAnsi="宋体" w:eastAsia="宋体" w:cs="宋体"/>
                <w:color w:val="000000" w:themeColor="text1"/>
                <w:spacing w:val="0"/>
                <w14:textFill>
                  <w14:solidFill>
                    <w14:schemeClr w14:val="tx1"/>
                  </w14:solidFill>
                </w14:textFill>
              </w:rPr>
              <w:t>（</w:t>
            </w:r>
            <w:r>
              <w:rPr>
                <w:rFonts w:hint="eastAsia" w:ascii="宋体" w:hAnsi="宋体" w:eastAsia="宋体" w:cs="宋体"/>
                <w:color w:val="000000" w:themeColor="text1"/>
                <w:spacing w:val="0"/>
                <w:lang w:val="en-US" w:eastAsia="zh-CN"/>
                <w14:textFill>
                  <w14:solidFill>
                    <w14:schemeClr w14:val="tx1"/>
                  </w14:solidFill>
                </w14:textFill>
              </w:rPr>
              <w:t>长</w:t>
            </w:r>
            <w:r>
              <w:rPr>
                <w:rFonts w:hint="eastAsia" w:ascii="宋体" w:hAnsi="宋体" w:eastAsia="宋体" w:cs="宋体"/>
                <w:color w:val="000000" w:themeColor="text1"/>
                <w:spacing w:val="0"/>
                <w14:textFill>
                  <w14:solidFill>
                    <w14:schemeClr w14:val="tx1"/>
                  </w14:solidFill>
                </w14:textFill>
              </w:rPr>
              <w:t>×</w:t>
            </w:r>
            <w:r>
              <w:rPr>
                <w:rFonts w:hint="eastAsia" w:ascii="宋体" w:hAnsi="宋体" w:eastAsia="宋体" w:cs="宋体"/>
                <w:color w:val="000000" w:themeColor="text1"/>
                <w:spacing w:val="0"/>
                <w:lang w:val="en-US" w:eastAsia="zh-CN"/>
                <w14:textFill>
                  <w14:solidFill>
                    <w14:schemeClr w14:val="tx1"/>
                  </w14:solidFill>
                </w14:textFill>
              </w:rPr>
              <w:t>宽</w:t>
            </w:r>
            <w:r>
              <w:rPr>
                <w:rFonts w:hint="eastAsia" w:ascii="宋体" w:hAnsi="宋体" w:eastAsia="宋体" w:cs="宋体"/>
                <w:color w:val="000000" w:themeColor="text1"/>
                <w:spacing w:val="0"/>
                <w14:textFill>
                  <w14:solidFill>
                    <w14:schemeClr w14:val="tx1"/>
                  </w14:solidFill>
                </w14:textFill>
              </w:rPr>
              <w:t>×</w:t>
            </w:r>
            <w:r>
              <w:rPr>
                <w:rFonts w:hint="eastAsia" w:ascii="宋体" w:hAnsi="宋体" w:eastAsia="宋体" w:cs="宋体"/>
                <w:color w:val="000000" w:themeColor="text1"/>
                <w:spacing w:val="0"/>
                <w:lang w:val="en-US" w:eastAsia="zh-CN"/>
                <w14:textFill>
                  <w14:solidFill>
                    <w14:schemeClr w14:val="tx1"/>
                  </w14:solidFill>
                </w14:textFill>
              </w:rPr>
              <w:t>高</w:t>
            </w:r>
            <w:r>
              <w:rPr>
                <w:rFonts w:hint="eastAsia" w:ascii="宋体" w:hAnsi="宋体" w:eastAsia="宋体" w:cs="宋体"/>
                <w:color w:val="000000" w:themeColor="text1"/>
                <w:spacing w:val="0"/>
                <w14:textFill>
                  <w14:solidFill>
                    <w14:schemeClr w14:val="tx1"/>
                  </w14:solidFill>
                </w14:textFill>
              </w:rPr>
              <w:t>）</w:t>
            </w:r>
          </w:p>
          <w:p>
            <w:pPr>
              <w:jc w:val="left"/>
              <w:rPr>
                <w:rFonts w:hint="eastAsia" w:ascii="宋体" w:hAnsi="宋体" w:eastAsia="宋体" w:cs="宋体"/>
                <w:color w:val="000000" w:themeColor="text1"/>
                <w:spacing w:val="0"/>
                <w:lang w:val="en-US" w:eastAsia="zh-CN"/>
                <w14:textFill>
                  <w14:solidFill>
                    <w14:schemeClr w14:val="tx1"/>
                  </w14:solidFill>
                </w14:textFill>
              </w:rPr>
            </w:pPr>
            <w:r>
              <w:rPr>
                <w:rFonts w:hint="eastAsia" w:ascii="宋体" w:hAnsi="宋体" w:eastAsia="宋体" w:cs="宋体"/>
                <w:color w:val="000000" w:themeColor="text1"/>
                <w:spacing w:val="0"/>
                <w:lang w:val="en-US" w:eastAsia="zh-CN"/>
                <w14:textFill>
                  <w14:solidFill>
                    <w14:schemeClr w14:val="tx1"/>
                  </w14:solidFill>
                </w14:textFill>
              </w:rPr>
              <w:t>7、系统采用智能集成电路控制板连续产水，开机自检、缺水保护报警、停电自动保护、水箱缺水自动制水、水箱满水自动停机、超低压保护、RO膜自动冲洗等功能；</w:t>
            </w:r>
          </w:p>
          <w:p>
            <w:pPr>
              <w:jc w:val="left"/>
              <w:rPr>
                <w:rFonts w:hint="eastAsia" w:ascii="宋体" w:hAnsi="宋体" w:eastAsia="宋体" w:cs="宋体"/>
                <w:color w:val="000000" w:themeColor="text1"/>
                <w:spacing w:val="0"/>
                <w:lang w:val="en-US" w:eastAsia="zh-CN"/>
                <w14:textFill>
                  <w14:solidFill>
                    <w14:schemeClr w14:val="tx1"/>
                  </w14:solidFill>
                </w14:textFill>
              </w:rPr>
            </w:pPr>
            <w:r>
              <w:rPr>
                <w:rFonts w:hint="eastAsia" w:ascii="宋体" w:hAnsi="宋体" w:eastAsia="宋体" w:cs="宋体"/>
                <w:color w:val="000000" w:themeColor="text1"/>
                <w:spacing w:val="0"/>
                <w:lang w:val="en-US" w:eastAsia="zh-CN"/>
                <w14:textFill>
                  <w14:solidFill>
                    <w14:schemeClr w14:val="tx1"/>
                  </w14:solidFill>
                </w14:textFill>
              </w:rPr>
              <w:t>8、设备采用定量耗材管理系统，可根据用户用水水质情况、耗材失效进行提示，及时告知客户设备运行情况；</w:t>
            </w:r>
          </w:p>
          <w:p>
            <w:pPr>
              <w:jc w:val="left"/>
              <w:rPr>
                <w:rFonts w:hint="eastAsia" w:ascii="宋体" w:hAnsi="宋体" w:eastAsia="宋体" w:cs="宋体"/>
                <w:color w:val="000000" w:themeColor="text1"/>
                <w:spacing w:val="0"/>
                <w:lang w:val="en-US" w:eastAsia="zh-CN"/>
                <w14:textFill>
                  <w14:solidFill>
                    <w14:schemeClr w14:val="tx1"/>
                  </w14:solidFill>
                </w14:textFill>
              </w:rPr>
            </w:pPr>
            <w:r>
              <w:rPr>
                <w:rFonts w:hint="eastAsia" w:ascii="宋体" w:hAnsi="宋体" w:eastAsia="宋体" w:cs="宋体"/>
                <w:color w:val="000000" w:themeColor="text1"/>
                <w:spacing w:val="0"/>
                <w:lang w:val="en-US" w:eastAsia="zh-CN"/>
                <w14:textFill>
                  <w14:solidFill>
                    <w14:schemeClr w14:val="tx1"/>
                  </w14:solidFill>
                </w14:textFill>
              </w:rPr>
              <w:t>9、设备具有进水/进膜压力、水质、水温、运行状态在线监测，LCD液晶大屏实时在线显示；</w:t>
            </w:r>
          </w:p>
          <w:p>
            <w:pPr>
              <w:jc w:val="left"/>
              <w:rPr>
                <w:rFonts w:hint="eastAsia" w:ascii="宋体" w:hAnsi="宋体" w:eastAsia="宋体" w:cs="宋体"/>
                <w:color w:val="000000" w:themeColor="text1"/>
                <w:spacing w:val="0"/>
                <w:lang w:val="en-US" w:eastAsia="zh-CN"/>
                <w14:textFill>
                  <w14:solidFill>
                    <w14:schemeClr w14:val="tx1"/>
                  </w14:solidFill>
                </w14:textFill>
              </w:rPr>
            </w:pPr>
            <w:r>
              <w:rPr>
                <w:rFonts w:hint="eastAsia" w:ascii="宋体" w:hAnsi="宋体" w:eastAsia="宋体" w:cs="宋体"/>
                <w:color w:val="000000" w:themeColor="text1"/>
                <w:spacing w:val="0"/>
                <w:lang w:val="en-US" w:eastAsia="zh-CN"/>
                <w14:textFill>
                  <w14:solidFill>
                    <w14:schemeClr w14:val="tx1"/>
                  </w14:solidFill>
                </w14:textFill>
              </w:rPr>
              <w:t>10、设备具有连续不间断制水时间过长保护功能；</w:t>
            </w:r>
          </w:p>
          <w:p>
            <w:pPr>
              <w:jc w:val="left"/>
              <w:rPr>
                <w:rFonts w:hint="eastAsia" w:ascii="宋体" w:hAnsi="宋体" w:eastAsia="宋体" w:cs="宋体"/>
                <w:color w:val="000000" w:themeColor="text1"/>
                <w:spacing w:val="0"/>
                <w14:textFill>
                  <w14:solidFill>
                    <w14:schemeClr w14:val="tx1"/>
                  </w14:solidFill>
                </w14:textFill>
              </w:rPr>
            </w:pPr>
            <w:r>
              <w:rPr>
                <w:rFonts w:hint="eastAsia" w:ascii="宋体" w:hAnsi="宋体" w:eastAsia="宋体" w:cs="宋体"/>
                <w:color w:val="000000" w:themeColor="text1"/>
                <w:spacing w:val="0"/>
                <w:lang w:val="en-US" w:eastAsia="zh-CN"/>
                <w14:textFill>
                  <w14:solidFill>
                    <w14:schemeClr w14:val="tx1"/>
                  </w14:solidFill>
                </w14:textFill>
              </w:rPr>
              <w:t>11、滤芯组件具有同品牌的卫生安全产品卫</w:t>
            </w:r>
            <w:r>
              <w:rPr>
                <w:rFonts w:hint="eastAsia" w:ascii="宋体" w:hAnsi="宋体" w:eastAsia="宋体" w:cs="宋体"/>
                <w:color w:val="000000" w:themeColor="text1"/>
                <w:spacing w:val="0"/>
                <w14:textFill>
                  <w14:solidFill>
                    <w14:schemeClr w14:val="tx1"/>
                  </w14:solidFill>
                </w14:textFill>
              </w:rPr>
              <w:t>生许可批件；</w:t>
            </w:r>
          </w:p>
          <w:p>
            <w:pPr>
              <w:jc w:val="left"/>
              <w:rPr>
                <w:rFonts w:hint="eastAsia" w:ascii="宋体" w:hAnsi="宋体" w:eastAsia="宋体" w:cs="宋体"/>
                <w:color w:val="000000" w:themeColor="text1"/>
                <w:spacing w:val="0"/>
                <w14:textFill>
                  <w14:solidFill>
                    <w14:schemeClr w14:val="tx1"/>
                  </w14:solidFill>
                </w14:textFill>
              </w:rPr>
            </w:pPr>
            <w:r>
              <w:rPr>
                <w:rFonts w:hint="eastAsia" w:ascii="宋体" w:hAnsi="宋体" w:eastAsia="宋体" w:cs="宋体"/>
                <w:color w:val="000000" w:themeColor="text1"/>
                <w:spacing w:val="0"/>
                <w:lang w:val="en-US" w:eastAsia="zh-CN"/>
                <w14:textFill>
                  <w14:solidFill>
                    <w14:schemeClr w14:val="tx1"/>
                  </w14:solidFill>
                </w14:textFill>
              </w:rPr>
              <w:t>12、</w:t>
            </w:r>
            <w:r>
              <w:rPr>
                <w:rFonts w:hint="eastAsia" w:ascii="宋体" w:hAnsi="宋体" w:eastAsia="宋体" w:cs="宋体"/>
                <w:color w:val="000000" w:themeColor="text1"/>
                <w:spacing w:val="0"/>
                <w14:textFill>
                  <w14:solidFill>
                    <w14:schemeClr w14:val="tx1"/>
                  </w14:solidFill>
                </w14:textFill>
              </w:rPr>
              <w:t>采用注塑式大容量一体化预处理柱及离子交换柱；</w:t>
            </w:r>
          </w:p>
          <w:p>
            <w:pPr>
              <w:jc w:val="left"/>
              <w:rPr>
                <w:rFonts w:hint="eastAsia" w:ascii="宋体" w:hAnsi="宋体" w:eastAsia="宋体" w:cs="宋体"/>
                <w:color w:val="000000" w:themeColor="text1"/>
                <w:spacing w:val="0"/>
                <w14:textFill>
                  <w14:solidFill>
                    <w14:schemeClr w14:val="tx1"/>
                  </w14:solidFill>
                </w14:textFill>
              </w:rPr>
            </w:pPr>
            <w:r>
              <w:rPr>
                <w:rFonts w:hint="eastAsia" w:ascii="宋体" w:hAnsi="宋体" w:eastAsia="宋体" w:cs="宋体"/>
                <w:color w:val="000000" w:themeColor="text1"/>
                <w:spacing w:val="0"/>
                <w:lang w:val="en-US" w:eastAsia="zh-CN"/>
                <w14:textFill>
                  <w14:solidFill>
                    <w14:schemeClr w14:val="tx1"/>
                  </w14:solidFill>
                </w14:textFill>
              </w:rPr>
              <w:t>13、</w:t>
            </w:r>
            <w:r>
              <w:rPr>
                <w:rFonts w:hint="eastAsia" w:ascii="宋体" w:hAnsi="宋体" w:eastAsia="宋体" w:cs="宋体"/>
                <w:color w:val="000000" w:themeColor="text1"/>
                <w:spacing w:val="0"/>
                <w14:textFill>
                  <w14:solidFill>
                    <w14:schemeClr w14:val="tx1"/>
                  </w14:solidFill>
                </w14:textFill>
              </w:rPr>
              <w:t>主机配有独立取水口；</w:t>
            </w:r>
          </w:p>
          <w:p>
            <w:pPr>
              <w:jc w:val="left"/>
              <w:rPr>
                <w:rFonts w:hint="eastAsia" w:ascii="宋体" w:hAnsi="宋体" w:eastAsia="宋体" w:cs="宋体"/>
                <w:color w:val="000000" w:themeColor="text1"/>
                <w:spacing w:val="0"/>
                <w14:textFill>
                  <w14:solidFill>
                    <w14:schemeClr w14:val="tx1"/>
                  </w14:solidFill>
                </w14:textFill>
              </w:rPr>
            </w:pPr>
            <w:r>
              <w:rPr>
                <w:rFonts w:hint="eastAsia" w:ascii="宋体" w:hAnsi="宋体" w:eastAsia="宋体" w:cs="宋体"/>
                <w:color w:val="000000" w:themeColor="text1"/>
                <w:spacing w:val="0"/>
                <w:lang w:val="en-US" w:eastAsia="zh-CN"/>
                <w14:textFill>
                  <w14:solidFill>
                    <w14:schemeClr w14:val="tx1"/>
                  </w14:solidFill>
                </w14:textFill>
              </w:rPr>
              <w:t>14、</w:t>
            </w:r>
            <w:r>
              <w:rPr>
                <w:rFonts w:hint="eastAsia" w:ascii="宋体" w:hAnsi="宋体" w:eastAsia="宋体" w:cs="宋体"/>
                <w:color w:val="000000" w:themeColor="text1"/>
                <w:spacing w:val="0"/>
                <w14:textFill>
                  <w14:solidFill>
                    <w14:schemeClr w14:val="tx1"/>
                  </w14:solidFill>
                </w14:textFill>
              </w:rPr>
              <w:t>若自来水水压临近启动点波动过大频繁启动，设备设有程序触摸按键应急启动，同时设有备用触摸按键；</w:t>
            </w:r>
          </w:p>
          <w:p>
            <w:pPr>
              <w:jc w:val="left"/>
              <w:rPr>
                <w:rFonts w:hint="eastAsia" w:ascii="宋体" w:hAnsi="宋体" w:eastAsia="宋体" w:cs="宋体"/>
                <w:color w:val="000000" w:themeColor="text1"/>
                <w:spacing w:val="0"/>
                <w14:textFill>
                  <w14:solidFill>
                    <w14:schemeClr w14:val="tx1"/>
                  </w14:solidFill>
                </w14:textFill>
              </w:rPr>
            </w:pPr>
          </w:p>
        </w:tc>
        <w:tc>
          <w:tcPr>
            <w:tcW w:w="565" w:type="dxa"/>
            <w:vAlign w:val="center"/>
          </w:tcPr>
          <w:p>
            <w:pPr>
              <w:jc w:val="center"/>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台</w:t>
            </w:r>
          </w:p>
        </w:tc>
        <w:tc>
          <w:tcPr>
            <w:tcW w:w="475" w:type="dxa"/>
            <w:vAlign w:val="center"/>
          </w:tcPr>
          <w:p>
            <w:pPr>
              <w:jc w:val="center"/>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w:t>
            </w:r>
          </w:p>
        </w:tc>
        <w:tc>
          <w:tcPr>
            <w:tcW w:w="933" w:type="dxa"/>
            <w:vAlign w:val="center"/>
          </w:tcPr>
          <w:p>
            <w:pPr>
              <w:jc w:val="right"/>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6000</w:t>
            </w:r>
          </w:p>
        </w:tc>
        <w:tc>
          <w:tcPr>
            <w:tcW w:w="910" w:type="dxa"/>
            <w:vAlign w:val="center"/>
          </w:tcPr>
          <w:p>
            <w:pPr>
              <w:jc w:val="right"/>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70"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10</w:t>
            </w:r>
          </w:p>
        </w:tc>
        <w:tc>
          <w:tcPr>
            <w:tcW w:w="1317"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心电图机</w:t>
            </w:r>
          </w:p>
        </w:tc>
        <w:tc>
          <w:tcPr>
            <w:tcW w:w="4062" w:type="dxa"/>
            <w:vAlign w:val="top"/>
          </w:tcPr>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14:textFill>
                  <w14:solidFill>
                    <w14:schemeClr w14:val="tx1"/>
                  </w14:solidFill>
                </w14:textFill>
              </w:rPr>
              <w:t>一、基本参数</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w:t>
            </w:r>
            <w:r>
              <w:rPr>
                <w:rFonts w:hint="eastAsia" w:ascii="宋体" w:hAnsi="宋体" w:eastAsia="宋体" w:cs="宋体"/>
                <w:color w:val="000000" w:themeColor="text1"/>
                <w:vertAlign w:val="baseline"/>
                <w14:textFill>
                  <w14:solidFill>
                    <w14:schemeClr w14:val="tx1"/>
                  </w14:solidFill>
                </w14:textFill>
              </w:rPr>
              <w:t>彩色触摸显示屏</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vertAlign w:val="baseline"/>
                <w14:textFill>
                  <w14:solidFill>
                    <w14:schemeClr w14:val="tx1"/>
                  </w14:solidFill>
                </w14:textFill>
              </w:rPr>
              <w:t>9.7英寸，屏幕亮度可调，支持背景网格显示，触控软件支持全屏触控操作。</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w:t>
            </w:r>
            <w:r>
              <w:rPr>
                <w:rFonts w:hint="eastAsia" w:ascii="宋体" w:hAnsi="宋体" w:eastAsia="宋体" w:cs="宋体"/>
                <w:color w:val="000000" w:themeColor="text1"/>
                <w:vertAlign w:val="baseline"/>
                <w14:textFill>
                  <w14:solidFill>
                    <w14:schemeClr w14:val="tx1"/>
                  </w14:solidFill>
                </w14:textFill>
              </w:rPr>
              <w:t>同步采集，同屏显示12道心电波形、心率、导联名称、患者信息、走纸速度、增益、滤波、时间、电量、输入法、文件等；还可根据临床需求，做V3R、V4R、V5R、V7、V8、V9的18导模式。</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3、</w:t>
            </w:r>
            <w:r>
              <w:rPr>
                <w:rFonts w:hint="eastAsia" w:ascii="宋体" w:hAnsi="宋体" w:eastAsia="宋体" w:cs="宋体"/>
                <w:color w:val="000000" w:themeColor="text1"/>
                <w:vertAlign w:val="baseline"/>
                <w14:textFill>
                  <w14:solidFill>
                    <w14:schemeClr w14:val="tx1"/>
                  </w14:solidFill>
                </w14:textFill>
              </w:rPr>
              <w:t xml:space="preserve"> 具有一体化标准物理全键盘设计，支持拼音、五笔等输入法。</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4、</w:t>
            </w:r>
            <w:r>
              <w:rPr>
                <w:rFonts w:hint="eastAsia" w:ascii="宋体" w:hAnsi="宋体" w:eastAsia="宋体" w:cs="宋体"/>
                <w:color w:val="000000" w:themeColor="text1"/>
                <w:vertAlign w:val="baseline"/>
                <w14:textFill>
                  <w14:solidFill>
                    <w14:schemeClr w14:val="tx1"/>
                  </w14:solidFill>
                </w14:textFill>
              </w:rPr>
              <w:t>患者信息录入：支持手动输入，条码枪、磁卡读卡器读取，WORKLIST快速下载排队预约的患者信息3种方式。</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5、</w:t>
            </w:r>
            <w:r>
              <w:rPr>
                <w:rFonts w:hint="eastAsia" w:ascii="宋体" w:hAnsi="宋体" w:eastAsia="宋体" w:cs="宋体"/>
                <w:color w:val="000000" w:themeColor="text1"/>
                <w:vertAlign w:val="baseline"/>
                <w14:textFill>
                  <w14:solidFill>
                    <w14:schemeClr w14:val="tx1"/>
                  </w14:solidFill>
                </w14:textFill>
              </w:rPr>
              <w:t>本机支持有线和无线联网，兼容WIFI、WLAN、HIS、EMR、PACS、3G4G联网，可单独E-Mail心电图报告。</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14:textFill>
                  <w14:solidFill>
                    <w14:schemeClr w14:val="tx1"/>
                  </w14:solidFill>
                </w14:textFill>
              </w:rPr>
              <w:t>二、性能</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w:t>
            </w:r>
            <w:r>
              <w:rPr>
                <w:rFonts w:hint="eastAsia" w:ascii="宋体" w:hAnsi="宋体" w:eastAsia="宋体" w:cs="宋体"/>
                <w:color w:val="000000" w:themeColor="text1"/>
                <w:vertAlign w:val="baseline"/>
                <w14:textFill>
                  <w14:solidFill>
                    <w14:schemeClr w14:val="tx1"/>
                  </w14:solidFill>
                </w14:textFill>
              </w:rPr>
              <w:t>A/D转换：≥24bit</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w:t>
            </w:r>
            <w:r>
              <w:rPr>
                <w:rFonts w:hint="eastAsia" w:ascii="宋体" w:hAnsi="宋体" w:eastAsia="宋体" w:cs="宋体"/>
                <w:color w:val="000000" w:themeColor="text1"/>
                <w:vertAlign w:val="baseline"/>
                <w14:textFill>
                  <w14:solidFill>
                    <w14:schemeClr w14:val="tx1"/>
                  </w14:solidFill>
                </w14:textFill>
              </w:rPr>
              <w:t>采样率：≤32000Hz</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3、</w:t>
            </w:r>
            <w:r>
              <w:rPr>
                <w:rFonts w:hint="eastAsia" w:ascii="宋体" w:hAnsi="宋体" w:eastAsia="宋体" w:cs="宋体"/>
                <w:color w:val="000000" w:themeColor="text1"/>
                <w:vertAlign w:val="baseline"/>
                <w14:textFill>
                  <w14:solidFill>
                    <w14:schemeClr w14:val="tx1"/>
                  </w14:solidFill>
                </w14:textFill>
              </w:rPr>
              <w:t>频率响应：0.01Hz ~ 350Hz</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4、</w:t>
            </w:r>
            <w:r>
              <w:rPr>
                <w:rFonts w:hint="eastAsia" w:ascii="宋体" w:hAnsi="宋体" w:eastAsia="宋体" w:cs="宋体"/>
                <w:color w:val="000000" w:themeColor="text1"/>
                <w:vertAlign w:val="baseline"/>
                <w14:textFill>
                  <w14:solidFill>
                    <w14:schemeClr w14:val="tx1"/>
                  </w14:solidFill>
                </w14:textFill>
              </w:rPr>
              <w:t xml:space="preserve">耐极化电压：±950mV </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14:textFill>
                  <w14:solidFill>
                    <w14:schemeClr w14:val="tx1"/>
                  </w14:solidFill>
                </w14:textFill>
              </w:rPr>
              <w:t>三、功能</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w:t>
            </w:r>
            <w:r>
              <w:rPr>
                <w:rFonts w:hint="eastAsia" w:ascii="宋体" w:hAnsi="宋体" w:eastAsia="宋体" w:cs="宋体"/>
                <w:color w:val="000000" w:themeColor="text1"/>
                <w:vertAlign w:val="baseline"/>
                <w14:textFill>
                  <w14:solidFill>
                    <w14:schemeClr w14:val="tx1"/>
                  </w14:solidFill>
                </w14:textFill>
              </w:rPr>
              <w:t>屏幕显示信息：心电波形、时间、心率、ID、工作状态、导联脱落信息、联网状态信息、外接设备状态信息等。</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w:t>
            </w:r>
            <w:r>
              <w:rPr>
                <w:rFonts w:hint="eastAsia" w:ascii="宋体" w:hAnsi="宋体" w:eastAsia="宋体" w:cs="宋体"/>
                <w:color w:val="000000" w:themeColor="text1"/>
                <w:vertAlign w:val="baseline"/>
                <w14:textFill>
                  <w14:solidFill>
                    <w14:schemeClr w14:val="tx1"/>
                  </w14:solidFill>
                </w14:textFill>
              </w:rPr>
              <w:t xml:space="preserve">支持实时采样、预采样、触发采样、周期采样模式，支持节律分析 </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3、</w:t>
            </w:r>
            <w:r>
              <w:rPr>
                <w:rFonts w:hint="eastAsia" w:ascii="宋体" w:hAnsi="宋体" w:eastAsia="宋体" w:cs="宋体"/>
                <w:color w:val="000000" w:themeColor="text1"/>
                <w:vertAlign w:val="baseline"/>
                <w14:textFill>
                  <w14:solidFill>
                    <w14:schemeClr w14:val="tx1"/>
                  </w14:solidFill>
                </w14:textFill>
              </w:rPr>
              <w:t>采集时间设置：波形实时采集和冻结时长均可达60s，同时可进行两页、三页、四页紧凑版热敏打印格式。</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4、</w:t>
            </w:r>
            <w:r>
              <w:rPr>
                <w:rFonts w:hint="eastAsia" w:ascii="宋体" w:hAnsi="宋体" w:eastAsia="宋体" w:cs="宋体"/>
                <w:color w:val="000000" w:themeColor="text1"/>
                <w:vertAlign w:val="baseline"/>
                <w14:textFill>
                  <w14:solidFill>
                    <w14:schemeClr w14:val="tx1"/>
                  </w14:solidFill>
                </w14:textFill>
              </w:rPr>
              <w:t>可同屏显示12导同步心电波形，同时支持3*4、3*4+1R、3*4+3R、6*2、6*2+1R、6*2+3R、12*1等多种显示布局。</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5、</w:t>
            </w:r>
            <w:r>
              <w:rPr>
                <w:rFonts w:hint="eastAsia" w:ascii="宋体" w:hAnsi="宋体" w:eastAsia="宋体" w:cs="宋体"/>
                <w:color w:val="000000" w:themeColor="text1"/>
                <w:vertAlign w:val="baseline"/>
                <w14:textFill>
                  <w14:solidFill>
                    <w14:schemeClr w14:val="tx1"/>
                  </w14:solidFill>
                </w14:textFill>
              </w:rPr>
              <w:t>热敏打印布局：3*4、3*4+1R、3*4+3R、6*2、6*2+1R、6*2+3R、12*1。</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6、</w:t>
            </w:r>
            <w:r>
              <w:rPr>
                <w:rFonts w:hint="eastAsia" w:ascii="宋体" w:hAnsi="宋体" w:eastAsia="宋体" w:cs="宋体"/>
                <w:color w:val="000000" w:themeColor="text1"/>
                <w:vertAlign w:val="baseline"/>
                <w14:textFill>
                  <w14:solidFill>
                    <w14:schemeClr w14:val="tx1"/>
                  </w14:solidFill>
                </w14:textFill>
              </w:rPr>
              <w:t>设备内置存储器，本机可存储病历</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vertAlign w:val="baseline"/>
                <w14:textFill>
                  <w14:solidFill>
                    <w14:schemeClr w14:val="tx1"/>
                  </w14:solidFill>
                </w14:textFill>
              </w:rPr>
              <w:t>1000例，存储满后机器可循环存储。</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7、</w:t>
            </w:r>
            <w:r>
              <w:rPr>
                <w:rFonts w:hint="eastAsia" w:ascii="宋体" w:hAnsi="宋体" w:eastAsia="宋体" w:cs="宋体"/>
                <w:color w:val="000000" w:themeColor="text1"/>
                <w:vertAlign w:val="baseline"/>
                <w14:textFill>
                  <w14:solidFill>
                    <w14:schemeClr w14:val="tx1"/>
                  </w14:solidFill>
                </w14:textFill>
              </w:rPr>
              <w:t>支持U盘和SD卡直接导出ZQECG、PDF、PNG、XML、HL7、DICOM等格式的报告。</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8、</w:t>
            </w:r>
            <w:r>
              <w:rPr>
                <w:rFonts w:hint="eastAsia" w:ascii="宋体" w:hAnsi="宋体" w:eastAsia="宋体" w:cs="宋体"/>
                <w:color w:val="000000" w:themeColor="text1"/>
                <w:vertAlign w:val="baseline"/>
                <w14:textFill>
                  <w14:solidFill>
                    <w14:schemeClr w14:val="tx1"/>
                  </w14:solidFill>
                </w14:textFill>
              </w:rPr>
              <w:t>支持U盘、SD卡的扩容存储。</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9、</w:t>
            </w:r>
            <w:r>
              <w:rPr>
                <w:rFonts w:hint="eastAsia" w:ascii="宋体" w:hAnsi="宋体" w:eastAsia="宋体" w:cs="宋体"/>
                <w:color w:val="000000" w:themeColor="text1"/>
                <w:vertAlign w:val="baseline"/>
                <w14:textFill>
                  <w14:solidFill>
                    <w14:schemeClr w14:val="tx1"/>
                  </w14:solidFill>
                </w14:textFill>
              </w:rPr>
              <w:t>具有病历管理功能，可对存储的病历进行查询、浏览、修改、导出、传输、打印，方便医生调阅病人信息，并且支持病例重新编辑，具备病例模板与自定义病例模板的添加功能。</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10、</w:t>
            </w:r>
            <w:r>
              <w:rPr>
                <w:rFonts w:hint="eastAsia" w:ascii="宋体" w:hAnsi="宋体" w:eastAsia="宋体" w:cs="宋体"/>
                <w:color w:val="000000" w:themeColor="text1"/>
                <w:vertAlign w:val="baseline"/>
                <w14:textFill>
                  <w14:solidFill>
                    <w14:schemeClr w14:val="tx1"/>
                  </w14:solidFill>
                </w14:textFill>
              </w:rPr>
              <w:t>导联线防缠绕、抗除颤，机器自带导联位置放置图。</w:t>
            </w:r>
          </w:p>
          <w:p>
            <w:pPr>
              <w:jc w:val="lef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11、</w:t>
            </w:r>
            <w:r>
              <w:rPr>
                <w:rFonts w:hint="eastAsia" w:ascii="宋体" w:hAnsi="宋体" w:eastAsia="宋体" w:cs="宋体"/>
                <w:color w:val="000000" w:themeColor="text1"/>
                <w:vertAlign w:val="baseline"/>
                <w14:textFill>
                  <w14:solidFill>
                    <w14:schemeClr w14:val="tx1"/>
                  </w14:solidFill>
                </w14:textFill>
              </w:rPr>
              <w:t>机器只带大容量锂电池，每次充电可连续工作三小时以上</w:t>
            </w:r>
            <w:r>
              <w:rPr>
                <w:rFonts w:hint="eastAsia" w:ascii="宋体" w:hAnsi="宋体" w:eastAsia="宋体" w:cs="宋体"/>
                <w:color w:val="000000" w:themeColor="text1"/>
                <w:vertAlign w:val="baseline"/>
                <w:lang w:eastAsia="zh-CN"/>
                <w14:textFill>
                  <w14:solidFill>
                    <w14:schemeClr w14:val="tx1"/>
                  </w14:solidFill>
                </w14:textFill>
              </w:rPr>
              <w:t>。</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14:textFill>
                  <w14:solidFill>
                    <w14:schemeClr w14:val="tx1"/>
                  </w14:solidFill>
                </w14:textFill>
              </w:rPr>
              <w:t>四、配置</w:t>
            </w:r>
          </w:p>
          <w:p>
            <w:pPr>
              <w:jc w:val="left"/>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14:textFill>
                  <w14:solidFill>
                    <w14:schemeClr w14:val="tx1"/>
                  </w14:solidFill>
                </w14:textFill>
              </w:rPr>
              <w:t>主机1台，导联线1条，肢电极4个，胸电极6个，热敏打印纸1本，电源线1根，接地线1根。</w:t>
            </w:r>
          </w:p>
        </w:tc>
        <w:tc>
          <w:tcPr>
            <w:tcW w:w="565" w:type="dxa"/>
            <w:vAlign w:val="center"/>
          </w:tcPr>
          <w:p>
            <w:pPr>
              <w:jc w:val="center"/>
              <w:rPr>
                <w:rFonts w:hint="eastAsia" w:ascii="宋体" w:hAnsi="宋体" w:eastAsia="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台</w:t>
            </w:r>
          </w:p>
        </w:tc>
        <w:tc>
          <w:tcPr>
            <w:tcW w:w="475" w:type="dxa"/>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w:t>
            </w:r>
          </w:p>
        </w:tc>
        <w:tc>
          <w:tcPr>
            <w:tcW w:w="933" w:type="dxa"/>
            <w:vAlign w:val="center"/>
          </w:tcPr>
          <w:p>
            <w:pPr>
              <w:jc w:val="right"/>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26800</w:t>
            </w:r>
          </w:p>
        </w:tc>
        <w:tc>
          <w:tcPr>
            <w:tcW w:w="910" w:type="dxa"/>
            <w:vAlign w:val="center"/>
          </w:tcPr>
          <w:p>
            <w:pPr>
              <w:jc w:val="righ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53600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5849" w:type="dxa"/>
            <w:gridSpan w:val="3"/>
            <w:vAlign w:val="center"/>
          </w:tcPr>
          <w:p>
            <w:pPr>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合计</w:t>
            </w:r>
          </w:p>
        </w:tc>
        <w:tc>
          <w:tcPr>
            <w:tcW w:w="565" w:type="dxa"/>
            <w:vAlign w:val="center"/>
          </w:tcPr>
          <w:p>
            <w:pPr>
              <w:jc w:val="center"/>
              <w:rPr>
                <w:rFonts w:hint="eastAsia" w:ascii="宋体" w:hAnsi="宋体" w:eastAsia="宋体" w:cs="宋体"/>
                <w:color w:val="000000" w:themeColor="text1"/>
                <w:vertAlign w:val="baseline"/>
                <w14:textFill>
                  <w14:solidFill>
                    <w14:schemeClr w14:val="tx1"/>
                  </w14:solidFill>
                </w14:textFill>
              </w:rPr>
            </w:pPr>
          </w:p>
        </w:tc>
        <w:tc>
          <w:tcPr>
            <w:tcW w:w="475" w:type="dxa"/>
            <w:vAlign w:val="center"/>
          </w:tcPr>
          <w:p>
            <w:pPr>
              <w:jc w:val="center"/>
              <w:rPr>
                <w:rFonts w:hint="eastAsia" w:ascii="宋体" w:hAnsi="宋体" w:eastAsia="宋体" w:cs="宋体"/>
                <w:color w:val="000000" w:themeColor="text1"/>
                <w:vertAlign w:val="baseline"/>
                <w14:textFill>
                  <w14:solidFill>
                    <w14:schemeClr w14:val="tx1"/>
                  </w14:solidFill>
                </w14:textFill>
              </w:rPr>
            </w:pPr>
          </w:p>
        </w:tc>
        <w:tc>
          <w:tcPr>
            <w:tcW w:w="933" w:type="dxa"/>
            <w:vAlign w:val="center"/>
          </w:tcPr>
          <w:p>
            <w:pPr>
              <w:jc w:val="right"/>
              <w:rPr>
                <w:rFonts w:hint="eastAsia" w:ascii="宋体" w:hAnsi="宋体" w:eastAsia="宋体" w:cs="宋体"/>
                <w:color w:val="000000" w:themeColor="text1"/>
                <w:vertAlign w:val="baseline"/>
                <w:lang w:val="en-US" w:eastAsia="zh-CN"/>
                <w14:textFill>
                  <w14:solidFill>
                    <w14:schemeClr w14:val="tx1"/>
                  </w14:solidFill>
                </w14:textFill>
              </w:rPr>
            </w:pPr>
          </w:p>
        </w:tc>
        <w:tc>
          <w:tcPr>
            <w:tcW w:w="910" w:type="dxa"/>
            <w:vAlign w:val="center"/>
          </w:tcPr>
          <w:p>
            <w:pPr>
              <w:jc w:val="righ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454700</w:t>
            </w:r>
          </w:p>
        </w:tc>
      </w:tr>
    </w:tbl>
    <w:p>
      <w:pPr>
        <w:ind w:firstLine="420" w:firstLineChars="200"/>
        <w:rPr>
          <w:rFonts w:hint="eastAsia" w:eastAsiaTheme="minorEastAsia"/>
          <w:lang w:eastAsia="zh-CN"/>
        </w:rPr>
      </w:pPr>
      <w:r>
        <w:rPr>
          <w:rFonts w:hint="eastAsia" w:eastAsiaTheme="minorEastAsia"/>
          <w:lang w:eastAsia="zh-CN"/>
        </w:rPr>
        <w:t>备注：成交结果公示后三个工作日内须向采购人提交所有产品厂家出具的针对本项目的售后服务承诺函原件，否则采购人有权终止合同的签订，另行采购。</w:t>
      </w:r>
    </w:p>
    <w:p>
      <w:pPr>
        <w:adjustRightInd w:val="0"/>
        <w:snapToGrid w:val="0"/>
        <w:spacing w:line="360" w:lineRule="auto"/>
        <w:ind w:firstLine="422" w:firstLineChars="200"/>
        <w:rPr>
          <w:rFonts w:hint="eastAsia" w:ascii="宋体" w:hAnsi="宋体" w:eastAsia="宋体" w:cs="Times New Roman"/>
          <w:b/>
          <w:color w:val="000000"/>
          <w:szCs w:val="21"/>
        </w:rPr>
      </w:pPr>
      <w:r>
        <w:rPr>
          <w:rFonts w:hint="eastAsia" w:ascii="宋体" w:hAnsi="宋体" w:eastAsia="宋体" w:cs="Times New Roman"/>
          <w:b/>
          <w:color w:val="000000"/>
          <w:szCs w:val="21"/>
          <w:lang w:val="en-US" w:eastAsia="zh-CN"/>
        </w:rPr>
        <w:t>二、</w:t>
      </w:r>
      <w:r>
        <w:rPr>
          <w:rFonts w:hint="eastAsia" w:ascii="宋体" w:hAnsi="宋体" w:eastAsia="宋体" w:cs="Times New Roman"/>
          <w:b/>
          <w:color w:val="000000"/>
          <w:szCs w:val="21"/>
        </w:rPr>
        <w:t>供货范围</w:t>
      </w:r>
    </w:p>
    <w:p>
      <w:pPr>
        <w:adjustRightInd w:val="0"/>
        <w:snapToGrid w:val="0"/>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1.采购清单内的所有货物及货物安装所需的辅助材料；</w:t>
      </w:r>
    </w:p>
    <w:p>
      <w:pPr>
        <w:adjustRightInd w:val="0"/>
        <w:snapToGrid w:val="0"/>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2.货物的安装、检测和调试，直至验收合格后交付采购人使用；</w:t>
      </w:r>
    </w:p>
    <w:p>
      <w:pPr>
        <w:adjustRightInd w:val="0"/>
        <w:snapToGrid w:val="0"/>
        <w:spacing w:line="360" w:lineRule="auto"/>
        <w:ind w:firstLine="420" w:firstLineChars="200"/>
        <w:rPr>
          <w:rFonts w:hint="eastAsia" w:ascii="宋体" w:hAnsi="宋体" w:eastAsia="宋体" w:cs="Times New Roman"/>
          <w:color w:val="000000"/>
          <w:szCs w:val="21"/>
          <w:lang w:eastAsia="zh-CN"/>
        </w:rPr>
      </w:pPr>
      <w:r>
        <w:rPr>
          <w:rFonts w:hint="eastAsia" w:ascii="宋体" w:hAnsi="宋体" w:eastAsia="宋体" w:cs="Times New Roman"/>
          <w:color w:val="000000"/>
          <w:szCs w:val="21"/>
        </w:rPr>
        <w:t>3.货物在采购人指定地点安装前必须对所安装产品进行样品抽检，经检验合格出具合格检验报告后方可进行安装调试</w:t>
      </w:r>
      <w:r>
        <w:rPr>
          <w:rFonts w:hint="eastAsia" w:ascii="宋体" w:hAnsi="宋体" w:eastAsia="宋体" w:cs="Times New Roman"/>
          <w:color w:val="000000"/>
          <w:szCs w:val="21"/>
          <w:lang w:eastAsia="zh-CN"/>
        </w:rPr>
        <w:t>；</w:t>
      </w:r>
    </w:p>
    <w:p>
      <w:pPr>
        <w:adjustRightInd w:val="0"/>
        <w:snapToGrid w:val="0"/>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4、货物安装调试完毕并经采购人验收合格之前的所有货物运输、装卸和保管等；</w:t>
      </w:r>
    </w:p>
    <w:p>
      <w:pPr>
        <w:adjustRightInd w:val="0"/>
        <w:snapToGrid w:val="0"/>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5.货物运输、保管和安装等过程中的人身和财产保险；</w:t>
      </w:r>
    </w:p>
    <w:p>
      <w:pPr>
        <w:adjustRightInd w:val="0"/>
        <w:snapToGrid w:val="0"/>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6.货物标准配置所包含的附件和备品备件；</w:t>
      </w:r>
    </w:p>
    <w:p>
      <w:pPr>
        <w:adjustRightInd w:val="0"/>
        <w:snapToGrid w:val="0"/>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7.货物质保期内的质量保证和免费售后服务。</w:t>
      </w:r>
    </w:p>
    <w:p>
      <w:pPr>
        <w:adjustRightInd w:val="0"/>
        <w:snapToGrid w:val="0"/>
        <w:spacing w:line="360" w:lineRule="auto"/>
        <w:ind w:firstLine="422" w:firstLineChars="200"/>
        <w:rPr>
          <w:rFonts w:hint="eastAsia" w:ascii="宋体" w:hAnsi="宋体" w:eastAsia="宋体" w:cs="Times New Roman"/>
          <w:b/>
          <w:color w:val="000000"/>
          <w:szCs w:val="21"/>
          <w:lang w:val="en-US" w:eastAsia="zh-CN"/>
        </w:rPr>
      </w:pPr>
      <w:r>
        <w:rPr>
          <w:rFonts w:hint="eastAsia" w:ascii="宋体" w:hAnsi="宋体" w:eastAsia="宋体" w:cs="Times New Roman"/>
          <w:b/>
          <w:color w:val="000000"/>
          <w:szCs w:val="21"/>
          <w:lang w:val="en-US" w:eastAsia="zh-CN"/>
        </w:rPr>
        <w:t>三、附件、备品备件及零配件（包括专用工具）的要求</w:t>
      </w:r>
    </w:p>
    <w:p>
      <w:pPr>
        <w:adjustRightInd w:val="0"/>
        <w:snapToGrid w:val="0"/>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1.货物标准配置应包含的附件、备品备件和采购人进行日常维护所需的专用工具，</w:t>
      </w:r>
      <w:r>
        <w:rPr>
          <w:rFonts w:hint="eastAsia" w:ascii="宋体" w:hAnsi="宋体" w:eastAsia="宋体" w:cs="Times New Roman"/>
          <w:color w:val="000000"/>
          <w:szCs w:val="21"/>
          <w:lang w:eastAsia="zh-CN"/>
        </w:rPr>
        <w:t>成交人</w:t>
      </w:r>
      <w:r>
        <w:rPr>
          <w:rFonts w:hint="eastAsia" w:ascii="宋体" w:hAnsi="宋体" w:eastAsia="宋体" w:cs="Times New Roman"/>
          <w:color w:val="000000"/>
          <w:szCs w:val="21"/>
        </w:rPr>
        <w:t>应在本采购项目验收前向采购人提供清单及对应物品；</w:t>
      </w:r>
    </w:p>
    <w:p>
      <w:pPr>
        <w:adjustRightInd w:val="0"/>
        <w:snapToGrid w:val="0"/>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2.货物的安装、检测和调试所需的设施和工具，均由</w:t>
      </w:r>
      <w:r>
        <w:rPr>
          <w:rFonts w:hint="eastAsia" w:ascii="宋体" w:hAnsi="宋体" w:eastAsia="宋体" w:cs="Times New Roman"/>
          <w:color w:val="000000"/>
          <w:szCs w:val="21"/>
          <w:lang w:eastAsia="zh-CN"/>
        </w:rPr>
        <w:t>成交人</w:t>
      </w:r>
      <w:r>
        <w:rPr>
          <w:rFonts w:hint="eastAsia" w:ascii="宋体" w:hAnsi="宋体" w:eastAsia="宋体" w:cs="Times New Roman"/>
          <w:color w:val="000000"/>
          <w:szCs w:val="21"/>
        </w:rPr>
        <w:t>自行提供；</w:t>
      </w:r>
    </w:p>
    <w:p>
      <w:pPr>
        <w:adjustRightInd w:val="0"/>
        <w:snapToGrid w:val="0"/>
        <w:spacing w:line="360" w:lineRule="auto"/>
        <w:ind w:firstLine="420" w:firstLineChars="200"/>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rPr>
        <w:t>3.质保期内的任何货物质量问题或技术故障，均由</w:t>
      </w:r>
      <w:r>
        <w:rPr>
          <w:rFonts w:hint="eastAsia" w:ascii="宋体" w:hAnsi="宋体" w:eastAsia="宋体" w:cs="Times New Roman"/>
          <w:color w:val="000000"/>
          <w:szCs w:val="21"/>
          <w:lang w:eastAsia="zh-CN"/>
        </w:rPr>
        <w:t>成交人</w:t>
      </w:r>
      <w:r>
        <w:rPr>
          <w:rFonts w:hint="eastAsia" w:ascii="宋体" w:hAnsi="宋体" w:eastAsia="宋体" w:cs="Times New Roman"/>
          <w:color w:val="000000"/>
          <w:szCs w:val="21"/>
        </w:rPr>
        <w:t>负责维修或更换货物，包括维修和更换所需的零配件及货物。</w:t>
      </w:r>
      <w:r>
        <w:rPr>
          <w:rFonts w:hint="eastAsia" w:ascii="宋体" w:hAnsi="宋体" w:eastAsia="宋体" w:cs="Times New Roman"/>
          <w:color w:val="000000"/>
          <w:szCs w:val="21"/>
          <w:lang w:val="en-US" w:eastAsia="zh-CN"/>
        </w:rPr>
        <w:t>采购人不再另行支付任何费用。</w:t>
      </w:r>
    </w:p>
    <w:p>
      <w:pPr>
        <w:adjustRightInd w:val="0"/>
        <w:snapToGrid w:val="0"/>
        <w:spacing w:line="360" w:lineRule="auto"/>
        <w:ind w:firstLine="422" w:firstLineChars="200"/>
        <w:rPr>
          <w:rFonts w:hint="eastAsia" w:ascii="宋体" w:hAnsi="宋体" w:eastAsia="宋体" w:cs="Times New Roman"/>
          <w:b/>
          <w:color w:val="000000"/>
          <w:szCs w:val="21"/>
          <w:lang w:val="en-US" w:eastAsia="zh-CN"/>
        </w:rPr>
      </w:pPr>
      <w:r>
        <w:rPr>
          <w:rFonts w:hint="eastAsia" w:ascii="宋体" w:hAnsi="宋体" w:eastAsia="宋体" w:cs="Times New Roman"/>
          <w:b/>
          <w:color w:val="000000"/>
          <w:szCs w:val="21"/>
          <w:lang w:val="en-US" w:eastAsia="zh-CN"/>
        </w:rPr>
        <w:t>四、验收标准和方法</w:t>
      </w:r>
    </w:p>
    <w:p>
      <w:pPr>
        <w:adjustRightInd w:val="0"/>
        <w:snapToGrid w:val="0"/>
        <w:spacing w:line="360" w:lineRule="auto"/>
        <w:ind w:firstLine="420" w:firstLineChars="200"/>
        <w:rPr>
          <w:rFonts w:hint="eastAsia" w:ascii="宋体" w:hAnsi="宋体" w:eastAsia="宋体" w:cs="Times New Roman"/>
          <w:color w:val="000000"/>
          <w:szCs w:val="21"/>
          <w:lang w:eastAsia="zh-CN"/>
        </w:rPr>
      </w:pPr>
      <w:bookmarkStart w:id="0" w:name="OLE_LINK1"/>
      <w:r>
        <w:rPr>
          <w:rFonts w:hint="eastAsia" w:ascii="宋体" w:hAnsi="宋体" w:eastAsia="宋体" w:cs="Times New Roman"/>
          <w:color w:val="000000"/>
          <w:szCs w:val="21"/>
        </w:rPr>
        <w:t>1.本项目</w:t>
      </w:r>
      <w:r>
        <w:rPr>
          <w:rFonts w:hint="eastAsia" w:ascii="宋体" w:hAnsi="宋体" w:eastAsia="宋体" w:cs="Times New Roman"/>
          <w:color w:val="000000"/>
          <w:szCs w:val="21"/>
          <w:lang w:val="en-US" w:eastAsia="zh-CN"/>
        </w:rPr>
        <w:t>按照长财采购【2024】5号文件</w:t>
      </w:r>
      <w:r>
        <w:rPr>
          <w:rFonts w:hint="eastAsia" w:ascii="宋体" w:hAnsi="宋体" w:eastAsia="宋体" w:cs="Times New Roman"/>
          <w:color w:val="000000"/>
          <w:szCs w:val="21"/>
        </w:rPr>
        <w:t>程序验收</w:t>
      </w:r>
      <w:r>
        <w:rPr>
          <w:rFonts w:hint="eastAsia" w:ascii="宋体" w:hAnsi="宋体" w:eastAsia="宋体" w:cs="Times New Roman"/>
          <w:color w:val="000000"/>
          <w:szCs w:val="21"/>
          <w:lang w:eastAsia="zh-CN"/>
        </w:rPr>
        <w:t>；</w:t>
      </w:r>
    </w:p>
    <w:bookmarkEnd w:id="0"/>
    <w:p>
      <w:pPr>
        <w:adjustRightInd w:val="0"/>
        <w:snapToGrid w:val="0"/>
        <w:spacing w:line="360" w:lineRule="auto"/>
        <w:ind w:firstLine="420" w:firstLineChars="200"/>
        <w:rPr>
          <w:rFonts w:hint="eastAsia" w:ascii="宋体" w:hAnsi="宋体" w:eastAsia="宋体" w:cs="Times New Roman"/>
          <w:color w:val="000000"/>
          <w:szCs w:val="21"/>
          <w:lang w:eastAsia="zh-CN"/>
        </w:rPr>
      </w:pPr>
      <w:bookmarkStart w:id="1" w:name="OLE_LINK2"/>
      <w:r>
        <w:rPr>
          <w:rFonts w:hint="eastAsia" w:ascii="宋体" w:hAnsi="宋体" w:eastAsia="宋体" w:cs="Times New Roman"/>
          <w:color w:val="000000"/>
          <w:szCs w:val="21"/>
        </w:rPr>
        <w:t>2.验收的标准和依据：包括本采购项目的</w:t>
      </w:r>
      <w:r>
        <w:rPr>
          <w:rFonts w:hint="eastAsia" w:ascii="宋体" w:hAnsi="宋体" w:eastAsia="宋体" w:cs="Times New Roman"/>
          <w:color w:val="000000"/>
          <w:szCs w:val="21"/>
          <w:lang w:eastAsia="zh-CN"/>
        </w:rPr>
        <w:t>谈判</w:t>
      </w:r>
      <w:r>
        <w:rPr>
          <w:rFonts w:hint="eastAsia" w:ascii="宋体" w:hAnsi="宋体" w:eastAsia="宋体" w:cs="Times New Roman"/>
          <w:color w:val="000000"/>
          <w:szCs w:val="21"/>
        </w:rPr>
        <w:t>文件、</w:t>
      </w:r>
      <w:r>
        <w:rPr>
          <w:rFonts w:hint="eastAsia" w:ascii="宋体" w:hAnsi="宋体" w:eastAsia="宋体" w:cs="Times New Roman"/>
          <w:color w:val="000000"/>
          <w:szCs w:val="21"/>
          <w:lang w:eastAsia="zh-CN"/>
        </w:rPr>
        <w:t>成交人</w:t>
      </w:r>
      <w:r>
        <w:rPr>
          <w:rFonts w:hint="eastAsia" w:ascii="宋体" w:hAnsi="宋体" w:eastAsia="宋体" w:cs="Times New Roman"/>
          <w:color w:val="000000"/>
          <w:szCs w:val="21"/>
        </w:rPr>
        <w:t>的</w:t>
      </w:r>
      <w:r>
        <w:rPr>
          <w:rFonts w:hint="eastAsia" w:ascii="宋体" w:hAnsi="宋体" w:eastAsia="宋体" w:cs="Times New Roman"/>
          <w:color w:val="000000"/>
          <w:szCs w:val="21"/>
          <w:lang w:eastAsia="zh-CN"/>
        </w:rPr>
        <w:t>响应</w:t>
      </w:r>
      <w:r>
        <w:rPr>
          <w:rFonts w:hint="eastAsia" w:ascii="宋体" w:hAnsi="宋体" w:eastAsia="宋体" w:cs="Times New Roman"/>
          <w:color w:val="000000"/>
          <w:szCs w:val="21"/>
        </w:rPr>
        <w:t>文件、采购合同和有关国家标准与行业规范</w:t>
      </w:r>
      <w:r>
        <w:rPr>
          <w:rFonts w:hint="eastAsia" w:ascii="宋体" w:hAnsi="宋体" w:eastAsia="宋体" w:cs="Times New Roman"/>
          <w:color w:val="000000"/>
          <w:szCs w:val="21"/>
          <w:lang w:eastAsia="zh-CN"/>
        </w:rPr>
        <w:t>；</w:t>
      </w:r>
    </w:p>
    <w:p>
      <w:pPr>
        <w:adjustRightInd w:val="0"/>
        <w:snapToGrid w:val="0"/>
        <w:spacing w:line="360" w:lineRule="auto"/>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rPr>
        <w:t>3.如验收不合格，</w:t>
      </w:r>
      <w:r>
        <w:rPr>
          <w:rFonts w:hint="eastAsia" w:ascii="宋体" w:hAnsi="宋体" w:eastAsia="宋体" w:cs="Times New Roman"/>
          <w:color w:val="auto"/>
          <w:szCs w:val="21"/>
          <w:lang w:eastAsia="zh-CN"/>
        </w:rPr>
        <w:t>成交人</w:t>
      </w:r>
      <w:r>
        <w:rPr>
          <w:rFonts w:hint="eastAsia" w:ascii="宋体" w:hAnsi="宋体" w:eastAsia="宋体" w:cs="Times New Roman"/>
          <w:color w:val="auto"/>
          <w:szCs w:val="21"/>
        </w:rPr>
        <w:t>须更换合格货物、辅材或重新进行安装与调试，直至验收合格</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如两次验收不合格，采购人有权终止与</w:t>
      </w:r>
      <w:r>
        <w:rPr>
          <w:rFonts w:hint="eastAsia" w:ascii="宋体" w:hAnsi="宋体" w:eastAsia="宋体" w:cs="Times New Roman"/>
          <w:color w:val="auto"/>
          <w:szCs w:val="21"/>
          <w:lang w:eastAsia="zh-CN"/>
        </w:rPr>
        <w:t>成交人</w:t>
      </w:r>
      <w:r>
        <w:rPr>
          <w:rFonts w:hint="eastAsia" w:ascii="宋体" w:hAnsi="宋体" w:eastAsia="宋体" w:cs="Times New Roman"/>
          <w:color w:val="auto"/>
          <w:szCs w:val="21"/>
        </w:rPr>
        <w:t>签订的采购合同，另行选择供应商承担本采购项目的供货和相关服务。</w:t>
      </w:r>
      <w:r>
        <w:rPr>
          <w:rFonts w:hint="eastAsia" w:ascii="宋体" w:hAnsi="宋体" w:eastAsia="宋体" w:cs="Times New Roman"/>
          <w:color w:val="auto"/>
          <w:szCs w:val="21"/>
          <w:lang w:eastAsia="zh-CN"/>
        </w:rPr>
        <w:t>成交人</w:t>
      </w:r>
      <w:r>
        <w:rPr>
          <w:rFonts w:hint="eastAsia" w:ascii="宋体" w:hAnsi="宋体" w:eastAsia="宋体" w:cs="Times New Roman"/>
          <w:color w:val="auto"/>
          <w:szCs w:val="21"/>
        </w:rPr>
        <w:t>须承担因验收不合格而返工造成的自身的一切损失和因此给采购人造成的一切损失</w:t>
      </w:r>
      <w:r>
        <w:rPr>
          <w:rFonts w:hint="eastAsia" w:ascii="宋体" w:hAnsi="宋体" w:eastAsia="宋体" w:cs="Times New Roman"/>
          <w:color w:val="auto"/>
          <w:szCs w:val="21"/>
          <w:lang w:eastAsia="zh-CN"/>
        </w:rPr>
        <w:t>；</w:t>
      </w:r>
    </w:p>
    <w:p>
      <w:pPr>
        <w:adjustRightInd w:val="0"/>
        <w:snapToGrid w:val="0"/>
        <w:spacing w:line="360" w:lineRule="auto"/>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4.如验收过程中发生纠纷，将委托国家质量技术监督管理部门或其认定的机构进行检测鉴定。如为</w:t>
      </w:r>
      <w:r>
        <w:rPr>
          <w:rFonts w:hint="eastAsia" w:ascii="宋体" w:hAnsi="宋体" w:eastAsia="宋体" w:cs="Times New Roman"/>
          <w:color w:val="auto"/>
          <w:szCs w:val="21"/>
          <w:lang w:eastAsia="zh-CN"/>
        </w:rPr>
        <w:t>成交人</w:t>
      </w:r>
      <w:r>
        <w:rPr>
          <w:rFonts w:hint="eastAsia" w:ascii="宋体" w:hAnsi="宋体" w:eastAsia="宋体" w:cs="Times New Roman"/>
          <w:color w:val="auto"/>
          <w:szCs w:val="21"/>
        </w:rPr>
        <w:t>原因，一切费用由</w:t>
      </w:r>
      <w:r>
        <w:rPr>
          <w:rFonts w:hint="eastAsia" w:ascii="宋体" w:hAnsi="宋体" w:eastAsia="宋体" w:cs="Times New Roman"/>
          <w:color w:val="auto"/>
          <w:szCs w:val="21"/>
          <w:lang w:eastAsia="zh-CN"/>
        </w:rPr>
        <w:t>成交人</w:t>
      </w:r>
      <w:r>
        <w:rPr>
          <w:rFonts w:hint="eastAsia" w:ascii="宋体" w:hAnsi="宋体" w:eastAsia="宋体" w:cs="Times New Roman"/>
          <w:color w:val="auto"/>
          <w:szCs w:val="21"/>
        </w:rPr>
        <w:t>承担。否则，由采购人承担。</w:t>
      </w:r>
    </w:p>
    <w:bookmarkEnd w:id="1"/>
    <w:p>
      <w:pPr>
        <w:adjustRightInd w:val="0"/>
        <w:snapToGrid w:val="0"/>
        <w:spacing w:line="360" w:lineRule="auto"/>
        <w:ind w:firstLine="422" w:firstLineChars="200"/>
        <w:rPr>
          <w:rFonts w:hint="eastAsia" w:ascii="宋体" w:hAnsi="宋体" w:eastAsia="宋体" w:cs="Times New Roman"/>
          <w:b/>
          <w:color w:val="auto"/>
          <w:szCs w:val="21"/>
          <w:lang w:val="en-US" w:eastAsia="zh-CN"/>
        </w:rPr>
      </w:pPr>
      <w:r>
        <w:rPr>
          <w:rFonts w:hint="eastAsia" w:ascii="宋体" w:hAnsi="宋体" w:eastAsia="宋体" w:cs="Times New Roman"/>
          <w:b/>
          <w:color w:val="auto"/>
          <w:szCs w:val="21"/>
          <w:lang w:val="en-US" w:eastAsia="zh-CN"/>
        </w:rPr>
        <w:t>五、安装调试及技术服务（含培训）要求</w:t>
      </w:r>
    </w:p>
    <w:p>
      <w:pPr>
        <w:adjustRightInd w:val="0"/>
        <w:snapToGrid w:val="0"/>
        <w:spacing w:line="360" w:lineRule="auto"/>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1．货物安装调试要求</w:t>
      </w:r>
    </w:p>
    <w:p>
      <w:pPr>
        <w:adjustRightInd w:val="0"/>
        <w:snapToGrid w:val="0"/>
        <w:spacing w:line="360" w:lineRule="auto"/>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（1）货物的安装调试由</w:t>
      </w:r>
      <w:r>
        <w:rPr>
          <w:rFonts w:hint="eastAsia" w:ascii="宋体" w:hAnsi="宋体" w:eastAsia="宋体" w:cs="Times New Roman"/>
          <w:color w:val="auto"/>
          <w:szCs w:val="21"/>
          <w:lang w:eastAsia="zh-CN"/>
        </w:rPr>
        <w:t>成交</w:t>
      </w:r>
      <w:r>
        <w:rPr>
          <w:rFonts w:hint="eastAsia" w:ascii="宋体" w:hAnsi="宋体" w:eastAsia="宋体" w:cs="Times New Roman"/>
          <w:color w:val="auto"/>
          <w:szCs w:val="21"/>
        </w:rPr>
        <w:t>人负责；</w:t>
      </w:r>
    </w:p>
    <w:p>
      <w:pPr>
        <w:adjustRightInd w:val="0"/>
        <w:snapToGrid w:val="0"/>
        <w:spacing w:line="360" w:lineRule="auto"/>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（2）安装调试所需辅助材料和专用工具与设施，由</w:t>
      </w:r>
      <w:r>
        <w:rPr>
          <w:rFonts w:hint="eastAsia" w:ascii="宋体" w:hAnsi="宋体" w:eastAsia="宋体" w:cs="Times New Roman"/>
          <w:color w:val="auto"/>
          <w:szCs w:val="21"/>
          <w:lang w:eastAsia="zh-CN"/>
        </w:rPr>
        <w:t>成交人</w:t>
      </w:r>
      <w:r>
        <w:rPr>
          <w:rFonts w:hint="eastAsia" w:ascii="宋体" w:hAnsi="宋体" w:eastAsia="宋体" w:cs="Times New Roman"/>
          <w:color w:val="auto"/>
          <w:szCs w:val="21"/>
        </w:rPr>
        <w:t>提供；</w:t>
      </w:r>
    </w:p>
    <w:p>
      <w:pPr>
        <w:adjustRightInd w:val="0"/>
        <w:snapToGrid w:val="0"/>
        <w:spacing w:line="360" w:lineRule="auto"/>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（3）安装调试完毕</w:t>
      </w:r>
      <w:r>
        <w:rPr>
          <w:rFonts w:hint="eastAsia" w:ascii="宋体" w:hAnsi="宋体" w:eastAsia="宋体" w:cs="Times New Roman"/>
          <w:color w:val="auto"/>
          <w:szCs w:val="21"/>
          <w:lang w:eastAsia="zh-CN"/>
        </w:rPr>
        <w:t>（分为两个阶段，第一阶段为货到安装使用开始起</w:t>
      </w:r>
      <w:r>
        <w:rPr>
          <w:rFonts w:hint="eastAsia" w:ascii="宋体" w:hAnsi="宋体" w:eastAsia="宋体" w:cs="Times New Roman"/>
          <w:color w:val="auto"/>
          <w:szCs w:val="21"/>
          <w:lang w:val="en-US" w:eastAsia="zh-CN"/>
        </w:rPr>
        <w:t>30日历日，</w:t>
      </w:r>
      <w:r>
        <w:rPr>
          <w:rFonts w:hint="eastAsia" w:ascii="宋体" w:hAnsi="宋体" w:eastAsia="宋体" w:cs="Times New Roman"/>
          <w:color w:val="auto"/>
          <w:szCs w:val="21"/>
          <w:lang w:eastAsia="zh-CN"/>
        </w:rPr>
        <w:t>第二阶段为第一阶段满后第</w:t>
      </w:r>
      <w:r>
        <w:rPr>
          <w:rFonts w:hint="eastAsia" w:ascii="宋体" w:hAnsi="宋体" w:eastAsia="宋体" w:cs="Times New Roman"/>
          <w:color w:val="auto"/>
          <w:szCs w:val="21"/>
          <w:lang w:val="en-US" w:eastAsia="zh-CN"/>
        </w:rPr>
        <w:t>180日历日止，在安装调试期间无故障和不合格情况</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w:t>
      </w:r>
      <w:r>
        <w:rPr>
          <w:rFonts w:hint="eastAsia" w:ascii="宋体" w:hAnsi="宋体" w:eastAsia="宋体" w:cs="Times New Roman"/>
          <w:color w:val="auto"/>
          <w:szCs w:val="21"/>
          <w:lang w:eastAsia="zh-CN"/>
        </w:rPr>
        <w:t>成交</w:t>
      </w:r>
      <w:r>
        <w:rPr>
          <w:rFonts w:hint="eastAsia" w:ascii="宋体" w:hAnsi="宋体" w:eastAsia="宋体" w:cs="Times New Roman"/>
          <w:color w:val="auto"/>
          <w:szCs w:val="21"/>
        </w:rPr>
        <w:t>人自行检测合格后，方可</w:t>
      </w:r>
      <w:r>
        <w:rPr>
          <w:rFonts w:hint="eastAsia" w:ascii="宋体" w:hAnsi="宋体" w:eastAsia="宋体" w:cs="Times New Roman"/>
          <w:color w:val="auto"/>
          <w:szCs w:val="21"/>
          <w:lang w:eastAsia="zh-CN"/>
        </w:rPr>
        <w:t>向</w:t>
      </w:r>
      <w:r>
        <w:rPr>
          <w:rFonts w:hint="eastAsia" w:ascii="宋体" w:hAnsi="宋体" w:eastAsia="宋体" w:cs="Times New Roman"/>
          <w:color w:val="auto"/>
          <w:szCs w:val="21"/>
        </w:rPr>
        <w:t>采购人申请进行验收</w:t>
      </w:r>
      <w:r>
        <w:rPr>
          <w:rFonts w:hint="eastAsia" w:ascii="宋体" w:hAnsi="宋体" w:eastAsia="宋体" w:cs="Times New Roman"/>
          <w:color w:val="auto"/>
          <w:szCs w:val="21"/>
          <w:lang w:eastAsia="zh-CN"/>
        </w:rPr>
        <w:t>工作</w:t>
      </w:r>
      <w:r>
        <w:rPr>
          <w:rFonts w:hint="eastAsia" w:ascii="宋体" w:hAnsi="宋体" w:eastAsia="宋体" w:cs="Times New Roman"/>
          <w:color w:val="auto"/>
          <w:szCs w:val="21"/>
        </w:rPr>
        <w:t>。</w:t>
      </w:r>
    </w:p>
    <w:p>
      <w:pPr>
        <w:adjustRightInd w:val="0"/>
        <w:snapToGrid w:val="0"/>
        <w:spacing w:line="360" w:lineRule="auto"/>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2．技术支持要求</w:t>
      </w:r>
    </w:p>
    <w:p>
      <w:pPr>
        <w:adjustRightInd w:val="0"/>
        <w:snapToGrid w:val="0"/>
        <w:spacing w:line="360" w:lineRule="auto"/>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（1）</w:t>
      </w:r>
      <w:r>
        <w:rPr>
          <w:rFonts w:hint="eastAsia" w:ascii="宋体" w:hAnsi="宋体" w:eastAsia="宋体" w:cs="Times New Roman"/>
          <w:color w:val="auto"/>
          <w:szCs w:val="21"/>
          <w:lang w:eastAsia="zh-CN"/>
        </w:rPr>
        <w:t>供应商</w:t>
      </w:r>
      <w:r>
        <w:rPr>
          <w:rFonts w:hint="eastAsia" w:ascii="宋体" w:hAnsi="宋体" w:eastAsia="宋体" w:cs="Times New Roman"/>
          <w:color w:val="auto"/>
          <w:szCs w:val="21"/>
        </w:rPr>
        <w:t>人须承诺并实施任何时期的24小时技术咨询服务，及时答复使用方的技术咨询；</w:t>
      </w:r>
    </w:p>
    <w:p>
      <w:pPr>
        <w:adjustRightInd w:val="0"/>
        <w:snapToGrid w:val="0"/>
        <w:spacing w:line="360" w:lineRule="auto"/>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rPr>
        <w:t>（2）</w:t>
      </w:r>
      <w:r>
        <w:rPr>
          <w:rFonts w:hint="eastAsia" w:ascii="宋体" w:hAnsi="宋体" w:eastAsia="宋体" w:cs="Times New Roman"/>
          <w:color w:val="auto"/>
          <w:szCs w:val="21"/>
          <w:lang w:eastAsia="zh-CN"/>
        </w:rPr>
        <w:t>响应</w:t>
      </w:r>
      <w:r>
        <w:rPr>
          <w:rFonts w:hint="eastAsia" w:ascii="宋体" w:hAnsi="宋体" w:eastAsia="宋体" w:cs="Times New Roman"/>
          <w:color w:val="auto"/>
          <w:szCs w:val="21"/>
        </w:rPr>
        <w:t>文件中必须提供在采购人当地设有的售后服务机构名称、地址，以及专业技术人员名单和联系电话等技术服务信息</w:t>
      </w:r>
      <w:r>
        <w:rPr>
          <w:rFonts w:hint="eastAsia" w:ascii="宋体" w:hAnsi="宋体" w:eastAsia="宋体" w:cs="Times New Roman"/>
          <w:color w:val="auto"/>
          <w:szCs w:val="21"/>
          <w:lang w:eastAsia="zh-CN"/>
        </w:rPr>
        <w:t>；</w:t>
      </w:r>
    </w:p>
    <w:p>
      <w:pPr>
        <w:adjustRightInd w:val="0"/>
        <w:snapToGrid w:val="0"/>
        <w:spacing w:line="360" w:lineRule="auto"/>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（3）</w:t>
      </w:r>
      <w:bookmarkStart w:id="2" w:name="OLE_LINK3"/>
      <w:r>
        <w:rPr>
          <w:rFonts w:hint="eastAsia" w:ascii="宋体" w:hAnsi="宋体" w:eastAsia="宋体" w:cs="Times New Roman"/>
          <w:color w:val="auto"/>
          <w:szCs w:val="21"/>
          <w:lang w:eastAsia="zh-CN"/>
        </w:rPr>
        <w:t>成交人</w:t>
      </w:r>
      <w:r>
        <w:rPr>
          <w:rFonts w:hint="eastAsia" w:ascii="宋体" w:hAnsi="宋体" w:eastAsia="宋体" w:cs="Times New Roman"/>
          <w:color w:val="auto"/>
          <w:szCs w:val="21"/>
        </w:rPr>
        <w:t>须按采购人要求，在申请采购人进行验收前，培训采购人指定人员(培训</w:t>
      </w:r>
      <w:r>
        <w:rPr>
          <w:rFonts w:hint="eastAsia" w:ascii="宋体" w:hAnsi="宋体" w:eastAsia="宋体" w:cs="Times New Roman"/>
          <w:color w:val="auto"/>
          <w:szCs w:val="21"/>
          <w:lang w:eastAsia="zh-CN"/>
        </w:rPr>
        <w:t>使用人员</w:t>
      </w:r>
      <w:r>
        <w:rPr>
          <w:rFonts w:hint="eastAsia" w:ascii="宋体" w:hAnsi="宋体" w:eastAsia="宋体" w:cs="Times New Roman"/>
          <w:color w:val="auto"/>
          <w:szCs w:val="21"/>
        </w:rPr>
        <w:t>2名 )，达到能正确使用和维护、简单维修货物的水平。</w:t>
      </w:r>
    </w:p>
    <w:bookmarkEnd w:id="2"/>
    <w:p>
      <w:pPr>
        <w:adjustRightInd w:val="0"/>
        <w:snapToGrid w:val="0"/>
        <w:spacing w:line="360" w:lineRule="auto"/>
        <w:ind w:firstLine="422" w:firstLineChars="200"/>
        <w:rPr>
          <w:rFonts w:hint="eastAsia" w:ascii="宋体" w:hAnsi="宋体" w:eastAsia="宋体" w:cs="Times New Roman"/>
          <w:b/>
          <w:color w:val="auto"/>
          <w:szCs w:val="21"/>
          <w:lang w:val="en-US" w:eastAsia="zh-CN"/>
        </w:rPr>
      </w:pPr>
      <w:r>
        <w:rPr>
          <w:rFonts w:hint="eastAsia" w:ascii="宋体" w:hAnsi="宋体" w:eastAsia="宋体" w:cs="Times New Roman"/>
          <w:b/>
          <w:color w:val="auto"/>
          <w:szCs w:val="21"/>
          <w:lang w:val="en-US" w:eastAsia="zh-CN"/>
        </w:rPr>
        <w:t>六、售后服务要求</w:t>
      </w:r>
    </w:p>
    <w:p>
      <w:pPr>
        <w:adjustRightInd w:val="0"/>
        <w:snapToGrid w:val="0"/>
        <w:spacing w:line="360" w:lineRule="auto"/>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rPr>
        <w:t>1.货物质保期：</w:t>
      </w:r>
      <w:r>
        <w:rPr>
          <w:rFonts w:hint="eastAsia" w:ascii="宋体" w:hAnsi="宋体" w:eastAsia="宋体" w:cs="Times New Roman"/>
          <w:color w:val="auto"/>
          <w:szCs w:val="21"/>
          <w:lang w:eastAsia="zh-CN"/>
        </w:rPr>
        <w:t>项目</w:t>
      </w:r>
      <w:r>
        <w:rPr>
          <w:rFonts w:hint="eastAsia" w:ascii="宋体" w:hAnsi="宋体" w:eastAsia="宋体" w:cs="Times New Roman"/>
          <w:color w:val="auto"/>
          <w:szCs w:val="21"/>
        </w:rPr>
        <w:t>自验收合格之日起</w:t>
      </w:r>
      <w:r>
        <w:rPr>
          <w:rFonts w:hint="eastAsia" w:ascii="宋体" w:hAnsi="宋体" w:eastAsia="宋体" w:cs="Times New Roman"/>
          <w:color w:val="auto"/>
          <w:szCs w:val="21"/>
          <w:lang w:eastAsia="zh-CN"/>
        </w:rPr>
        <w:t>质保期</w:t>
      </w:r>
      <w:r>
        <w:rPr>
          <w:rFonts w:hint="eastAsia" w:ascii="宋体" w:hAnsi="宋体" w:eastAsia="宋体" w:cs="Times New Roman"/>
          <w:color w:val="auto"/>
          <w:szCs w:val="21"/>
          <w:lang w:val="en-US" w:eastAsia="zh-CN"/>
        </w:rPr>
        <w:t>一</w:t>
      </w:r>
      <w:r>
        <w:rPr>
          <w:rFonts w:hint="eastAsia" w:ascii="宋体" w:hAnsi="宋体" w:eastAsia="宋体" w:cs="Times New Roman"/>
          <w:color w:val="auto"/>
          <w:szCs w:val="21"/>
        </w:rPr>
        <w:t>年</w:t>
      </w:r>
      <w:r>
        <w:rPr>
          <w:rFonts w:hint="eastAsia" w:ascii="宋体" w:hAnsi="宋体" w:eastAsia="宋体" w:cs="Times New Roman"/>
          <w:color w:val="auto"/>
          <w:szCs w:val="21"/>
          <w:lang w:eastAsia="zh-CN"/>
        </w:rPr>
        <w:t>；</w:t>
      </w:r>
    </w:p>
    <w:p>
      <w:pPr>
        <w:adjustRightInd w:val="0"/>
        <w:snapToGrid w:val="0"/>
        <w:spacing w:line="360" w:lineRule="auto"/>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rPr>
        <w:t>2.货物维护措施：须提供货物的售后维护计划和措施</w:t>
      </w:r>
      <w:r>
        <w:rPr>
          <w:rFonts w:hint="eastAsia" w:ascii="宋体" w:hAnsi="宋体" w:eastAsia="宋体" w:cs="Times New Roman"/>
          <w:color w:val="auto"/>
          <w:szCs w:val="21"/>
          <w:lang w:eastAsia="zh-CN"/>
        </w:rPr>
        <w:t>；</w:t>
      </w:r>
    </w:p>
    <w:p>
      <w:pPr>
        <w:adjustRightInd w:val="0"/>
        <w:snapToGrid w:val="0"/>
        <w:spacing w:line="360" w:lineRule="auto"/>
        <w:ind w:firstLine="420" w:firstLineChars="200"/>
        <w:rPr>
          <w:rFonts w:hint="eastAsia" w:ascii="宋体" w:hAnsi="宋体" w:eastAsia="宋体" w:cs="Times New Roman"/>
          <w:b/>
          <w:color w:val="auto"/>
          <w:szCs w:val="21"/>
          <w:lang w:val="en-US" w:eastAsia="zh-CN"/>
        </w:rPr>
      </w:pPr>
      <w:r>
        <w:rPr>
          <w:rFonts w:hint="eastAsia" w:ascii="宋体" w:hAnsi="宋体" w:eastAsia="宋体" w:cs="Times New Roman"/>
          <w:color w:val="auto"/>
          <w:szCs w:val="21"/>
        </w:rPr>
        <w:t>3.故障响应时间：</w:t>
      </w:r>
      <w:bookmarkStart w:id="3" w:name="OLE_LINK4"/>
      <w:r>
        <w:rPr>
          <w:rFonts w:hint="eastAsia" w:ascii="宋体" w:hAnsi="宋体" w:eastAsia="宋体" w:cs="Times New Roman"/>
          <w:color w:val="auto"/>
          <w:szCs w:val="21"/>
        </w:rPr>
        <w:t>接到使用方的故障维修要求后，</w:t>
      </w:r>
      <w:r>
        <w:rPr>
          <w:rFonts w:hint="eastAsia" w:ascii="宋体" w:hAnsi="宋体" w:eastAsia="宋体" w:cs="Times New Roman"/>
          <w:color w:val="auto"/>
          <w:szCs w:val="21"/>
          <w:lang w:eastAsia="zh-CN"/>
        </w:rPr>
        <w:t>成交人</w:t>
      </w:r>
      <w:r>
        <w:rPr>
          <w:rFonts w:hint="eastAsia" w:ascii="宋体" w:hAnsi="宋体" w:eastAsia="宋体" w:cs="Times New Roman"/>
          <w:color w:val="auto"/>
          <w:szCs w:val="21"/>
        </w:rPr>
        <w:t>一般必须在</w:t>
      </w:r>
      <w:r>
        <w:rPr>
          <w:rFonts w:hint="eastAsia" w:ascii="宋体" w:hAnsi="宋体" w:eastAsia="宋体" w:cs="Times New Roman"/>
          <w:color w:val="auto"/>
          <w:szCs w:val="21"/>
          <w:lang w:val="en-US" w:eastAsia="zh-CN"/>
        </w:rPr>
        <w:t>1</w:t>
      </w:r>
      <w:r>
        <w:rPr>
          <w:rFonts w:hint="eastAsia" w:ascii="宋体" w:hAnsi="宋体" w:eastAsia="宋体" w:cs="Times New Roman"/>
          <w:color w:val="auto"/>
          <w:szCs w:val="21"/>
        </w:rPr>
        <w:t>小时内回应具体维修安排和措施，并在</w:t>
      </w:r>
      <w:r>
        <w:rPr>
          <w:rFonts w:hint="eastAsia" w:ascii="宋体" w:hAnsi="宋体" w:eastAsia="宋体" w:cs="Times New Roman"/>
          <w:color w:val="auto"/>
          <w:szCs w:val="21"/>
          <w:lang w:val="en-US" w:eastAsia="zh-CN"/>
        </w:rPr>
        <w:t>4</w:t>
      </w:r>
      <w:r>
        <w:rPr>
          <w:rFonts w:hint="eastAsia" w:ascii="宋体" w:hAnsi="宋体" w:eastAsia="宋体" w:cs="Times New Roman"/>
          <w:color w:val="auto"/>
          <w:szCs w:val="21"/>
        </w:rPr>
        <w:t>小时内排除故障；使用方有特别要求的，必须按使用方要求进行处理。</w:t>
      </w:r>
      <w:bookmarkEnd w:id="3"/>
    </w:p>
    <w:p>
      <w:pPr>
        <w:adjustRightInd w:val="0"/>
        <w:snapToGrid w:val="0"/>
        <w:spacing w:line="360" w:lineRule="auto"/>
        <w:ind w:firstLine="422" w:firstLineChars="200"/>
        <w:rPr>
          <w:rFonts w:hint="eastAsia" w:ascii="宋体" w:hAnsi="宋体" w:eastAsia="宋体" w:cs="Times New Roman"/>
          <w:b/>
          <w:color w:val="auto"/>
          <w:szCs w:val="21"/>
          <w:lang w:val="en-US" w:eastAsia="zh-CN"/>
        </w:rPr>
      </w:pPr>
      <w:r>
        <w:rPr>
          <w:rFonts w:hint="eastAsia" w:ascii="宋体" w:hAnsi="宋体" w:eastAsia="宋体" w:cs="Times New Roman"/>
          <w:b/>
          <w:color w:val="auto"/>
          <w:szCs w:val="21"/>
          <w:lang w:val="en-US" w:eastAsia="zh-CN"/>
        </w:rPr>
        <w:t>七、其他要求及说明</w:t>
      </w:r>
    </w:p>
    <w:p>
      <w:pPr>
        <w:adjustRightInd w:val="0"/>
        <w:snapToGrid w:val="0"/>
        <w:spacing w:line="360" w:lineRule="auto"/>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1.交货时间、地点和方式</w:t>
      </w:r>
    </w:p>
    <w:p>
      <w:pPr>
        <w:adjustRightInd w:val="0"/>
        <w:snapToGrid w:val="0"/>
        <w:spacing w:line="360" w:lineRule="auto"/>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rPr>
        <w:t>（1）交货时间：</w:t>
      </w:r>
      <w:r>
        <w:rPr>
          <w:rFonts w:hint="eastAsia" w:ascii="宋体" w:hAnsi="宋体" w:eastAsia="宋体" w:cs="Times New Roman"/>
          <w:color w:val="auto"/>
          <w:szCs w:val="21"/>
          <w:u w:val="none"/>
          <w:lang w:eastAsia="zh-CN"/>
        </w:rPr>
        <w:t>自</w:t>
      </w:r>
      <w:r>
        <w:rPr>
          <w:rFonts w:hint="eastAsia" w:ascii="宋体" w:hAnsi="宋体" w:eastAsia="宋体" w:cs="Times New Roman"/>
          <w:color w:val="auto"/>
          <w:szCs w:val="21"/>
          <w:u w:val="none"/>
        </w:rPr>
        <w:t>采购合同</w:t>
      </w:r>
      <w:r>
        <w:rPr>
          <w:rFonts w:hint="eastAsia" w:ascii="宋体" w:hAnsi="宋体" w:eastAsia="宋体" w:cs="Times New Roman"/>
          <w:color w:val="auto"/>
          <w:szCs w:val="21"/>
          <w:u w:val="none"/>
          <w:lang w:eastAsia="zh-CN"/>
        </w:rPr>
        <w:t>签订</w:t>
      </w:r>
      <w:r>
        <w:rPr>
          <w:rFonts w:hint="eastAsia" w:ascii="宋体" w:hAnsi="宋体" w:eastAsia="宋体" w:cs="Times New Roman"/>
          <w:color w:val="auto"/>
          <w:szCs w:val="21"/>
          <w:u w:val="none"/>
        </w:rPr>
        <w:t>之日</w:t>
      </w:r>
      <w:r>
        <w:rPr>
          <w:rFonts w:hint="eastAsia" w:ascii="宋体" w:hAnsi="宋体" w:eastAsia="宋体" w:cs="Times New Roman"/>
          <w:color w:val="auto"/>
          <w:szCs w:val="21"/>
          <w:u w:val="none"/>
          <w:lang w:eastAsia="zh-CN"/>
        </w:rPr>
        <w:t>起</w:t>
      </w:r>
      <w:r>
        <w:rPr>
          <w:rFonts w:hint="eastAsia" w:ascii="宋体" w:hAnsi="宋体" w:eastAsia="宋体" w:cs="Times New Roman"/>
          <w:color w:val="auto"/>
          <w:szCs w:val="21"/>
          <w:u w:val="none"/>
          <w:lang w:val="en-US" w:eastAsia="zh-CN"/>
        </w:rPr>
        <w:t xml:space="preserve"> 15日历日内。</w:t>
      </w:r>
    </w:p>
    <w:p>
      <w:pPr>
        <w:adjustRightInd w:val="0"/>
        <w:snapToGrid w:val="0"/>
        <w:spacing w:line="360" w:lineRule="auto"/>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（2）交货地点：采购人指定的安装地点</w:t>
      </w:r>
    </w:p>
    <w:p>
      <w:pPr>
        <w:adjustRightInd w:val="0"/>
        <w:snapToGrid w:val="0"/>
        <w:spacing w:line="360" w:lineRule="auto"/>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（3）交货方式：所有货物（含辅材、附件、备品备件等）送达交货地点，并安装调试完毕</w:t>
      </w:r>
    </w:p>
    <w:p>
      <w:pPr>
        <w:adjustRightInd w:val="0"/>
        <w:snapToGrid w:val="0"/>
        <w:spacing w:line="360" w:lineRule="auto"/>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lang w:val="en-US" w:eastAsia="zh-CN"/>
        </w:rPr>
        <w:t>2.付款方式：雨花区高桥街道社区卫生服务中心（单位自行支付），</w:t>
      </w:r>
      <w:r>
        <w:rPr>
          <w:rFonts w:hint="eastAsia" w:ascii="宋体" w:hAnsi="宋体" w:eastAsia="宋体" w:cs="Times New Roman"/>
          <w:color w:val="auto"/>
          <w:szCs w:val="21"/>
          <w:highlight w:val="none"/>
          <w:lang w:val="en-US" w:eastAsia="zh-CN"/>
        </w:rPr>
        <w:t>货物安装调试第一阶段完成后支付合同金额的30%货款，货物安装调试第二阶段完成后的6个月内付至合同金额的90%，验收合格完成一年后一次性支付剩余金额。</w:t>
      </w:r>
    </w:p>
    <w:p>
      <w:pPr>
        <w:adjustRightInd w:val="0"/>
        <w:snapToGrid w:val="0"/>
        <w:spacing w:line="360" w:lineRule="auto"/>
        <w:ind w:firstLine="420" w:firstLineChars="200"/>
        <w:rPr>
          <w:rFonts w:hint="default" w:ascii="宋体" w:hAnsi="宋体" w:eastAsia="宋体" w:cs="Times New Roman"/>
          <w:color w:val="auto"/>
          <w:szCs w:val="21"/>
          <w:lang w:val="en-US" w:eastAsia="zh-CN"/>
        </w:rPr>
      </w:pPr>
      <w:r>
        <w:rPr>
          <w:rFonts w:hint="default" w:ascii="宋体" w:hAnsi="宋体" w:eastAsia="宋体" w:cs="Times New Roman"/>
          <w:color w:val="auto"/>
          <w:szCs w:val="21"/>
          <w:lang w:val="en-US" w:eastAsia="zh-CN"/>
        </w:rPr>
        <w:t>3.设备所需的试剂耗材不</w:t>
      </w:r>
      <w:r>
        <w:rPr>
          <w:rFonts w:hint="eastAsia" w:ascii="宋体" w:hAnsi="宋体" w:eastAsia="宋体" w:cs="Times New Roman"/>
          <w:color w:val="auto"/>
          <w:szCs w:val="21"/>
          <w:lang w:val="en-US" w:eastAsia="zh-CN"/>
        </w:rPr>
        <w:t>在</w:t>
      </w:r>
      <w:r>
        <w:rPr>
          <w:rFonts w:hint="default" w:ascii="宋体" w:hAnsi="宋体" w:eastAsia="宋体" w:cs="Times New Roman"/>
          <w:color w:val="auto"/>
          <w:szCs w:val="21"/>
          <w:lang w:val="en-US" w:eastAsia="zh-CN"/>
        </w:rPr>
        <w:t>此次采购范围，采购人将另行自行采购。</w:t>
      </w:r>
    </w:p>
    <w:p>
      <w:pPr>
        <w:spacing w:line="400" w:lineRule="exact"/>
        <w:ind w:firstLine="422" w:firstLineChars="200"/>
        <w:rPr>
          <w:rFonts w:hint="eastAsia" w:ascii="宋体" w:hAnsi="宋体" w:eastAsia="宋体" w:cs="宋体"/>
          <w:b/>
          <w:bCs/>
          <w:color w:val="000000"/>
          <w:sz w:val="21"/>
          <w:szCs w:val="21"/>
          <w:highlight w:val="none"/>
        </w:rPr>
      </w:pPr>
    </w:p>
    <w:p>
      <w:pPr>
        <w:spacing w:line="400" w:lineRule="exact"/>
        <w:ind w:firstLine="422" w:firstLineChars="200"/>
      </w:pPr>
      <w:r>
        <w:rPr>
          <w:rFonts w:hint="eastAsia" w:ascii="宋体" w:hAnsi="宋体" w:eastAsia="宋体" w:cs="宋体"/>
          <w:b/>
          <w:bCs/>
          <w:color w:val="000000"/>
          <w:sz w:val="21"/>
          <w:szCs w:val="21"/>
          <w:highlight w:val="none"/>
        </w:rPr>
        <w:t>对于上述项目要求，投标人应在投标文件中进行响应，并做出承诺及说明。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CF2687"/>
    <w:multiLevelType w:val="singleLevel"/>
    <w:tmpl w:val="58CF268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xNTJhYWZhNGM2NjMwMWMxZjg0NmNhNDk2NzE4ZmQifQ=="/>
  </w:docVars>
  <w:rsids>
    <w:rsidRoot w:val="0DC46C9A"/>
    <w:rsid w:val="0DC46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widowControl w:val="0"/>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6">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next w:val="1"/>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table" w:styleId="5">
    <w:name w:val="Table Grid"/>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0</TotalTime>
  <ScaleCrop>false</ScaleCrop>
  <LinksUpToDate>false</LinksUpToDate>
  <CharactersWithSpaces>0</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2024-03-29T02:24:00Z</dcterms:created>
  <dc:creator>千千小毛麻麻</dc:creator>
  <cp:lastModifiedBy>千千小毛麻麻</cp:lastModifiedBy>
  <dcterms:modified xsi:type="dcterms:W3CDTF">2024-03-29T02:25:09Z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60A33A3D4CCE47E78D818F9F00C69258_11</vt:lpwstr>
  </property>
</Properties>
</file>