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附件1</w:t>
      </w:r>
    </w:p>
    <w:p>
      <w:pPr>
        <w:spacing w:line="600" w:lineRule="exact"/>
        <w:rPr>
          <w:rFonts w:hint="default" w:ascii="Times New Roman" w:hAnsi="Times New Roman" w:eastAsia="黑体" w:cs="Times New Roman"/>
          <w:bCs/>
          <w:color w:val="auto"/>
          <w:sz w:val="32"/>
          <w:szCs w:val="32"/>
        </w:rPr>
      </w:pPr>
    </w:p>
    <w:p>
      <w:pPr>
        <w:spacing w:line="600" w:lineRule="exact"/>
        <w:jc w:val="center"/>
        <w:rPr>
          <w:rFonts w:hint="default" w:ascii="Times New Roman" w:hAnsi="Times New Roman" w:eastAsia="方正大标宋简体" w:cs="Times New Roman"/>
          <w:bCs/>
          <w:color w:val="auto"/>
          <w:sz w:val="44"/>
          <w:szCs w:val="44"/>
        </w:rPr>
      </w:pPr>
      <w:r>
        <w:rPr>
          <w:rFonts w:hint="eastAsia" w:ascii="方正小标宋简体" w:hAnsi="方正小标宋简体" w:eastAsia="方正小标宋简体" w:cs="方正小标宋简体"/>
          <w:bCs/>
          <w:color w:val="auto"/>
          <w:sz w:val="44"/>
          <w:szCs w:val="44"/>
        </w:rPr>
        <w:t>长沙市</w:t>
      </w:r>
      <w:r>
        <w:rPr>
          <w:rFonts w:hint="eastAsia" w:ascii="方正小标宋简体" w:hAnsi="方正小标宋简体" w:eastAsia="方正小标宋简体" w:cs="方正小标宋简体"/>
          <w:bCs/>
          <w:color w:val="auto"/>
          <w:sz w:val="44"/>
          <w:szCs w:val="44"/>
          <w:lang w:eastAsia="zh-CN"/>
        </w:rPr>
        <w:t>雨花区</w:t>
      </w:r>
      <w:r>
        <w:rPr>
          <w:rFonts w:hint="eastAsia" w:ascii="方正小标宋简体" w:hAnsi="方正小标宋简体" w:eastAsia="方正小标宋简体" w:cs="方正小标宋简体"/>
          <w:bCs/>
          <w:color w:val="auto"/>
          <w:sz w:val="44"/>
          <w:szCs w:val="44"/>
        </w:rPr>
        <w:t>本级行政事业性收费目录清单</w:t>
      </w:r>
    </w:p>
    <w:p>
      <w:pPr>
        <w:spacing w:line="600" w:lineRule="exact"/>
        <w:jc w:val="center"/>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val="0"/>
          <w:bCs w:val="0"/>
          <w:color w:val="auto"/>
          <w:sz w:val="32"/>
          <w:szCs w:val="32"/>
        </w:rPr>
        <w:t>（截至20</w:t>
      </w:r>
      <w:r>
        <w:rPr>
          <w:rFonts w:hint="default" w:ascii="Times New Roman" w:hAnsi="Times New Roman" w:eastAsia="楷体_GB2312" w:cs="Times New Roman"/>
          <w:b w:val="0"/>
          <w:bCs w:val="0"/>
          <w:color w:val="auto"/>
          <w:sz w:val="32"/>
          <w:szCs w:val="32"/>
          <w:lang w:val="en-US" w:eastAsia="zh-CN"/>
        </w:rPr>
        <w:t>23</w:t>
      </w:r>
      <w:r>
        <w:rPr>
          <w:rFonts w:hint="default" w:ascii="Times New Roman" w:hAnsi="Times New Roman" w:eastAsia="楷体_GB2312" w:cs="Times New Roman"/>
          <w:b w:val="0"/>
          <w:bCs w:val="0"/>
          <w:color w:val="auto"/>
          <w:sz w:val="32"/>
          <w:szCs w:val="32"/>
        </w:rPr>
        <w:t>年</w:t>
      </w:r>
      <w:r>
        <w:rPr>
          <w:rFonts w:hint="default" w:ascii="Times New Roman" w:hAnsi="Times New Roman" w:eastAsia="楷体_GB2312" w:cs="Times New Roman"/>
          <w:b w:val="0"/>
          <w:bCs w:val="0"/>
          <w:color w:val="auto"/>
          <w:sz w:val="32"/>
          <w:szCs w:val="32"/>
          <w:lang w:val="en-US" w:eastAsia="zh-CN"/>
        </w:rPr>
        <w:t>8</w:t>
      </w:r>
      <w:r>
        <w:rPr>
          <w:rFonts w:hint="default" w:ascii="Times New Roman" w:hAnsi="Times New Roman" w:eastAsia="楷体_GB2312" w:cs="Times New Roman"/>
          <w:b w:val="0"/>
          <w:bCs w:val="0"/>
          <w:color w:val="auto"/>
          <w:sz w:val="32"/>
          <w:szCs w:val="32"/>
        </w:rPr>
        <w:t>月</w:t>
      </w:r>
      <w:r>
        <w:rPr>
          <w:rFonts w:hint="default" w:ascii="Times New Roman" w:hAnsi="Times New Roman" w:eastAsia="楷体_GB2312" w:cs="Times New Roman"/>
          <w:b w:val="0"/>
          <w:bCs w:val="0"/>
          <w:color w:val="auto"/>
          <w:sz w:val="32"/>
          <w:szCs w:val="32"/>
          <w:lang w:eastAsia="zh-CN"/>
        </w:rPr>
        <w:t>底</w:t>
      </w:r>
      <w:r>
        <w:rPr>
          <w:rFonts w:hint="default" w:ascii="Times New Roman" w:hAnsi="Times New Roman" w:eastAsia="楷体_GB2312" w:cs="Times New Roman"/>
          <w:b w:val="0"/>
          <w:bCs w:val="0"/>
          <w:color w:val="auto"/>
          <w:sz w:val="32"/>
          <w:szCs w:val="32"/>
        </w:rPr>
        <w:t>）</w:t>
      </w:r>
    </w:p>
    <w:p>
      <w:pPr>
        <w:spacing w:line="600" w:lineRule="exact"/>
        <w:jc w:val="center"/>
        <w:rPr>
          <w:rFonts w:hint="default" w:ascii="Times New Roman" w:hAnsi="Times New Roman" w:eastAsia="楷体_GB2312" w:cs="Times New Roman"/>
          <w:b/>
          <w:bCs/>
          <w:color w:val="auto"/>
          <w:sz w:val="32"/>
          <w:szCs w:val="32"/>
        </w:rPr>
      </w:pP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现将调整后的《长沙市</w:t>
      </w:r>
      <w:r>
        <w:rPr>
          <w:rFonts w:hint="eastAsia" w:ascii="Times New Roman" w:hAnsi="Times New Roman" w:eastAsia="仿宋_GB2312" w:cs="Times New Roman"/>
          <w:color w:val="auto"/>
          <w:sz w:val="32"/>
          <w:szCs w:val="32"/>
          <w:lang w:eastAsia="zh-CN"/>
        </w:rPr>
        <w:t>雨花区</w:t>
      </w:r>
      <w:r>
        <w:rPr>
          <w:rFonts w:hint="default" w:ascii="Times New Roman" w:hAnsi="Times New Roman" w:eastAsia="仿宋_GB2312" w:cs="Times New Roman"/>
          <w:color w:val="auto"/>
          <w:sz w:val="32"/>
          <w:szCs w:val="32"/>
        </w:rPr>
        <w:t>本级行政事业性收费目录清单》公布如下：</w:t>
      </w:r>
    </w:p>
    <w:tbl>
      <w:tblPr>
        <w:tblStyle w:val="8"/>
        <w:tblW w:w="9011"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15" w:type="dxa"/>
          <w:left w:w="57" w:type="dxa"/>
          <w:bottom w:w="15" w:type="dxa"/>
          <w:right w:w="57" w:type="dxa"/>
        </w:tblCellMar>
      </w:tblPr>
      <w:tblGrid>
        <w:gridCol w:w="533"/>
        <w:gridCol w:w="526"/>
        <w:gridCol w:w="520"/>
        <w:gridCol w:w="907"/>
        <w:gridCol w:w="1817"/>
        <w:gridCol w:w="517"/>
        <w:gridCol w:w="2945"/>
        <w:gridCol w:w="1246"/>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454" w:hRule="atLeast"/>
          <w:tblHeader/>
          <w:jc w:val="center"/>
        </w:trPr>
        <w:tc>
          <w:tcPr>
            <w:tcW w:w="533"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黑体" w:cs="Times New Roman"/>
                <w:bCs/>
                <w:color w:val="auto"/>
                <w:sz w:val="21"/>
                <w:szCs w:val="21"/>
                <w:highlight w:val="none"/>
              </w:rPr>
            </w:pPr>
            <w:r>
              <w:rPr>
                <w:rFonts w:hint="default" w:ascii="Times New Roman" w:hAnsi="Times New Roman" w:eastAsia="黑体" w:cs="Times New Roman"/>
                <w:i w:val="0"/>
                <w:iCs w:val="0"/>
                <w:color w:val="auto"/>
                <w:kern w:val="0"/>
                <w:sz w:val="21"/>
                <w:szCs w:val="21"/>
                <w:highlight w:val="none"/>
                <w:u w:val="none"/>
                <w:lang w:val="en-US" w:eastAsia="zh-CN" w:bidi="ar"/>
              </w:rPr>
              <w:t>分类</w:t>
            </w:r>
          </w:p>
        </w:tc>
        <w:tc>
          <w:tcPr>
            <w:tcW w:w="526"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黑体" w:cs="Times New Roman"/>
                <w:bCs/>
                <w:color w:val="auto"/>
                <w:sz w:val="21"/>
                <w:szCs w:val="21"/>
                <w:highlight w:val="none"/>
              </w:rPr>
            </w:pPr>
            <w:r>
              <w:rPr>
                <w:rFonts w:hint="default" w:ascii="Times New Roman" w:hAnsi="Times New Roman" w:eastAsia="黑体" w:cs="Times New Roman"/>
                <w:i w:val="0"/>
                <w:iCs w:val="0"/>
                <w:color w:val="auto"/>
                <w:kern w:val="0"/>
                <w:sz w:val="21"/>
                <w:szCs w:val="21"/>
                <w:highlight w:val="none"/>
                <w:u w:val="none"/>
                <w:lang w:val="en-US" w:eastAsia="zh-CN" w:bidi="ar"/>
              </w:rPr>
              <w:t>部门</w:t>
            </w:r>
          </w:p>
        </w:tc>
        <w:tc>
          <w:tcPr>
            <w:tcW w:w="520"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黑体" w:cs="Times New Roman"/>
                <w:bCs/>
                <w:color w:val="auto"/>
                <w:sz w:val="21"/>
                <w:szCs w:val="21"/>
                <w:highlight w:val="none"/>
              </w:rPr>
            </w:pPr>
            <w:r>
              <w:rPr>
                <w:rFonts w:hint="default" w:ascii="Times New Roman" w:hAnsi="Times New Roman" w:eastAsia="黑体" w:cs="Times New Roman"/>
                <w:i w:val="0"/>
                <w:iCs w:val="0"/>
                <w:color w:val="auto"/>
                <w:kern w:val="0"/>
                <w:sz w:val="21"/>
                <w:szCs w:val="21"/>
                <w:highlight w:val="none"/>
                <w:u w:val="none"/>
                <w:lang w:val="en-US" w:eastAsia="zh-CN" w:bidi="ar"/>
              </w:rPr>
              <w:t>序号</w:t>
            </w:r>
          </w:p>
        </w:tc>
        <w:tc>
          <w:tcPr>
            <w:tcW w:w="90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1"/>
                <w:szCs w:val="21"/>
                <w:highlight w:val="none"/>
                <w:u w:val="none"/>
                <w:lang w:val="en-US" w:eastAsia="zh-CN" w:bidi="ar"/>
              </w:rPr>
            </w:pPr>
            <w:r>
              <w:rPr>
                <w:rFonts w:hint="default" w:ascii="Times New Roman" w:hAnsi="Times New Roman" w:eastAsia="黑体" w:cs="Times New Roman"/>
                <w:i w:val="0"/>
                <w:iCs w:val="0"/>
                <w:color w:val="auto"/>
                <w:kern w:val="0"/>
                <w:sz w:val="21"/>
                <w:szCs w:val="21"/>
                <w:highlight w:val="none"/>
                <w:u w:val="none"/>
                <w:lang w:val="en-US" w:eastAsia="zh-CN" w:bidi="ar"/>
              </w:rPr>
              <w:t>收费</w:t>
            </w:r>
          </w:p>
          <w:p>
            <w:pPr>
              <w:keepNext w:val="0"/>
              <w:keepLines w:val="0"/>
              <w:widowControl/>
              <w:suppressLineNumbers w:val="0"/>
              <w:jc w:val="center"/>
              <w:textAlignment w:val="center"/>
              <w:rPr>
                <w:rFonts w:hint="default" w:ascii="Times New Roman" w:hAnsi="Times New Roman" w:eastAsia="黑体" w:cs="Times New Roman"/>
                <w:bCs/>
                <w:color w:val="auto"/>
                <w:sz w:val="21"/>
                <w:szCs w:val="21"/>
                <w:highlight w:val="none"/>
              </w:rPr>
            </w:pPr>
            <w:r>
              <w:rPr>
                <w:rFonts w:hint="default" w:ascii="Times New Roman" w:hAnsi="Times New Roman" w:eastAsia="黑体" w:cs="Times New Roman"/>
                <w:i w:val="0"/>
                <w:iCs w:val="0"/>
                <w:color w:val="auto"/>
                <w:kern w:val="0"/>
                <w:sz w:val="21"/>
                <w:szCs w:val="21"/>
                <w:highlight w:val="none"/>
                <w:u w:val="none"/>
                <w:lang w:val="en-US" w:eastAsia="zh-CN" w:bidi="ar"/>
              </w:rPr>
              <w:t>项目</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黑体" w:cs="Times New Roman"/>
                <w:bCs/>
                <w:color w:val="auto"/>
                <w:sz w:val="21"/>
                <w:szCs w:val="21"/>
                <w:highlight w:val="none"/>
              </w:rPr>
            </w:pPr>
            <w:r>
              <w:rPr>
                <w:rFonts w:hint="default" w:ascii="Times New Roman" w:hAnsi="Times New Roman" w:eastAsia="黑体" w:cs="Times New Roman"/>
                <w:i w:val="0"/>
                <w:iCs w:val="0"/>
                <w:color w:val="auto"/>
                <w:kern w:val="0"/>
                <w:sz w:val="21"/>
                <w:szCs w:val="21"/>
                <w:highlight w:val="none"/>
                <w:u w:val="none"/>
                <w:lang w:val="en-US" w:eastAsia="zh-CN" w:bidi="ar"/>
              </w:rPr>
              <w:t>收费标准</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黑体" w:cs="Times New Roman"/>
                <w:bCs/>
                <w:color w:val="auto"/>
                <w:sz w:val="21"/>
                <w:szCs w:val="21"/>
                <w:highlight w:val="none"/>
              </w:rPr>
            </w:pPr>
            <w:r>
              <w:rPr>
                <w:rFonts w:hint="default" w:ascii="Times New Roman" w:hAnsi="Times New Roman" w:eastAsia="黑体" w:cs="Times New Roman"/>
                <w:i w:val="0"/>
                <w:iCs w:val="0"/>
                <w:color w:val="auto"/>
                <w:kern w:val="0"/>
                <w:sz w:val="21"/>
                <w:szCs w:val="21"/>
                <w:highlight w:val="none"/>
                <w:u w:val="none"/>
                <w:lang w:val="en-US" w:eastAsia="zh-CN" w:bidi="ar"/>
              </w:rPr>
              <w:t>立项级次</w:t>
            </w:r>
          </w:p>
        </w:tc>
        <w:tc>
          <w:tcPr>
            <w:tcW w:w="2945"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黑体" w:cs="Times New Roman"/>
                <w:bCs/>
                <w:color w:val="auto"/>
                <w:sz w:val="21"/>
                <w:szCs w:val="21"/>
                <w:highlight w:val="none"/>
              </w:rPr>
            </w:pPr>
            <w:r>
              <w:rPr>
                <w:rFonts w:hint="default" w:ascii="Times New Roman" w:hAnsi="Times New Roman" w:eastAsia="黑体" w:cs="Times New Roman"/>
                <w:i w:val="0"/>
                <w:iCs w:val="0"/>
                <w:color w:val="auto"/>
                <w:kern w:val="0"/>
                <w:sz w:val="21"/>
                <w:szCs w:val="21"/>
                <w:highlight w:val="none"/>
                <w:u w:val="none"/>
                <w:lang w:val="en-US" w:eastAsia="zh-CN" w:bidi="ar"/>
              </w:rPr>
              <w:t>政策依据</w:t>
            </w:r>
          </w:p>
        </w:tc>
        <w:tc>
          <w:tcPr>
            <w:tcW w:w="1246"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黑体" w:cs="Times New Roman"/>
                <w:i w:val="0"/>
                <w:iCs w:val="0"/>
                <w:color w:val="auto"/>
                <w:kern w:val="0"/>
                <w:sz w:val="21"/>
                <w:szCs w:val="21"/>
                <w:highlight w:val="none"/>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4549" w:hRule="atLeast"/>
          <w:jc w:val="center"/>
        </w:trPr>
        <w:tc>
          <w:tcPr>
            <w:tcW w:w="533" w:type="dxa"/>
            <w:vMerge w:val="restart"/>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一</w:t>
            </w:r>
          </w:p>
        </w:tc>
        <w:tc>
          <w:tcPr>
            <w:tcW w:w="526" w:type="dxa"/>
            <w:vMerge w:val="restart"/>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教育</w:t>
            </w:r>
          </w:p>
        </w:tc>
        <w:tc>
          <w:tcPr>
            <w:tcW w:w="520"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1</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Style w:val="16"/>
                <w:rFonts w:hint="default" w:ascii="Times New Roman" w:hAnsi="Times New Roman" w:eastAsia="宋体" w:cs="Times New Roman"/>
                <w:color w:val="auto"/>
                <w:sz w:val="21"/>
                <w:szCs w:val="21"/>
                <w:highlight w:val="none"/>
                <w:lang w:val="en-US" w:eastAsia="zh-CN" w:bidi="ar"/>
              </w:rPr>
              <w:t>、公办幼儿园保教费、住宿费</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Style w:val="17"/>
                <w:rFonts w:hint="default" w:ascii="Times New Roman" w:hAnsi="Times New Roman" w:eastAsia="宋体" w:cs="Times New Roman"/>
                <w:color w:val="auto"/>
                <w:sz w:val="21"/>
                <w:szCs w:val="21"/>
                <w:highlight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一级幼儿园</w:t>
            </w:r>
            <w:r>
              <w:rPr>
                <w:rStyle w:val="17"/>
                <w:rFonts w:hint="default" w:ascii="Times New Roman" w:hAnsi="Times New Roman" w:eastAsia="宋体" w:cs="Times New Roman"/>
                <w:color w:val="auto"/>
                <w:sz w:val="21"/>
                <w:szCs w:val="21"/>
                <w:highlight w:val="none"/>
                <w:lang w:val="en-US" w:eastAsia="zh-CN" w:bidi="ar"/>
              </w:rPr>
              <w:t>保教费</w:t>
            </w:r>
            <w:r>
              <w:rPr>
                <w:rStyle w:val="18"/>
                <w:rFonts w:hint="default" w:ascii="Times New Roman" w:hAnsi="Times New Roman" w:eastAsia="宋体" w:cs="Times New Roman"/>
                <w:color w:val="auto"/>
                <w:sz w:val="21"/>
                <w:szCs w:val="21"/>
                <w:highlight w:val="none"/>
                <w:lang w:val="en-US" w:eastAsia="zh-CN" w:bidi="ar"/>
              </w:rPr>
              <w:t>700</w:t>
            </w:r>
            <w:r>
              <w:rPr>
                <w:rStyle w:val="17"/>
                <w:rFonts w:hint="default" w:ascii="Times New Roman" w:hAnsi="Times New Roman" w:eastAsia="宋体" w:cs="Times New Roman"/>
                <w:color w:val="auto"/>
                <w:sz w:val="21"/>
                <w:szCs w:val="21"/>
                <w:highlight w:val="none"/>
                <w:lang w:val="en-US" w:eastAsia="zh-CN" w:bidi="ar"/>
              </w:rPr>
              <w:t>元</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生</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月，住宿费</w:t>
            </w:r>
            <w:r>
              <w:rPr>
                <w:rStyle w:val="18"/>
                <w:rFonts w:hint="default" w:ascii="Times New Roman" w:hAnsi="Times New Roman" w:eastAsia="宋体" w:cs="Times New Roman"/>
                <w:color w:val="auto"/>
                <w:sz w:val="21"/>
                <w:szCs w:val="21"/>
                <w:highlight w:val="none"/>
                <w:lang w:val="en-US" w:eastAsia="zh-CN" w:bidi="ar"/>
              </w:rPr>
              <w:t>260</w:t>
            </w:r>
            <w:r>
              <w:rPr>
                <w:rStyle w:val="17"/>
                <w:rFonts w:hint="default" w:ascii="Times New Roman" w:hAnsi="Times New Roman" w:eastAsia="宋体" w:cs="Times New Roman"/>
                <w:color w:val="auto"/>
                <w:sz w:val="21"/>
                <w:szCs w:val="21"/>
                <w:highlight w:val="none"/>
                <w:lang w:val="en-US" w:eastAsia="zh-CN" w:bidi="ar"/>
              </w:rPr>
              <w:t>元</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生</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月；</w:t>
            </w:r>
          </w:p>
          <w:p>
            <w:pPr>
              <w:keepNext w:val="0"/>
              <w:keepLines w:val="0"/>
              <w:widowControl/>
              <w:suppressLineNumbers w:val="0"/>
              <w:jc w:val="center"/>
              <w:textAlignment w:val="center"/>
              <w:rPr>
                <w:rStyle w:val="17"/>
                <w:rFonts w:hint="default" w:ascii="Times New Roman" w:hAnsi="Times New Roman" w:eastAsia="宋体" w:cs="Times New Roman"/>
                <w:color w:val="auto"/>
                <w:sz w:val="21"/>
                <w:szCs w:val="21"/>
                <w:highlight w:val="none"/>
                <w:lang w:val="en-US" w:eastAsia="zh-CN" w:bidi="ar"/>
              </w:rPr>
            </w:pPr>
            <w:r>
              <w:rPr>
                <w:rStyle w:val="17"/>
                <w:rFonts w:hint="default" w:ascii="Times New Roman" w:hAnsi="Times New Roman" w:eastAsia="宋体" w:cs="Times New Roman"/>
                <w:color w:val="auto"/>
                <w:sz w:val="21"/>
                <w:szCs w:val="21"/>
                <w:highlight w:val="none"/>
                <w:lang w:val="en-US" w:eastAsia="zh-CN" w:bidi="ar"/>
              </w:rPr>
              <w:t>二级幼儿园保教费6</w:t>
            </w:r>
            <w:r>
              <w:rPr>
                <w:rStyle w:val="18"/>
                <w:rFonts w:hint="default" w:ascii="Times New Roman" w:hAnsi="Times New Roman" w:eastAsia="宋体" w:cs="Times New Roman"/>
                <w:color w:val="auto"/>
                <w:sz w:val="21"/>
                <w:szCs w:val="21"/>
                <w:highlight w:val="none"/>
                <w:lang w:val="en-US" w:eastAsia="zh-CN" w:bidi="ar"/>
              </w:rPr>
              <w:t>00</w:t>
            </w:r>
            <w:r>
              <w:rPr>
                <w:rStyle w:val="17"/>
                <w:rFonts w:hint="default" w:ascii="Times New Roman" w:hAnsi="Times New Roman" w:eastAsia="宋体" w:cs="Times New Roman"/>
                <w:color w:val="auto"/>
                <w:sz w:val="21"/>
                <w:szCs w:val="21"/>
                <w:highlight w:val="none"/>
                <w:lang w:val="en-US" w:eastAsia="zh-CN" w:bidi="ar"/>
              </w:rPr>
              <w:t>元</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生</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月，住宿费</w:t>
            </w:r>
            <w:r>
              <w:rPr>
                <w:rStyle w:val="18"/>
                <w:rFonts w:hint="default" w:ascii="Times New Roman" w:hAnsi="Times New Roman" w:eastAsia="宋体" w:cs="Times New Roman"/>
                <w:color w:val="auto"/>
                <w:sz w:val="21"/>
                <w:szCs w:val="21"/>
                <w:highlight w:val="none"/>
                <w:lang w:val="en-US" w:eastAsia="zh-CN" w:bidi="ar"/>
              </w:rPr>
              <w:t>230</w:t>
            </w:r>
            <w:r>
              <w:rPr>
                <w:rStyle w:val="17"/>
                <w:rFonts w:hint="default" w:ascii="Times New Roman" w:hAnsi="Times New Roman" w:eastAsia="宋体" w:cs="Times New Roman"/>
                <w:color w:val="auto"/>
                <w:sz w:val="21"/>
                <w:szCs w:val="21"/>
                <w:highlight w:val="none"/>
                <w:lang w:val="en-US" w:eastAsia="zh-CN" w:bidi="ar"/>
              </w:rPr>
              <w:t>元</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生</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月；</w:t>
            </w:r>
          </w:p>
          <w:p>
            <w:pPr>
              <w:keepNext w:val="0"/>
              <w:keepLines w:val="0"/>
              <w:widowControl/>
              <w:suppressLineNumbers w:val="0"/>
              <w:jc w:val="center"/>
              <w:textAlignment w:val="center"/>
              <w:rPr>
                <w:rStyle w:val="17"/>
                <w:rFonts w:hint="default" w:ascii="Times New Roman" w:hAnsi="Times New Roman" w:eastAsia="宋体" w:cs="Times New Roman"/>
                <w:color w:val="auto"/>
                <w:sz w:val="21"/>
                <w:szCs w:val="21"/>
                <w:highlight w:val="none"/>
                <w:lang w:val="en-US" w:eastAsia="zh-CN" w:bidi="ar"/>
              </w:rPr>
            </w:pPr>
            <w:r>
              <w:rPr>
                <w:rStyle w:val="17"/>
                <w:rFonts w:hint="default" w:ascii="Times New Roman" w:hAnsi="Times New Roman" w:eastAsia="宋体" w:cs="Times New Roman"/>
                <w:color w:val="auto"/>
                <w:sz w:val="21"/>
                <w:szCs w:val="21"/>
                <w:highlight w:val="none"/>
                <w:lang w:val="en-US" w:eastAsia="zh-CN" w:bidi="ar"/>
              </w:rPr>
              <w:t>三级幼儿园保教费</w:t>
            </w:r>
            <w:r>
              <w:rPr>
                <w:rStyle w:val="18"/>
                <w:rFonts w:hint="default" w:ascii="Times New Roman" w:hAnsi="Times New Roman" w:eastAsia="宋体" w:cs="Times New Roman"/>
                <w:color w:val="auto"/>
                <w:sz w:val="21"/>
                <w:szCs w:val="21"/>
                <w:highlight w:val="none"/>
                <w:lang w:val="en-US" w:eastAsia="zh-CN" w:bidi="ar"/>
              </w:rPr>
              <w:t>500</w:t>
            </w:r>
            <w:r>
              <w:rPr>
                <w:rStyle w:val="17"/>
                <w:rFonts w:hint="default" w:ascii="Times New Roman" w:hAnsi="Times New Roman" w:eastAsia="宋体" w:cs="Times New Roman"/>
                <w:color w:val="auto"/>
                <w:sz w:val="21"/>
                <w:szCs w:val="21"/>
                <w:highlight w:val="none"/>
                <w:lang w:val="en-US" w:eastAsia="zh-CN" w:bidi="ar"/>
              </w:rPr>
              <w:t>元</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生</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月，住宿费</w:t>
            </w:r>
            <w:r>
              <w:rPr>
                <w:rStyle w:val="18"/>
                <w:rFonts w:hint="default" w:ascii="Times New Roman" w:hAnsi="Times New Roman" w:eastAsia="宋体" w:cs="Times New Roman"/>
                <w:color w:val="auto"/>
                <w:sz w:val="21"/>
                <w:szCs w:val="21"/>
                <w:highlight w:val="none"/>
                <w:lang w:val="en-US" w:eastAsia="zh-CN" w:bidi="ar"/>
              </w:rPr>
              <w:t>200</w:t>
            </w:r>
            <w:r>
              <w:rPr>
                <w:rStyle w:val="17"/>
                <w:rFonts w:hint="default" w:ascii="Times New Roman" w:hAnsi="Times New Roman" w:eastAsia="宋体" w:cs="Times New Roman"/>
                <w:color w:val="auto"/>
                <w:sz w:val="21"/>
                <w:szCs w:val="21"/>
                <w:highlight w:val="none"/>
                <w:lang w:val="en-US" w:eastAsia="zh-CN" w:bidi="ar"/>
              </w:rPr>
              <w:t>元</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生</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月；</w:t>
            </w:r>
          </w:p>
          <w:p>
            <w:pPr>
              <w:keepNext w:val="0"/>
              <w:keepLines w:val="0"/>
              <w:widowControl/>
              <w:suppressLineNumbers w:val="0"/>
              <w:jc w:val="center"/>
              <w:textAlignment w:val="center"/>
              <w:rPr>
                <w:rStyle w:val="17"/>
                <w:rFonts w:hint="default" w:ascii="Times New Roman" w:hAnsi="Times New Roman" w:eastAsia="宋体" w:cs="Times New Roman"/>
                <w:color w:val="auto"/>
                <w:sz w:val="21"/>
                <w:szCs w:val="21"/>
                <w:highlight w:val="none"/>
                <w:lang w:val="en-US" w:eastAsia="zh-CN" w:bidi="ar"/>
              </w:rPr>
            </w:pPr>
            <w:r>
              <w:rPr>
                <w:rStyle w:val="17"/>
                <w:rFonts w:hint="default" w:ascii="Times New Roman" w:hAnsi="Times New Roman" w:eastAsia="宋体" w:cs="Times New Roman"/>
                <w:color w:val="auto"/>
                <w:sz w:val="21"/>
                <w:szCs w:val="21"/>
                <w:highlight w:val="none"/>
                <w:lang w:val="en-US" w:eastAsia="zh-CN" w:bidi="ar"/>
              </w:rPr>
              <w:t>四级幼儿园保教费</w:t>
            </w:r>
            <w:r>
              <w:rPr>
                <w:rStyle w:val="18"/>
                <w:rFonts w:hint="default" w:ascii="Times New Roman" w:hAnsi="Times New Roman" w:eastAsia="宋体" w:cs="Times New Roman"/>
                <w:color w:val="auto"/>
                <w:sz w:val="21"/>
                <w:szCs w:val="21"/>
                <w:highlight w:val="none"/>
                <w:lang w:val="en-US" w:eastAsia="zh-CN" w:bidi="ar"/>
              </w:rPr>
              <w:t>450</w:t>
            </w:r>
            <w:r>
              <w:rPr>
                <w:rStyle w:val="17"/>
                <w:rFonts w:hint="default" w:ascii="Times New Roman" w:hAnsi="Times New Roman" w:eastAsia="宋体" w:cs="Times New Roman"/>
                <w:color w:val="auto"/>
                <w:sz w:val="21"/>
                <w:szCs w:val="21"/>
                <w:highlight w:val="none"/>
                <w:lang w:val="en-US" w:eastAsia="zh-CN" w:bidi="ar"/>
              </w:rPr>
              <w:t>元</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生</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月，住宿费</w:t>
            </w:r>
            <w:r>
              <w:rPr>
                <w:rStyle w:val="18"/>
                <w:rFonts w:hint="default" w:ascii="Times New Roman" w:hAnsi="Times New Roman" w:eastAsia="宋体" w:cs="Times New Roman"/>
                <w:color w:val="auto"/>
                <w:sz w:val="21"/>
                <w:szCs w:val="21"/>
                <w:highlight w:val="none"/>
                <w:lang w:val="en-US" w:eastAsia="zh-CN" w:bidi="ar"/>
              </w:rPr>
              <w:t>180</w:t>
            </w:r>
            <w:r>
              <w:rPr>
                <w:rStyle w:val="17"/>
                <w:rFonts w:hint="default" w:ascii="Times New Roman" w:hAnsi="Times New Roman" w:eastAsia="宋体" w:cs="Times New Roman"/>
                <w:color w:val="auto"/>
                <w:sz w:val="21"/>
                <w:szCs w:val="21"/>
                <w:highlight w:val="none"/>
                <w:lang w:val="en-US" w:eastAsia="zh-CN" w:bidi="ar"/>
              </w:rPr>
              <w:t>元</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生</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月；</w:t>
            </w:r>
          </w:p>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Style w:val="17"/>
                <w:rFonts w:hint="default" w:ascii="Times New Roman" w:hAnsi="Times New Roman" w:eastAsia="宋体" w:cs="Times New Roman"/>
                <w:color w:val="auto"/>
                <w:sz w:val="21"/>
                <w:szCs w:val="21"/>
                <w:highlight w:val="none"/>
                <w:lang w:val="en-US" w:eastAsia="zh-CN" w:bidi="ar"/>
              </w:rPr>
              <w:t>简易园保教费</w:t>
            </w:r>
            <w:r>
              <w:rPr>
                <w:rStyle w:val="18"/>
                <w:rFonts w:hint="default" w:ascii="Times New Roman" w:hAnsi="Times New Roman" w:eastAsia="宋体" w:cs="Times New Roman"/>
                <w:color w:val="auto"/>
                <w:sz w:val="21"/>
                <w:szCs w:val="21"/>
                <w:highlight w:val="none"/>
                <w:lang w:val="en-US" w:eastAsia="zh-CN" w:bidi="ar"/>
              </w:rPr>
              <w:t>200</w:t>
            </w:r>
            <w:r>
              <w:rPr>
                <w:rStyle w:val="17"/>
                <w:rFonts w:hint="default" w:ascii="Times New Roman" w:hAnsi="Times New Roman" w:eastAsia="宋体" w:cs="Times New Roman"/>
                <w:color w:val="auto"/>
                <w:sz w:val="21"/>
                <w:szCs w:val="21"/>
                <w:highlight w:val="none"/>
                <w:lang w:val="en-US" w:eastAsia="zh-CN" w:bidi="ar"/>
              </w:rPr>
              <w:t>元</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生</w:t>
            </w:r>
            <w:r>
              <w:rPr>
                <w:rStyle w:val="18"/>
                <w:rFonts w:hint="default" w:ascii="Times New Roman" w:hAnsi="Times New Roman" w:eastAsia="宋体" w:cs="Times New Roman"/>
                <w:color w:val="auto"/>
                <w:sz w:val="21"/>
                <w:szCs w:val="21"/>
                <w:highlight w:val="none"/>
                <w:lang w:val="en-US" w:eastAsia="zh-CN" w:bidi="ar"/>
              </w:rPr>
              <w:t>·</w:t>
            </w:r>
            <w:r>
              <w:rPr>
                <w:rStyle w:val="17"/>
                <w:rFonts w:hint="default" w:ascii="Times New Roman" w:hAnsi="Times New Roman" w:eastAsia="宋体" w:cs="Times New Roman"/>
                <w:color w:val="auto"/>
                <w:sz w:val="21"/>
                <w:szCs w:val="21"/>
                <w:highlight w:val="none"/>
                <w:lang w:val="en-US" w:eastAsia="zh-CN" w:bidi="ar"/>
              </w:rPr>
              <w:t>月</w:t>
            </w:r>
            <w:r>
              <w:rPr>
                <w:rStyle w:val="18"/>
                <w:rFonts w:hint="default" w:ascii="Times New Roman" w:hAnsi="Times New Roman" w:cs="Times New Roman"/>
                <w:color w:val="auto"/>
                <w:sz w:val="21"/>
                <w:szCs w:val="21"/>
                <w:highlight w:val="none"/>
                <w:lang w:val="en-US" w:eastAsia="zh-CN" w:bidi="ar"/>
              </w:rPr>
              <w:t>。</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中央</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《幼儿园管理条例》，发改价格〔2011〕3207号，教财〔2020〕5号，湘发改价费规〔2020〕659号，湘发改价费规〔2023〕468号，长发改价费〔2020〕265号</w:t>
            </w:r>
          </w:p>
        </w:tc>
        <w:tc>
          <w:tcPr>
            <w:tcW w:w="1246" w:type="dxa"/>
            <w:noWrap w:val="0"/>
            <w:tcMar>
              <w:top w:w="15" w:type="dxa"/>
              <w:left w:w="28" w:type="dxa"/>
              <w:bottom w:w="15" w:type="dxa"/>
              <w:right w:w="28" w:type="dxa"/>
            </w:tcMar>
            <w:vAlign w:val="center"/>
          </w:tcPr>
          <w:p>
            <w:pPr>
              <w:jc w:val="both"/>
              <w:rPr>
                <w:rFonts w:hint="default" w:ascii="Times New Roman" w:hAnsi="Times New Roman" w:eastAsia="宋体" w:cs="Times New Roman"/>
                <w:i w:val="0"/>
                <w:iCs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1830" w:hRule="atLeast"/>
          <w:jc w:val="center"/>
        </w:trPr>
        <w:tc>
          <w:tcPr>
            <w:tcW w:w="533"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
                <w:bCs/>
                <w:color w:val="auto"/>
                <w:sz w:val="21"/>
                <w:szCs w:val="21"/>
                <w:highlight w:val="none"/>
              </w:rPr>
            </w:pPr>
          </w:p>
        </w:tc>
        <w:tc>
          <w:tcPr>
            <w:tcW w:w="526"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color w:val="auto"/>
                <w:sz w:val="21"/>
                <w:szCs w:val="21"/>
                <w:highlight w:val="none"/>
              </w:rPr>
            </w:pPr>
          </w:p>
        </w:tc>
        <w:tc>
          <w:tcPr>
            <w:tcW w:w="520"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2</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Style w:val="16"/>
                <w:rFonts w:hint="default" w:ascii="Times New Roman" w:hAnsi="Times New Roman" w:eastAsia="宋体" w:cs="Times New Roman"/>
                <w:color w:val="auto"/>
                <w:sz w:val="21"/>
                <w:szCs w:val="21"/>
                <w:highlight w:val="none"/>
                <w:lang w:val="en-US" w:eastAsia="zh-CN" w:bidi="ar"/>
              </w:rPr>
              <w:t>、普通高中学费、住宿费</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省级示范高中学费1000元/生·期</w:t>
            </w:r>
            <w:r>
              <w:rPr>
                <w:rFonts w:hint="default" w:ascii="Times New Roman" w:hAnsi="Times New Roman" w:cs="Times New Roman"/>
                <w:i w:val="0"/>
                <w:iCs w:val="0"/>
                <w:color w:val="auto"/>
                <w:kern w:val="0"/>
                <w:sz w:val="21"/>
                <w:szCs w:val="21"/>
                <w:highlight w:val="none"/>
                <w:u w:val="none"/>
                <w:lang w:val="en-US" w:eastAsia="zh-CN" w:bidi="ar"/>
              </w:rPr>
              <w:t>；</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其他高中学费800元/生·期。</w:t>
            </w:r>
          </w:p>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住宿费详见文件。</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中央</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《中华人民共和国教育法》</w:t>
            </w:r>
            <w:r>
              <w:rPr>
                <w:rFonts w:hint="eastAsia" w:ascii="Times New Roman" w:hAnsi="Times New Roman" w:eastAsia="宋体" w:cs="Times New Roman"/>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《中华人民共和国价格法》</w:t>
            </w:r>
            <w:r>
              <w:rPr>
                <w:rFonts w:hint="eastAsia" w:ascii="Times New Roman" w:hAnsi="Times New Roman" w:eastAsia="宋体" w:cs="Times New Roman"/>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教财〔2020〕5号</w:t>
            </w:r>
            <w:r>
              <w:rPr>
                <w:rFonts w:hint="eastAsia" w:ascii="Times New Roman" w:hAnsi="Times New Roman" w:eastAsia="宋体" w:cs="Times New Roman"/>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湘发改价费〔2017〕915号</w:t>
            </w:r>
            <w:r>
              <w:rPr>
                <w:rFonts w:hint="eastAsia" w:ascii="Times New Roman" w:hAnsi="Times New Roman" w:eastAsia="宋体" w:cs="Times New Roman"/>
                <w:i w:val="0"/>
                <w:iCs w:val="0"/>
                <w:color w:val="auto"/>
                <w:kern w:val="0"/>
                <w:sz w:val="21"/>
                <w:szCs w:val="21"/>
                <w:highlight w:val="none"/>
                <w:u w:val="none"/>
                <w:lang w:val="en-US" w:eastAsia="zh-CN" w:bidi="ar"/>
              </w:rPr>
              <w:t>，湘发改价费规</w:t>
            </w:r>
            <w:r>
              <w:rPr>
                <w:rFonts w:hint="default" w:ascii="Times New Roman" w:hAnsi="Times New Roman" w:eastAsia="宋体" w:cs="Times New Roman"/>
                <w:i w:val="0"/>
                <w:iCs w:val="0"/>
                <w:color w:val="auto"/>
                <w:kern w:val="0"/>
                <w:sz w:val="21"/>
                <w:szCs w:val="21"/>
                <w:highlight w:val="none"/>
                <w:u w:val="none"/>
                <w:lang w:val="en-US" w:eastAsia="zh-CN" w:bidi="ar"/>
              </w:rPr>
              <w:t>〔202</w:t>
            </w:r>
            <w:r>
              <w:rPr>
                <w:rFonts w:hint="eastAsia" w:ascii="Times New Roman" w:hAnsi="Times New Roman" w:eastAsia="宋体" w:cs="Times New Roman"/>
                <w:i w:val="0"/>
                <w:iCs w:val="0"/>
                <w:color w:val="auto"/>
                <w:kern w:val="0"/>
                <w:sz w:val="21"/>
                <w:szCs w:val="21"/>
                <w:highlight w:val="none"/>
                <w:u w:val="none"/>
                <w:lang w:val="en-US" w:eastAsia="zh-CN" w:bidi="ar"/>
              </w:rPr>
              <w:t>2</w:t>
            </w:r>
            <w:r>
              <w:rPr>
                <w:rFonts w:hint="default" w:ascii="Times New Roman" w:hAnsi="Times New Roman" w:eastAsia="宋体" w:cs="Times New Roman"/>
                <w:i w:val="0"/>
                <w:iCs w:val="0"/>
                <w:color w:val="auto"/>
                <w:kern w:val="0"/>
                <w:sz w:val="21"/>
                <w:szCs w:val="21"/>
                <w:highlight w:val="none"/>
                <w:u w:val="none"/>
                <w:lang w:val="en-US" w:eastAsia="zh-CN" w:bidi="ar"/>
              </w:rPr>
              <w:t>〕</w:t>
            </w:r>
            <w:r>
              <w:rPr>
                <w:rFonts w:hint="eastAsia" w:ascii="Times New Roman" w:hAnsi="Times New Roman" w:eastAsia="宋体" w:cs="Times New Roman"/>
                <w:i w:val="0"/>
                <w:iCs w:val="0"/>
                <w:color w:val="auto"/>
                <w:kern w:val="0"/>
                <w:sz w:val="21"/>
                <w:szCs w:val="21"/>
                <w:highlight w:val="none"/>
                <w:u w:val="none"/>
                <w:lang w:val="en-US" w:eastAsia="zh-CN" w:bidi="ar"/>
              </w:rPr>
              <w:t>643</w:t>
            </w:r>
            <w:r>
              <w:rPr>
                <w:rFonts w:hint="default" w:ascii="Times New Roman" w:hAnsi="Times New Roman" w:eastAsia="宋体" w:cs="Times New Roman"/>
                <w:i w:val="0"/>
                <w:iCs w:val="0"/>
                <w:color w:val="auto"/>
                <w:kern w:val="0"/>
                <w:sz w:val="21"/>
                <w:szCs w:val="21"/>
                <w:highlight w:val="none"/>
                <w:u w:val="none"/>
                <w:lang w:val="en-US" w:eastAsia="zh-CN" w:bidi="ar"/>
              </w:rPr>
              <w:t>号</w:t>
            </w:r>
            <w:r>
              <w:rPr>
                <w:rFonts w:hint="eastAsia" w:ascii="Times New Roman" w:hAnsi="Times New Roman" w:eastAsia="宋体" w:cs="Times New Roman"/>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湘发改价费规〔2023〕468号</w:t>
            </w:r>
          </w:p>
        </w:tc>
        <w:tc>
          <w:tcPr>
            <w:tcW w:w="1246" w:type="dxa"/>
            <w:noWrap w:val="0"/>
            <w:tcMar>
              <w:top w:w="15" w:type="dxa"/>
              <w:left w:w="28" w:type="dxa"/>
              <w:bottom w:w="15" w:type="dxa"/>
              <w:right w:w="28" w:type="dxa"/>
            </w:tcMar>
            <w:vAlign w:val="center"/>
          </w:tcPr>
          <w:p>
            <w:pPr>
              <w:jc w:val="both"/>
              <w:rPr>
                <w:rFonts w:hint="default" w:ascii="Times New Roman" w:hAnsi="Times New Roman" w:eastAsia="宋体" w:cs="Times New Roman"/>
                <w:i w:val="0"/>
                <w:iCs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2594" w:hRule="atLeast"/>
          <w:jc w:val="center"/>
        </w:trPr>
        <w:tc>
          <w:tcPr>
            <w:tcW w:w="533" w:type="dxa"/>
            <w:tcBorders>
              <w:top w:val="single" w:color="auto" w:sz="4" w:space="0"/>
              <w:left w:val="single" w:color="auto" w:sz="4" w:space="0"/>
              <w:bottom w:val="single" w:color="auto" w:sz="4" w:space="0"/>
              <w:right w:val="single" w:color="auto" w:sz="4" w:space="0"/>
            </w:tcBorders>
            <w:noWrap w:val="0"/>
            <w:tcMar>
              <w:top w:w="15" w:type="dxa"/>
              <w:left w:w="28" w:type="dxa"/>
              <w:bottom w:w="15" w:type="dxa"/>
              <w:right w:w="28" w:type="dxa"/>
            </w:tcMar>
            <w:vAlign w:val="center"/>
          </w:tcPr>
          <w:p>
            <w:pPr>
              <w:keepNext w:val="0"/>
              <w:keepLines w:val="0"/>
              <w:widowControl/>
              <w:suppressLineNumbers w:val="0"/>
              <w:jc w:val="center"/>
              <w:textAlignment w:val="center"/>
              <w:rPr>
                <w:rFonts w:hint="eastAsia"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bCs/>
                <w:color w:val="auto"/>
                <w:sz w:val="21"/>
                <w:szCs w:val="21"/>
                <w:highlight w:val="none"/>
                <w:lang w:val="en-US" w:eastAsia="zh-CN"/>
              </w:rPr>
              <w:t>二</w:t>
            </w:r>
          </w:p>
        </w:tc>
        <w:tc>
          <w:tcPr>
            <w:tcW w:w="526" w:type="dxa"/>
            <w:tcBorders>
              <w:left w:val="single" w:color="auto" w:sz="4" w:space="0"/>
            </w:tcBorders>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住房</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城乡</w:t>
            </w:r>
          </w:p>
          <w:p>
            <w:pPr>
              <w:keepNext w:val="0"/>
              <w:keepLines w:val="0"/>
              <w:widowControl/>
              <w:suppressLineNumbers w:val="0"/>
              <w:jc w:val="center"/>
              <w:textAlignment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建设</w:t>
            </w:r>
          </w:p>
        </w:tc>
        <w:tc>
          <w:tcPr>
            <w:tcW w:w="520"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3</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Style w:val="16"/>
                <w:rFonts w:hint="default" w:ascii="Times New Roman" w:hAnsi="Times New Roman" w:eastAsia="宋体" w:cs="Times New Roman"/>
                <w:color w:val="auto"/>
                <w:sz w:val="21"/>
                <w:szCs w:val="21"/>
                <w:highlight w:val="none"/>
                <w:lang w:val="en-US" w:eastAsia="zh-CN" w:bidi="ar"/>
              </w:rPr>
              <w:t>、</w:t>
            </w:r>
            <w:r>
              <w:rPr>
                <w:rFonts w:hint="eastAsia" w:ascii="Times New Roman" w:hAnsi="Times New Roman" w:eastAsia="宋体" w:cs="Times New Roman"/>
                <w:i w:val="0"/>
                <w:iCs w:val="0"/>
                <w:color w:val="auto"/>
                <w:kern w:val="0"/>
                <w:sz w:val="21"/>
                <w:szCs w:val="21"/>
                <w:highlight w:val="none"/>
                <w:u w:val="none"/>
                <w:lang w:val="en-US" w:eastAsia="zh-CN" w:bidi="ar"/>
              </w:rPr>
              <w:t>城市道路占用、挖掘修复费</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见文件</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中央</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i w:val="0"/>
                <w:iCs w:val="0"/>
                <w:color w:val="auto"/>
                <w:kern w:val="0"/>
                <w:sz w:val="21"/>
                <w:szCs w:val="21"/>
                <w:highlight w:val="none"/>
                <w:u w:val="none"/>
                <w:lang w:val="en-US" w:eastAsia="zh-CN" w:bidi="ar"/>
              </w:rPr>
              <w:t>《城市道路管理条例》，建城〔1993〕410号，财税〔2015〕68号，湘发改价费〔2021〕48号</w:t>
            </w:r>
          </w:p>
        </w:tc>
        <w:tc>
          <w:tcPr>
            <w:tcW w:w="1246" w:type="dxa"/>
            <w:noWrap w:val="0"/>
            <w:tcMar>
              <w:top w:w="15" w:type="dxa"/>
              <w:left w:w="28" w:type="dxa"/>
              <w:bottom w:w="15" w:type="dxa"/>
              <w:right w:w="28" w:type="dxa"/>
            </w:tcMar>
            <w:vAlign w:val="center"/>
          </w:tcPr>
          <w:p>
            <w:pPr>
              <w:jc w:val="both"/>
              <w:rPr>
                <w:rFonts w:hint="default" w:ascii="Times New Roman" w:hAnsi="Times New Roman" w:eastAsia="宋体" w:cs="Times New Roman"/>
                <w:i w:val="0"/>
                <w:iCs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cantSplit/>
          <w:trHeight w:val="4543" w:hRule="atLeast"/>
          <w:jc w:val="center"/>
        </w:trPr>
        <w:tc>
          <w:tcPr>
            <w:tcW w:w="533" w:type="dxa"/>
            <w:tcBorders>
              <w:top w:val="single" w:color="auto" w:sz="4" w:space="0"/>
              <w:bottom w:val="single" w:color="auto" w:sz="4" w:space="0"/>
            </w:tcBorders>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highlight w:val="none"/>
                <w:lang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三</w:t>
            </w:r>
          </w:p>
        </w:tc>
        <w:tc>
          <w:tcPr>
            <w:tcW w:w="526"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水利</w:t>
            </w:r>
          </w:p>
        </w:tc>
        <w:tc>
          <w:tcPr>
            <w:tcW w:w="520"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4</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Style w:val="16"/>
                <w:rFonts w:hint="default" w:ascii="Times New Roman" w:hAnsi="Times New Roman" w:eastAsia="宋体" w:cs="Times New Roman"/>
                <w:color w:val="auto"/>
                <w:sz w:val="21"/>
                <w:szCs w:val="21"/>
                <w:highlight w:val="none"/>
                <w:lang w:val="en-US" w:eastAsia="zh-CN" w:bidi="ar"/>
              </w:rPr>
              <w:t>、水资源费</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auto"/>
                <w:kern w:val="0"/>
                <w:sz w:val="21"/>
                <w:szCs w:val="21"/>
                <w:highlight w:val="none"/>
                <w:u w:val="none"/>
                <w:lang w:val="en-US" w:eastAsia="zh-CN" w:bidi="ar"/>
              </w:rPr>
              <w:t>见文件</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中央</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《中华人民共和国水法》</w:t>
            </w:r>
            <w:r>
              <w:rPr>
                <w:rFonts w:hint="eastAsia" w:ascii="Times New Roman" w:hAnsi="Times New Roman" w:eastAsia="宋体" w:cs="Times New Roman"/>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取水许可和水资源费征收管理条例》，《湖南省取水许可和水资源费征收管理办法》，财税〔2016〕2号，发改价格〔2014〕1959号，发改价格〔2013〕29号，发改价格〔2009〕1779号，财综〔2011〕19号，财综〔2008〕79号，财综〔2003〕89号，价费字〔1992〕181号，财税〔2020〕15号，湘财综〔2018〕40号，湘发改价费〔2018〕683号，湘发改价费规〔2020〕647号，湘发改价费规〔2021〕473号</w:t>
            </w:r>
          </w:p>
        </w:tc>
        <w:tc>
          <w:tcPr>
            <w:tcW w:w="1246" w:type="dxa"/>
            <w:noWrap w:val="0"/>
            <w:tcMar>
              <w:top w:w="15" w:type="dxa"/>
              <w:left w:w="28" w:type="dxa"/>
              <w:bottom w:w="15" w:type="dxa"/>
              <w:right w:w="28" w:type="dxa"/>
            </w:tcMar>
            <w:vAlign w:val="center"/>
          </w:tcPr>
          <w:p>
            <w:pPr>
              <w:jc w:val="both"/>
              <w:rPr>
                <w:rFonts w:hint="default" w:ascii="Times New Roman" w:hAnsi="Times New Roman" w:eastAsia="宋体" w:cs="Times New Roman"/>
                <w:i w:val="0"/>
                <w:iCs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cantSplit/>
          <w:trHeight w:val="1620" w:hRule="atLeast"/>
          <w:jc w:val="center"/>
        </w:trPr>
        <w:tc>
          <w:tcPr>
            <w:tcW w:w="533" w:type="dxa"/>
            <w:vMerge w:val="restart"/>
            <w:tcBorders>
              <w:top w:val="single" w:color="auto" w:sz="4" w:space="0"/>
              <w:bottom w:val="single" w:color="auto" w:sz="4" w:space="0"/>
            </w:tcBorders>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highlight w:val="none"/>
                <w:lang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四</w:t>
            </w:r>
          </w:p>
        </w:tc>
        <w:tc>
          <w:tcPr>
            <w:tcW w:w="526" w:type="dxa"/>
            <w:vMerge w:val="restart"/>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卫生</w:t>
            </w:r>
          </w:p>
          <w:p>
            <w:pPr>
              <w:keepNext w:val="0"/>
              <w:keepLines w:val="0"/>
              <w:widowControl/>
              <w:suppressLineNumbers w:val="0"/>
              <w:jc w:val="center"/>
              <w:textAlignment w:val="center"/>
              <w:rPr>
                <w:rFonts w:hint="default" w:ascii="Times New Roman" w:hAnsi="Times New Roman" w:eastAsia="宋体" w:cs="Times New Roman"/>
                <w:bCs/>
                <w:color w:val="auto"/>
                <w:sz w:val="21"/>
                <w:szCs w:val="21"/>
                <w:highlight w:val="none"/>
                <w:lang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健康</w:t>
            </w:r>
          </w:p>
        </w:tc>
        <w:tc>
          <w:tcPr>
            <w:tcW w:w="520"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Style w:val="16"/>
                <w:rFonts w:hint="default" w:ascii="Times New Roman" w:hAnsi="Times New Roman" w:eastAsia="宋体" w:cs="Times New Roman"/>
                <w:color w:val="auto"/>
                <w:sz w:val="21"/>
                <w:szCs w:val="21"/>
                <w:highlight w:val="none"/>
                <w:lang w:val="en-US" w:eastAsia="zh-CN" w:bidi="ar"/>
              </w:rPr>
              <w:t>、预防接种服务费</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20元/支剂</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中央</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《疫苗流通和预防接种管理条例》，财税〔2016〕14号，财综〔2008〕47号，发改价格〔2016〕488号，湘发改价费规〔2022〕943号</w:t>
            </w:r>
          </w:p>
        </w:tc>
        <w:tc>
          <w:tcPr>
            <w:tcW w:w="1246"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对</w:t>
            </w:r>
            <w:r>
              <w:rPr>
                <w:rFonts w:hint="eastAsia" w:ascii="Times New Roman" w:hAnsi="Times New Roman" w:eastAsia="宋体" w:cs="Times New Roman"/>
                <w:i w:val="0"/>
                <w:iCs w:val="0"/>
                <w:color w:val="auto"/>
                <w:kern w:val="0"/>
                <w:sz w:val="21"/>
                <w:szCs w:val="21"/>
                <w:highlight w:val="none"/>
                <w:u w:val="none"/>
                <w:lang w:val="en-US" w:eastAsia="zh-CN" w:bidi="ar"/>
              </w:rPr>
              <w:t>非免疫规划</w:t>
            </w:r>
            <w:r>
              <w:rPr>
                <w:rFonts w:hint="default" w:ascii="Times New Roman" w:hAnsi="Times New Roman" w:eastAsia="宋体" w:cs="Times New Roman"/>
                <w:i w:val="0"/>
                <w:iCs w:val="0"/>
                <w:color w:val="auto"/>
                <w:kern w:val="0"/>
                <w:sz w:val="21"/>
                <w:szCs w:val="21"/>
                <w:highlight w:val="none"/>
                <w:u w:val="none"/>
                <w:lang w:val="en-US" w:eastAsia="zh-CN" w:bidi="ar"/>
              </w:rPr>
              <w:t>疫苗收取</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cantSplit/>
          <w:trHeight w:val="1578" w:hRule="atLeast"/>
          <w:jc w:val="center"/>
        </w:trPr>
        <w:tc>
          <w:tcPr>
            <w:tcW w:w="533" w:type="dxa"/>
            <w:vMerge w:val="continue"/>
            <w:tcBorders>
              <w:top w:val="single" w:color="auto" w:sz="4" w:space="0"/>
              <w:bottom w:val="single" w:color="auto" w:sz="4" w:space="0"/>
            </w:tcBorders>
            <w:noWrap w:val="0"/>
            <w:tcMar>
              <w:top w:w="15" w:type="dxa"/>
              <w:left w:w="28" w:type="dxa"/>
              <w:bottom w:w="15" w:type="dxa"/>
              <w:right w:w="28" w:type="dxa"/>
            </w:tcMar>
            <w:vAlign w:val="center"/>
          </w:tcPr>
          <w:p>
            <w:pPr>
              <w:jc w:val="center"/>
              <w:rPr>
                <w:rFonts w:hint="default" w:ascii="Times New Roman" w:hAnsi="Times New Roman" w:eastAsia="宋体" w:cs="Times New Roman"/>
                <w:b/>
                <w:bCs/>
                <w:color w:val="auto"/>
                <w:sz w:val="21"/>
                <w:szCs w:val="21"/>
                <w:highlight w:val="none"/>
              </w:rPr>
            </w:pPr>
          </w:p>
        </w:tc>
        <w:tc>
          <w:tcPr>
            <w:tcW w:w="526"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
                <w:bCs/>
                <w:color w:val="auto"/>
                <w:sz w:val="21"/>
                <w:szCs w:val="21"/>
                <w:highlight w:val="none"/>
              </w:rPr>
            </w:pPr>
          </w:p>
        </w:tc>
        <w:tc>
          <w:tcPr>
            <w:tcW w:w="520"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6</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Style w:val="16"/>
                <w:rFonts w:hint="default" w:ascii="Times New Roman" w:hAnsi="Times New Roman" w:eastAsia="宋体" w:cs="Times New Roman"/>
                <w:color w:val="auto"/>
                <w:sz w:val="21"/>
                <w:szCs w:val="21"/>
                <w:highlight w:val="none"/>
                <w:lang w:val="en-US" w:eastAsia="zh-CN" w:bidi="ar"/>
              </w:rPr>
              <w:t>、疫苗储存运输费</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9.5元/支剂</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省级</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《中华人民共和国疫苗管理法》、国务院令第668号，财税〔2020〕17号，湘发改价费规〔2022〕943号</w:t>
            </w:r>
          </w:p>
        </w:tc>
        <w:tc>
          <w:tcPr>
            <w:tcW w:w="1246"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对</w:t>
            </w:r>
            <w:r>
              <w:rPr>
                <w:rFonts w:hint="eastAsia" w:ascii="Times New Roman" w:hAnsi="Times New Roman" w:eastAsia="宋体" w:cs="Times New Roman"/>
                <w:i w:val="0"/>
                <w:iCs w:val="0"/>
                <w:color w:val="auto"/>
                <w:kern w:val="0"/>
                <w:sz w:val="21"/>
                <w:szCs w:val="21"/>
                <w:highlight w:val="none"/>
                <w:u w:val="none"/>
                <w:lang w:val="en-US" w:eastAsia="zh-CN" w:bidi="ar"/>
              </w:rPr>
              <w:t>非免疫规划</w:t>
            </w:r>
            <w:r>
              <w:rPr>
                <w:rFonts w:hint="default" w:ascii="Times New Roman" w:hAnsi="Times New Roman" w:eastAsia="宋体" w:cs="Times New Roman"/>
                <w:i w:val="0"/>
                <w:iCs w:val="0"/>
                <w:color w:val="auto"/>
                <w:kern w:val="0"/>
                <w:sz w:val="21"/>
                <w:szCs w:val="21"/>
                <w:highlight w:val="none"/>
                <w:u w:val="none"/>
                <w:lang w:val="en-US" w:eastAsia="zh-CN" w:bidi="ar"/>
              </w:rPr>
              <w:t>疫苗收取</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cantSplit/>
          <w:trHeight w:val="1128" w:hRule="atLeast"/>
          <w:jc w:val="center"/>
        </w:trPr>
        <w:tc>
          <w:tcPr>
            <w:tcW w:w="533" w:type="dxa"/>
            <w:vMerge w:val="continue"/>
            <w:tcBorders>
              <w:top w:val="single" w:color="auto" w:sz="4" w:space="0"/>
              <w:bottom w:val="single" w:color="auto" w:sz="4" w:space="0"/>
            </w:tcBorders>
            <w:noWrap w:val="0"/>
            <w:tcMar>
              <w:top w:w="15" w:type="dxa"/>
              <w:left w:w="28" w:type="dxa"/>
              <w:bottom w:w="15" w:type="dxa"/>
              <w:right w:w="28" w:type="dxa"/>
            </w:tcMar>
            <w:vAlign w:val="center"/>
          </w:tcPr>
          <w:p>
            <w:pPr>
              <w:jc w:val="center"/>
              <w:rPr>
                <w:rFonts w:hint="default" w:ascii="Times New Roman" w:hAnsi="Times New Roman" w:eastAsia="宋体" w:cs="Times New Roman"/>
                <w:b/>
                <w:bCs/>
                <w:color w:val="auto"/>
                <w:sz w:val="21"/>
                <w:szCs w:val="21"/>
                <w:highlight w:val="none"/>
              </w:rPr>
            </w:pPr>
          </w:p>
        </w:tc>
        <w:tc>
          <w:tcPr>
            <w:tcW w:w="526"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
                <w:bCs/>
                <w:color w:val="auto"/>
                <w:sz w:val="21"/>
                <w:szCs w:val="21"/>
                <w:highlight w:val="none"/>
              </w:rPr>
            </w:pPr>
          </w:p>
        </w:tc>
        <w:tc>
          <w:tcPr>
            <w:tcW w:w="520" w:type="dxa"/>
            <w:vMerge w:val="restart"/>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7</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3</w:t>
            </w:r>
            <w:r>
              <w:rPr>
                <w:rStyle w:val="16"/>
                <w:rFonts w:hint="default" w:ascii="Times New Roman" w:hAnsi="Times New Roman" w:eastAsia="宋体" w:cs="Times New Roman"/>
                <w:color w:val="auto"/>
                <w:sz w:val="21"/>
                <w:szCs w:val="21"/>
                <w:highlight w:val="none"/>
                <w:lang w:val="en-US" w:eastAsia="zh-CN" w:bidi="ar"/>
              </w:rPr>
              <w:t>、新型冠状病毒核酸检测费</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color w:val="auto"/>
                <w:sz w:val="21"/>
                <w:szCs w:val="21"/>
                <w:highlight w:val="none"/>
                <w:lang w:eastAsia="zh-CN"/>
              </w:rPr>
            </w:pP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省级</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lang w:val="en-US" w:eastAsia="zh-CN"/>
              </w:rPr>
            </w:pPr>
          </w:p>
        </w:tc>
        <w:tc>
          <w:tcPr>
            <w:tcW w:w="1246"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cantSplit/>
          <w:trHeight w:val="2679" w:hRule="atLeast"/>
          <w:jc w:val="center"/>
        </w:trPr>
        <w:tc>
          <w:tcPr>
            <w:tcW w:w="533" w:type="dxa"/>
            <w:vMerge w:val="continue"/>
            <w:tcBorders>
              <w:top w:val="single" w:color="auto" w:sz="4" w:space="0"/>
              <w:bottom w:val="single" w:color="auto" w:sz="4" w:space="0"/>
            </w:tcBorders>
            <w:noWrap w:val="0"/>
            <w:tcMar>
              <w:top w:w="15" w:type="dxa"/>
              <w:left w:w="28" w:type="dxa"/>
              <w:bottom w:w="15" w:type="dxa"/>
              <w:right w:w="28" w:type="dxa"/>
            </w:tcMar>
            <w:vAlign w:val="center"/>
          </w:tcPr>
          <w:p>
            <w:pPr>
              <w:jc w:val="center"/>
              <w:rPr>
                <w:rFonts w:hint="default" w:ascii="Times New Roman" w:hAnsi="Times New Roman" w:eastAsia="宋体" w:cs="Times New Roman"/>
                <w:b/>
                <w:bCs/>
                <w:color w:val="auto"/>
                <w:sz w:val="21"/>
                <w:szCs w:val="21"/>
                <w:highlight w:val="none"/>
              </w:rPr>
            </w:pPr>
          </w:p>
        </w:tc>
        <w:tc>
          <w:tcPr>
            <w:tcW w:w="526"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
                <w:bCs/>
                <w:color w:val="auto"/>
                <w:sz w:val="21"/>
                <w:szCs w:val="21"/>
                <w:highlight w:val="none"/>
              </w:rPr>
            </w:pPr>
          </w:p>
        </w:tc>
        <w:tc>
          <w:tcPr>
            <w:tcW w:w="520" w:type="dxa"/>
            <w:vMerge w:val="continue"/>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907" w:type="dxa"/>
            <w:noWrap w:val="0"/>
            <w:tcMar>
              <w:top w:w="15" w:type="dxa"/>
              <w:left w:w="28" w:type="dxa"/>
              <w:bottom w:w="15" w:type="dxa"/>
              <w:right w:w="28" w:type="dxa"/>
            </w:tcMar>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（1）核酸检测</w:t>
            </w:r>
          </w:p>
        </w:tc>
        <w:tc>
          <w:tcPr>
            <w:tcW w:w="1817" w:type="dxa"/>
            <w:noWrap w:val="0"/>
            <w:tcMar>
              <w:top w:w="15" w:type="dxa"/>
              <w:left w:w="28" w:type="dxa"/>
              <w:bottom w:w="15" w:type="dxa"/>
              <w:right w:w="28"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9</w:t>
            </w:r>
            <w:r>
              <w:rPr>
                <w:rFonts w:hint="default" w:ascii="Times New Roman" w:hAnsi="Times New Roman" w:eastAsia="宋体" w:cs="Times New Roman"/>
                <w:i w:val="0"/>
                <w:iCs w:val="0"/>
                <w:color w:val="auto"/>
                <w:kern w:val="0"/>
                <w:sz w:val="21"/>
                <w:szCs w:val="21"/>
                <w:highlight w:val="none"/>
                <w:u w:val="none"/>
                <w:lang w:val="en-US" w:eastAsia="zh-CN" w:bidi="ar"/>
              </w:rPr>
              <w:t>元/人次</w:t>
            </w:r>
          </w:p>
        </w:tc>
        <w:tc>
          <w:tcPr>
            <w:tcW w:w="517" w:type="dxa"/>
            <w:noWrap w:val="0"/>
            <w:tcMar>
              <w:top w:w="15" w:type="dxa"/>
              <w:left w:w="28" w:type="dxa"/>
              <w:bottom w:w="15" w:type="dxa"/>
              <w:right w:w="28"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2945" w:type="dxa"/>
            <w:noWrap w:val="0"/>
            <w:tcMar>
              <w:top w:w="15" w:type="dxa"/>
              <w:left w:w="28" w:type="dxa"/>
              <w:bottom w:w="15" w:type="dxa"/>
              <w:right w:w="28" w:type="dxa"/>
            </w:tcMar>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国发明电〔2020〕14号，湘财税〔2020〕12号，湘发改价费规〔2022〕943号</w:t>
            </w:r>
            <w:r>
              <w:rPr>
                <w:rFonts w:hint="eastAsia" w:ascii="Times New Roman" w:hAnsi="Times New Roman" w:eastAsia="宋体" w:cs="Times New Roman"/>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湘医保发〔202</w:t>
            </w:r>
            <w:r>
              <w:rPr>
                <w:rFonts w:hint="eastAsia" w:ascii="Times New Roman" w:hAnsi="Times New Roman" w:eastAsia="宋体" w:cs="Times New Roman"/>
                <w:i w:val="0"/>
                <w:iCs w:val="0"/>
                <w:color w:val="auto"/>
                <w:kern w:val="0"/>
                <w:sz w:val="21"/>
                <w:szCs w:val="21"/>
                <w:highlight w:val="none"/>
                <w:u w:val="none"/>
                <w:lang w:val="en-US" w:eastAsia="zh-CN" w:bidi="ar"/>
              </w:rPr>
              <w:t>3</w:t>
            </w:r>
            <w:r>
              <w:rPr>
                <w:rFonts w:hint="default" w:ascii="Times New Roman" w:hAnsi="Times New Roman" w:eastAsia="宋体" w:cs="Times New Roman"/>
                <w:i w:val="0"/>
                <w:iCs w:val="0"/>
                <w:color w:val="auto"/>
                <w:kern w:val="0"/>
                <w:sz w:val="21"/>
                <w:szCs w:val="21"/>
                <w:highlight w:val="none"/>
                <w:u w:val="none"/>
                <w:lang w:val="en-US" w:eastAsia="zh-CN" w:bidi="ar"/>
              </w:rPr>
              <w:t>〕</w:t>
            </w:r>
            <w:r>
              <w:rPr>
                <w:rFonts w:hint="eastAsia" w:ascii="Times New Roman" w:hAnsi="Times New Roman" w:eastAsia="宋体" w:cs="Times New Roman"/>
                <w:i w:val="0"/>
                <w:iCs w:val="0"/>
                <w:color w:val="auto"/>
                <w:kern w:val="0"/>
                <w:sz w:val="21"/>
                <w:szCs w:val="21"/>
                <w:highlight w:val="none"/>
                <w:u w:val="none"/>
                <w:lang w:val="en-US" w:eastAsia="zh-CN" w:bidi="ar"/>
              </w:rPr>
              <w:t>10</w:t>
            </w:r>
            <w:r>
              <w:rPr>
                <w:rFonts w:hint="default" w:ascii="Times New Roman" w:hAnsi="Times New Roman" w:eastAsia="宋体" w:cs="Times New Roman"/>
                <w:i w:val="0"/>
                <w:iCs w:val="0"/>
                <w:color w:val="auto"/>
                <w:kern w:val="0"/>
                <w:sz w:val="21"/>
                <w:szCs w:val="21"/>
                <w:highlight w:val="none"/>
                <w:u w:val="none"/>
                <w:lang w:val="en-US" w:eastAsia="zh-CN" w:bidi="ar"/>
              </w:rPr>
              <w:t>号</w:t>
            </w:r>
            <w:r>
              <w:rPr>
                <w:rFonts w:hint="eastAsia" w:ascii="Times New Roman" w:hAnsi="Times New Roman" w:eastAsia="宋体" w:cs="Times New Roman"/>
                <w:i w:val="0"/>
                <w:iCs w:val="0"/>
                <w:color w:val="auto"/>
                <w:kern w:val="0"/>
                <w:sz w:val="21"/>
                <w:szCs w:val="21"/>
                <w:highlight w:val="none"/>
                <w:u w:val="none"/>
                <w:lang w:val="en-US" w:eastAsia="zh-CN" w:bidi="ar"/>
              </w:rPr>
              <w:t>，长</w:t>
            </w:r>
            <w:r>
              <w:rPr>
                <w:rFonts w:hint="default" w:ascii="Times New Roman" w:hAnsi="Times New Roman" w:eastAsia="宋体" w:cs="Times New Roman"/>
                <w:i w:val="0"/>
                <w:iCs w:val="0"/>
                <w:color w:val="auto"/>
                <w:kern w:val="0"/>
                <w:sz w:val="21"/>
                <w:szCs w:val="21"/>
                <w:highlight w:val="none"/>
                <w:u w:val="none"/>
                <w:lang w:val="en-US" w:eastAsia="zh-CN" w:bidi="ar"/>
              </w:rPr>
              <w:t>医保发〔202</w:t>
            </w:r>
            <w:r>
              <w:rPr>
                <w:rFonts w:hint="eastAsia" w:ascii="Times New Roman" w:hAnsi="Times New Roman" w:eastAsia="宋体" w:cs="Times New Roman"/>
                <w:i w:val="0"/>
                <w:iCs w:val="0"/>
                <w:color w:val="auto"/>
                <w:kern w:val="0"/>
                <w:sz w:val="21"/>
                <w:szCs w:val="21"/>
                <w:highlight w:val="none"/>
                <w:u w:val="none"/>
                <w:lang w:val="en-US" w:eastAsia="zh-CN" w:bidi="ar"/>
              </w:rPr>
              <w:t>3</w:t>
            </w:r>
            <w:r>
              <w:rPr>
                <w:rFonts w:hint="default" w:ascii="Times New Roman" w:hAnsi="Times New Roman" w:eastAsia="宋体" w:cs="Times New Roman"/>
                <w:i w:val="0"/>
                <w:iCs w:val="0"/>
                <w:color w:val="auto"/>
                <w:kern w:val="0"/>
                <w:sz w:val="21"/>
                <w:szCs w:val="21"/>
                <w:highlight w:val="none"/>
                <w:u w:val="none"/>
                <w:lang w:val="en-US" w:eastAsia="zh-CN" w:bidi="ar"/>
              </w:rPr>
              <w:t>〕</w:t>
            </w:r>
            <w:r>
              <w:rPr>
                <w:rFonts w:hint="eastAsia" w:ascii="Times New Roman" w:hAnsi="Times New Roman" w:eastAsia="宋体" w:cs="Times New Roman"/>
                <w:i w:val="0"/>
                <w:iCs w:val="0"/>
                <w:color w:val="auto"/>
                <w:kern w:val="0"/>
                <w:sz w:val="21"/>
                <w:szCs w:val="21"/>
                <w:highlight w:val="none"/>
                <w:u w:val="none"/>
                <w:lang w:val="en-US" w:eastAsia="zh-CN" w:bidi="ar"/>
              </w:rPr>
              <w:t>9</w:t>
            </w:r>
            <w:r>
              <w:rPr>
                <w:rFonts w:hint="default" w:ascii="Times New Roman" w:hAnsi="Times New Roman" w:eastAsia="宋体" w:cs="Times New Roman"/>
                <w:i w:val="0"/>
                <w:iCs w:val="0"/>
                <w:color w:val="auto"/>
                <w:kern w:val="0"/>
                <w:sz w:val="21"/>
                <w:szCs w:val="21"/>
                <w:highlight w:val="none"/>
                <w:u w:val="none"/>
                <w:lang w:val="en-US" w:eastAsia="zh-CN" w:bidi="ar"/>
              </w:rPr>
              <w:t>号</w:t>
            </w:r>
          </w:p>
        </w:tc>
        <w:tc>
          <w:tcPr>
            <w:tcW w:w="1246" w:type="dxa"/>
            <w:noWrap w:val="0"/>
            <w:tcMar>
              <w:top w:w="15" w:type="dxa"/>
              <w:left w:w="28" w:type="dxa"/>
              <w:bottom w:w="15" w:type="dxa"/>
              <w:right w:w="28" w:type="dxa"/>
            </w:tcMar>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根据疫情需要，按照省卫健部门技术要求和标准实施混检时，每样本收费</w:t>
            </w:r>
            <w:r>
              <w:rPr>
                <w:rFonts w:hint="eastAsia" w:ascii="Times New Roman" w:hAnsi="Times New Roman" w:eastAsia="宋体" w:cs="Times New Roman"/>
                <w:i w:val="0"/>
                <w:iCs w:val="0"/>
                <w:color w:val="auto"/>
                <w:kern w:val="0"/>
                <w:sz w:val="21"/>
                <w:szCs w:val="21"/>
                <w:highlight w:val="none"/>
                <w:u w:val="none"/>
                <w:lang w:val="en-US" w:eastAsia="zh-CN" w:bidi="ar"/>
              </w:rPr>
              <w:t>3</w:t>
            </w:r>
            <w:r>
              <w:rPr>
                <w:rFonts w:hint="default" w:ascii="Times New Roman" w:hAnsi="Times New Roman" w:eastAsia="宋体" w:cs="Times New Roman"/>
                <w:i w:val="0"/>
                <w:iCs w:val="0"/>
                <w:color w:val="auto"/>
                <w:kern w:val="0"/>
                <w:sz w:val="21"/>
                <w:szCs w:val="21"/>
                <w:highlight w:val="none"/>
                <w:u w:val="none"/>
                <w:lang w:val="en-US" w:eastAsia="zh-CN" w:bidi="ar"/>
              </w:rPr>
              <w:t>元（含试剂等耗材），不区分医疗机构级别。单人单检总费用不超过</w:t>
            </w:r>
            <w:r>
              <w:rPr>
                <w:rFonts w:hint="eastAsia" w:ascii="Times New Roman" w:hAnsi="Times New Roman" w:eastAsia="宋体" w:cs="Times New Roman"/>
                <w:i w:val="0"/>
                <w:iCs w:val="0"/>
                <w:color w:val="auto"/>
                <w:kern w:val="0"/>
                <w:sz w:val="21"/>
                <w:szCs w:val="21"/>
                <w:highlight w:val="none"/>
                <w:u w:val="none"/>
                <w:lang w:val="en-US" w:eastAsia="zh-CN" w:bidi="ar"/>
              </w:rPr>
              <w:t>13</w:t>
            </w:r>
            <w:r>
              <w:rPr>
                <w:rFonts w:hint="default" w:ascii="Times New Roman" w:hAnsi="Times New Roman" w:eastAsia="宋体" w:cs="Times New Roman"/>
                <w:i w:val="0"/>
                <w:iCs w:val="0"/>
                <w:color w:val="auto"/>
                <w:kern w:val="0"/>
                <w:sz w:val="21"/>
                <w:szCs w:val="21"/>
                <w:highlight w:val="none"/>
                <w:u w:val="none"/>
                <w:lang w:val="en-US" w:eastAsia="zh-CN" w:bidi="ar"/>
              </w:rPr>
              <w:t>元/人次。</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cantSplit/>
          <w:trHeight w:val="1695" w:hRule="atLeast"/>
          <w:jc w:val="center"/>
        </w:trPr>
        <w:tc>
          <w:tcPr>
            <w:tcW w:w="533" w:type="dxa"/>
            <w:vMerge w:val="continue"/>
            <w:tcBorders>
              <w:top w:val="single" w:color="auto" w:sz="4" w:space="0"/>
              <w:bottom w:val="single" w:color="auto" w:sz="4" w:space="0"/>
            </w:tcBorders>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highlight w:val="none"/>
                <w:lang w:val="en-US" w:eastAsia="zh-CN" w:bidi="ar-SA"/>
              </w:rPr>
            </w:pPr>
          </w:p>
        </w:tc>
        <w:tc>
          <w:tcPr>
            <w:tcW w:w="526" w:type="dxa"/>
            <w:vMerge w:val="continue"/>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highlight w:val="none"/>
                <w:lang w:val="en-US" w:eastAsia="zh-CN" w:bidi="ar-SA"/>
              </w:rPr>
            </w:pPr>
          </w:p>
        </w:tc>
        <w:tc>
          <w:tcPr>
            <w:tcW w:w="520" w:type="dxa"/>
            <w:vMerge w:val="continue"/>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907" w:type="dxa"/>
            <w:noWrap w:val="0"/>
            <w:tcMar>
              <w:top w:w="15" w:type="dxa"/>
              <w:left w:w="28" w:type="dxa"/>
              <w:bottom w:w="15" w:type="dxa"/>
              <w:right w:w="28" w:type="dxa"/>
            </w:tcMar>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（2）抗体检测</w:t>
            </w:r>
          </w:p>
        </w:tc>
        <w:tc>
          <w:tcPr>
            <w:tcW w:w="1817" w:type="dxa"/>
            <w:noWrap w:val="0"/>
            <w:tcMar>
              <w:top w:w="15" w:type="dxa"/>
              <w:left w:w="28" w:type="dxa"/>
              <w:bottom w:w="15" w:type="dxa"/>
              <w:right w:w="28"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8</w:t>
            </w:r>
            <w:r>
              <w:rPr>
                <w:rFonts w:hint="default" w:ascii="Times New Roman" w:hAnsi="Times New Roman" w:eastAsia="宋体" w:cs="Times New Roman"/>
                <w:i w:val="0"/>
                <w:iCs w:val="0"/>
                <w:color w:val="auto"/>
                <w:kern w:val="0"/>
                <w:sz w:val="21"/>
                <w:szCs w:val="21"/>
                <w:highlight w:val="none"/>
                <w:u w:val="none"/>
                <w:lang w:val="en-US" w:eastAsia="zh-CN" w:bidi="ar"/>
              </w:rPr>
              <w:t>元/</w:t>
            </w:r>
            <w:r>
              <w:rPr>
                <w:rFonts w:hint="eastAsia" w:ascii="Times New Roman" w:hAnsi="Times New Roman" w:eastAsia="宋体" w:cs="Times New Roman"/>
                <w:i w:val="0"/>
                <w:iCs w:val="0"/>
                <w:color w:val="auto"/>
                <w:kern w:val="0"/>
                <w:sz w:val="21"/>
                <w:szCs w:val="21"/>
                <w:highlight w:val="none"/>
                <w:u w:val="none"/>
                <w:lang w:val="en-US" w:eastAsia="zh-CN" w:bidi="ar"/>
              </w:rPr>
              <w:t>人次</w:t>
            </w:r>
          </w:p>
        </w:tc>
        <w:tc>
          <w:tcPr>
            <w:tcW w:w="517" w:type="dxa"/>
            <w:noWrap w:val="0"/>
            <w:tcMar>
              <w:top w:w="15" w:type="dxa"/>
              <w:left w:w="28" w:type="dxa"/>
              <w:bottom w:w="15" w:type="dxa"/>
              <w:right w:w="28"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2945" w:type="dxa"/>
            <w:noWrap w:val="0"/>
            <w:tcMar>
              <w:top w:w="15" w:type="dxa"/>
              <w:left w:w="28" w:type="dxa"/>
              <w:bottom w:w="15" w:type="dxa"/>
              <w:right w:w="28" w:type="dxa"/>
            </w:tcMar>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国发明电〔2020〕14号，湘财税〔2020〕12号，湘发改价费规〔2022〕943号</w:t>
            </w:r>
            <w:r>
              <w:rPr>
                <w:rFonts w:hint="eastAsia" w:ascii="Times New Roman" w:hAnsi="Times New Roman" w:eastAsia="宋体" w:cs="Times New Roman"/>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湘医保发〔202</w:t>
            </w:r>
            <w:r>
              <w:rPr>
                <w:rFonts w:hint="eastAsia" w:ascii="Times New Roman" w:hAnsi="Times New Roman" w:eastAsia="宋体" w:cs="Times New Roman"/>
                <w:i w:val="0"/>
                <w:iCs w:val="0"/>
                <w:color w:val="auto"/>
                <w:kern w:val="0"/>
                <w:sz w:val="21"/>
                <w:szCs w:val="21"/>
                <w:highlight w:val="none"/>
                <w:u w:val="none"/>
                <w:lang w:val="en-US" w:eastAsia="zh-CN" w:bidi="ar"/>
              </w:rPr>
              <w:t>3</w:t>
            </w:r>
            <w:r>
              <w:rPr>
                <w:rFonts w:hint="default" w:ascii="Times New Roman" w:hAnsi="Times New Roman" w:eastAsia="宋体" w:cs="Times New Roman"/>
                <w:i w:val="0"/>
                <w:iCs w:val="0"/>
                <w:color w:val="auto"/>
                <w:kern w:val="0"/>
                <w:sz w:val="21"/>
                <w:szCs w:val="21"/>
                <w:highlight w:val="none"/>
                <w:u w:val="none"/>
                <w:lang w:val="en-US" w:eastAsia="zh-CN" w:bidi="ar"/>
              </w:rPr>
              <w:t>〕</w:t>
            </w:r>
            <w:r>
              <w:rPr>
                <w:rFonts w:hint="eastAsia" w:ascii="Times New Roman" w:hAnsi="Times New Roman" w:eastAsia="宋体" w:cs="Times New Roman"/>
                <w:i w:val="0"/>
                <w:iCs w:val="0"/>
                <w:color w:val="auto"/>
                <w:kern w:val="0"/>
                <w:sz w:val="21"/>
                <w:szCs w:val="21"/>
                <w:highlight w:val="none"/>
                <w:u w:val="none"/>
                <w:lang w:val="en-US" w:eastAsia="zh-CN" w:bidi="ar"/>
              </w:rPr>
              <w:t>10</w:t>
            </w:r>
            <w:r>
              <w:rPr>
                <w:rFonts w:hint="default" w:ascii="Times New Roman" w:hAnsi="Times New Roman" w:eastAsia="宋体" w:cs="Times New Roman"/>
                <w:i w:val="0"/>
                <w:iCs w:val="0"/>
                <w:color w:val="auto"/>
                <w:kern w:val="0"/>
                <w:sz w:val="21"/>
                <w:szCs w:val="21"/>
                <w:highlight w:val="none"/>
                <w:u w:val="none"/>
                <w:lang w:val="en-US" w:eastAsia="zh-CN" w:bidi="ar"/>
              </w:rPr>
              <w:t>号</w:t>
            </w:r>
            <w:r>
              <w:rPr>
                <w:rFonts w:hint="eastAsia" w:ascii="Times New Roman" w:hAnsi="Times New Roman" w:eastAsia="宋体" w:cs="Times New Roman"/>
                <w:i w:val="0"/>
                <w:iCs w:val="0"/>
                <w:color w:val="auto"/>
                <w:kern w:val="0"/>
                <w:sz w:val="21"/>
                <w:szCs w:val="21"/>
                <w:highlight w:val="none"/>
                <w:u w:val="none"/>
                <w:lang w:val="en-US" w:eastAsia="zh-CN" w:bidi="ar"/>
              </w:rPr>
              <w:t>，长</w:t>
            </w:r>
            <w:r>
              <w:rPr>
                <w:rFonts w:hint="default" w:ascii="Times New Roman" w:hAnsi="Times New Roman" w:eastAsia="宋体" w:cs="Times New Roman"/>
                <w:i w:val="0"/>
                <w:iCs w:val="0"/>
                <w:color w:val="auto"/>
                <w:kern w:val="0"/>
                <w:sz w:val="21"/>
                <w:szCs w:val="21"/>
                <w:highlight w:val="none"/>
                <w:u w:val="none"/>
                <w:lang w:val="en-US" w:eastAsia="zh-CN" w:bidi="ar"/>
              </w:rPr>
              <w:t>医保发〔202</w:t>
            </w:r>
            <w:r>
              <w:rPr>
                <w:rFonts w:hint="eastAsia" w:ascii="Times New Roman" w:hAnsi="Times New Roman" w:eastAsia="宋体" w:cs="Times New Roman"/>
                <w:i w:val="0"/>
                <w:iCs w:val="0"/>
                <w:color w:val="auto"/>
                <w:kern w:val="0"/>
                <w:sz w:val="21"/>
                <w:szCs w:val="21"/>
                <w:highlight w:val="none"/>
                <w:u w:val="none"/>
                <w:lang w:val="en-US" w:eastAsia="zh-CN" w:bidi="ar"/>
              </w:rPr>
              <w:t>3</w:t>
            </w:r>
            <w:r>
              <w:rPr>
                <w:rFonts w:hint="default" w:ascii="Times New Roman" w:hAnsi="Times New Roman" w:eastAsia="宋体" w:cs="Times New Roman"/>
                <w:i w:val="0"/>
                <w:iCs w:val="0"/>
                <w:color w:val="auto"/>
                <w:kern w:val="0"/>
                <w:sz w:val="21"/>
                <w:szCs w:val="21"/>
                <w:highlight w:val="none"/>
                <w:u w:val="none"/>
                <w:lang w:val="en-US" w:eastAsia="zh-CN" w:bidi="ar"/>
              </w:rPr>
              <w:t>〕</w:t>
            </w:r>
            <w:r>
              <w:rPr>
                <w:rFonts w:hint="eastAsia" w:ascii="Times New Roman" w:hAnsi="Times New Roman" w:eastAsia="宋体" w:cs="Times New Roman"/>
                <w:i w:val="0"/>
                <w:iCs w:val="0"/>
                <w:color w:val="auto"/>
                <w:kern w:val="0"/>
                <w:sz w:val="21"/>
                <w:szCs w:val="21"/>
                <w:highlight w:val="none"/>
                <w:u w:val="none"/>
                <w:lang w:val="en-US" w:eastAsia="zh-CN" w:bidi="ar"/>
              </w:rPr>
              <w:t>9</w:t>
            </w:r>
            <w:r>
              <w:rPr>
                <w:rFonts w:hint="default" w:ascii="Times New Roman" w:hAnsi="Times New Roman" w:eastAsia="宋体" w:cs="Times New Roman"/>
                <w:i w:val="0"/>
                <w:iCs w:val="0"/>
                <w:color w:val="auto"/>
                <w:kern w:val="0"/>
                <w:sz w:val="21"/>
                <w:szCs w:val="21"/>
                <w:highlight w:val="none"/>
                <w:u w:val="none"/>
                <w:lang w:val="en-US" w:eastAsia="zh-CN" w:bidi="ar"/>
              </w:rPr>
              <w:t>号</w:t>
            </w:r>
          </w:p>
        </w:tc>
        <w:tc>
          <w:tcPr>
            <w:tcW w:w="1246" w:type="dxa"/>
            <w:noWrap w:val="0"/>
            <w:tcMar>
              <w:top w:w="15" w:type="dxa"/>
              <w:left w:w="28" w:type="dxa"/>
              <w:bottom w:w="15" w:type="dxa"/>
              <w:right w:w="28" w:type="dxa"/>
            </w:tcMar>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不区分方法学，总费用不超过</w:t>
            </w:r>
            <w:r>
              <w:rPr>
                <w:rFonts w:hint="eastAsia" w:ascii="Times New Roman" w:hAnsi="Times New Roman" w:eastAsia="宋体" w:cs="Times New Roman"/>
                <w:i w:val="0"/>
                <w:iCs w:val="0"/>
                <w:color w:val="auto"/>
                <w:kern w:val="0"/>
                <w:sz w:val="21"/>
                <w:szCs w:val="21"/>
                <w:highlight w:val="none"/>
                <w:u w:val="none"/>
                <w:lang w:val="en-US" w:eastAsia="zh-CN" w:bidi="ar"/>
              </w:rPr>
              <w:t>14</w:t>
            </w:r>
            <w:r>
              <w:rPr>
                <w:rFonts w:hint="default" w:ascii="Times New Roman" w:hAnsi="Times New Roman" w:eastAsia="宋体" w:cs="Times New Roman"/>
                <w:i w:val="0"/>
                <w:iCs w:val="0"/>
                <w:color w:val="auto"/>
                <w:kern w:val="0"/>
                <w:sz w:val="21"/>
                <w:szCs w:val="21"/>
                <w:highlight w:val="none"/>
                <w:u w:val="none"/>
                <w:lang w:val="en-US" w:eastAsia="zh-CN" w:bidi="ar"/>
              </w:rPr>
              <w:t>元/</w:t>
            </w:r>
            <w:r>
              <w:rPr>
                <w:rFonts w:hint="eastAsia" w:ascii="Times New Roman" w:hAnsi="Times New Roman" w:eastAsia="宋体" w:cs="Times New Roman"/>
                <w:i w:val="0"/>
                <w:iCs w:val="0"/>
                <w:color w:val="auto"/>
                <w:kern w:val="0"/>
                <w:sz w:val="21"/>
                <w:szCs w:val="21"/>
                <w:highlight w:val="none"/>
                <w:u w:val="none"/>
                <w:lang w:val="en-US" w:eastAsia="zh-CN" w:bidi="ar"/>
              </w:rPr>
              <w:t>人次；单独检测IgG或IgM，总费用不超过11元</w:t>
            </w:r>
            <w:r>
              <w:rPr>
                <w:rFonts w:hint="default" w:ascii="Times New Roman" w:hAnsi="Times New Roman" w:eastAsia="宋体" w:cs="Times New Roman"/>
                <w:i w:val="0"/>
                <w:iCs w:val="0"/>
                <w:color w:val="auto"/>
                <w:kern w:val="0"/>
                <w:sz w:val="21"/>
                <w:szCs w:val="21"/>
                <w:highlight w:val="none"/>
                <w:u w:val="none"/>
                <w:lang w:val="en-US" w:eastAsia="zh-CN" w:bidi="ar"/>
              </w:rPr>
              <w:t>/人次</w:t>
            </w:r>
            <w:r>
              <w:rPr>
                <w:rFonts w:hint="eastAsia" w:ascii="Times New Roman" w:hAnsi="Times New Roman" w:eastAsia="宋体" w:cs="Times New Roman"/>
                <w:i w:val="0"/>
                <w:iCs w:val="0"/>
                <w:color w:val="auto"/>
                <w:kern w:val="0"/>
                <w:sz w:val="21"/>
                <w:szCs w:val="21"/>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cantSplit/>
          <w:trHeight w:val="1413" w:hRule="atLeast"/>
          <w:jc w:val="center"/>
        </w:trPr>
        <w:tc>
          <w:tcPr>
            <w:tcW w:w="533" w:type="dxa"/>
            <w:vMerge w:val="continue"/>
            <w:tcBorders>
              <w:top w:val="single" w:color="auto" w:sz="4" w:space="0"/>
              <w:bottom w:val="single" w:color="auto" w:sz="4" w:space="0"/>
            </w:tcBorders>
            <w:noWrap w:val="0"/>
            <w:tcMar>
              <w:top w:w="15" w:type="dxa"/>
              <w:left w:w="28" w:type="dxa"/>
              <w:bottom w:w="15" w:type="dxa"/>
              <w:right w:w="28" w:type="dxa"/>
            </w:tcMar>
            <w:vAlign w:val="center"/>
          </w:tcPr>
          <w:p>
            <w:pPr>
              <w:jc w:val="center"/>
              <w:rPr>
                <w:rFonts w:hint="default" w:ascii="Times New Roman" w:hAnsi="Times New Roman" w:eastAsia="宋体" w:cs="Times New Roman"/>
                <w:b/>
                <w:bCs/>
                <w:color w:val="auto"/>
                <w:sz w:val="21"/>
                <w:szCs w:val="21"/>
                <w:highlight w:val="none"/>
              </w:rPr>
            </w:pPr>
          </w:p>
        </w:tc>
        <w:tc>
          <w:tcPr>
            <w:tcW w:w="526"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
                <w:bCs/>
                <w:color w:val="auto"/>
                <w:sz w:val="21"/>
                <w:szCs w:val="21"/>
                <w:highlight w:val="none"/>
              </w:rPr>
            </w:pPr>
          </w:p>
        </w:tc>
        <w:tc>
          <w:tcPr>
            <w:tcW w:w="520" w:type="dxa"/>
            <w:vMerge w:val="continue"/>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907" w:type="dxa"/>
            <w:noWrap w:val="0"/>
            <w:tcMar>
              <w:top w:w="15" w:type="dxa"/>
              <w:left w:w="28" w:type="dxa"/>
              <w:bottom w:w="15" w:type="dxa"/>
              <w:right w:w="28" w:type="dxa"/>
            </w:tcMar>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（3）抗原检测</w:t>
            </w:r>
          </w:p>
        </w:tc>
        <w:tc>
          <w:tcPr>
            <w:tcW w:w="1817" w:type="dxa"/>
            <w:noWrap w:val="0"/>
            <w:tcMar>
              <w:top w:w="15" w:type="dxa"/>
              <w:left w:w="28" w:type="dxa"/>
              <w:bottom w:w="15" w:type="dxa"/>
              <w:right w:w="28"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eastAsia" w:ascii="Times New Roman" w:hAnsi="Times New Roman" w:eastAsia="宋体" w:cs="Times New Roman"/>
                <w:i w:val="0"/>
                <w:iCs w:val="0"/>
                <w:color w:val="auto"/>
                <w:kern w:val="0"/>
                <w:sz w:val="21"/>
                <w:szCs w:val="21"/>
                <w:highlight w:val="none"/>
                <w:u w:val="none"/>
                <w:lang w:val="en-US" w:eastAsia="zh-CN" w:bidi="ar"/>
              </w:rPr>
              <w:t>1</w:t>
            </w:r>
            <w:r>
              <w:rPr>
                <w:rFonts w:hint="default" w:ascii="Times New Roman" w:hAnsi="Times New Roman" w:eastAsia="宋体" w:cs="Times New Roman"/>
                <w:i w:val="0"/>
                <w:iCs w:val="0"/>
                <w:color w:val="auto"/>
                <w:kern w:val="0"/>
                <w:sz w:val="21"/>
                <w:szCs w:val="21"/>
                <w:highlight w:val="none"/>
                <w:u w:val="none"/>
                <w:lang w:val="en-US" w:eastAsia="zh-CN" w:bidi="ar"/>
              </w:rPr>
              <w:t>元/人次</w:t>
            </w:r>
          </w:p>
        </w:tc>
        <w:tc>
          <w:tcPr>
            <w:tcW w:w="517" w:type="dxa"/>
            <w:noWrap w:val="0"/>
            <w:tcMar>
              <w:top w:w="15" w:type="dxa"/>
              <w:left w:w="28" w:type="dxa"/>
              <w:bottom w:w="15" w:type="dxa"/>
              <w:right w:w="28" w:type="dxa"/>
            </w:tcMar>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p>
        </w:tc>
        <w:tc>
          <w:tcPr>
            <w:tcW w:w="2945" w:type="dxa"/>
            <w:noWrap w:val="0"/>
            <w:tcMar>
              <w:top w:w="15" w:type="dxa"/>
              <w:left w:w="28" w:type="dxa"/>
              <w:bottom w:w="15" w:type="dxa"/>
              <w:right w:w="28" w:type="dxa"/>
            </w:tcMar>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国发明电〔2020〕14号，湘财税〔2020〕12号，湘发改价费规〔2022〕943号</w:t>
            </w:r>
            <w:r>
              <w:rPr>
                <w:rFonts w:hint="eastAsia" w:ascii="Times New Roman" w:hAnsi="Times New Roman" w:eastAsia="宋体" w:cs="Times New Roman"/>
                <w:i w:val="0"/>
                <w:iCs w:val="0"/>
                <w:color w:val="auto"/>
                <w:kern w:val="0"/>
                <w:sz w:val="21"/>
                <w:szCs w:val="21"/>
                <w:highlight w:val="none"/>
                <w:u w:val="none"/>
                <w:lang w:val="en-US" w:eastAsia="zh-CN" w:bidi="ar"/>
              </w:rPr>
              <w:t>，</w:t>
            </w:r>
            <w:r>
              <w:rPr>
                <w:rFonts w:hint="default" w:ascii="Times New Roman" w:hAnsi="Times New Roman" w:eastAsia="宋体" w:cs="Times New Roman"/>
                <w:i w:val="0"/>
                <w:iCs w:val="0"/>
                <w:color w:val="auto"/>
                <w:kern w:val="0"/>
                <w:sz w:val="21"/>
                <w:szCs w:val="21"/>
                <w:highlight w:val="none"/>
                <w:u w:val="none"/>
                <w:lang w:val="en-US" w:eastAsia="zh-CN" w:bidi="ar"/>
              </w:rPr>
              <w:t>湘医保发〔202</w:t>
            </w:r>
            <w:r>
              <w:rPr>
                <w:rFonts w:hint="eastAsia" w:ascii="Times New Roman" w:hAnsi="Times New Roman" w:eastAsia="宋体" w:cs="Times New Roman"/>
                <w:i w:val="0"/>
                <w:iCs w:val="0"/>
                <w:color w:val="auto"/>
                <w:kern w:val="0"/>
                <w:sz w:val="21"/>
                <w:szCs w:val="21"/>
                <w:highlight w:val="none"/>
                <w:u w:val="none"/>
                <w:lang w:val="en-US" w:eastAsia="zh-CN" w:bidi="ar"/>
              </w:rPr>
              <w:t>3</w:t>
            </w:r>
            <w:r>
              <w:rPr>
                <w:rFonts w:hint="default" w:ascii="Times New Roman" w:hAnsi="Times New Roman" w:eastAsia="宋体" w:cs="Times New Roman"/>
                <w:i w:val="0"/>
                <w:iCs w:val="0"/>
                <w:color w:val="auto"/>
                <w:kern w:val="0"/>
                <w:sz w:val="21"/>
                <w:szCs w:val="21"/>
                <w:highlight w:val="none"/>
                <w:u w:val="none"/>
                <w:lang w:val="en-US" w:eastAsia="zh-CN" w:bidi="ar"/>
              </w:rPr>
              <w:t>〕</w:t>
            </w:r>
            <w:r>
              <w:rPr>
                <w:rFonts w:hint="eastAsia" w:ascii="Times New Roman" w:hAnsi="Times New Roman" w:eastAsia="宋体" w:cs="Times New Roman"/>
                <w:i w:val="0"/>
                <w:iCs w:val="0"/>
                <w:color w:val="auto"/>
                <w:kern w:val="0"/>
                <w:sz w:val="21"/>
                <w:szCs w:val="21"/>
                <w:highlight w:val="none"/>
                <w:u w:val="none"/>
                <w:lang w:val="en-US" w:eastAsia="zh-CN" w:bidi="ar"/>
              </w:rPr>
              <w:t>10</w:t>
            </w:r>
            <w:r>
              <w:rPr>
                <w:rFonts w:hint="default" w:ascii="Times New Roman" w:hAnsi="Times New Roman" w:eastAsia="宋体" w:cs="Times New Roman"/>
                <w:i w:val="0"/>
                <w:iCs w:val="0"/>
                <w:color w:val="auto"/>
                <w:kern w:val="0"/>
                <w:sz w:val="21"/>
                <w:szCs w:val="21"/>
                <w:highlight w:val="none"/>
                <w:u w:val="none"/>
                <w:lang w:val="en-US" w:eastAsia="zh-CN" w:bidi="ar"/>
              </w:rPr>
              <w:t>号</w:t>
            </w:r>
            <w:r>
              <w:rPr>
                <w:rFonts w:hint="eastAsia" w:ascii="Times New Roman" w:hAnsi="Times New Roman" w:eastAsia="宋体" w:cs="Times New Roman"/>
                <w:i w:val="0"/>
                <w:iCs w:val="0"/>
                <w:color w:val="auto"/>
                <w:kern w:val="0"/>
                <w:sz w:val="21"/>
                <w:szCs w:val="21"/>
                <w:highlight w:val="none"/>
                <w:u w:val="none"/>
                <w:lang w:val="en-US" w:eastAsia="zh-CN" w:bidi="ar"/>
              </w:rPr>
              <w:t>，长</w:t>
            </w:r>
            <w:r>
              <w:rPr>
                <w:rFonts w:hint="default" w:ascii="Times New Roman" w:hAnsi="Times New Roman" w:eastAsia="宋体" w:cs="Times New Roman"/>
                <w:i w:val="0"/>
                <w:iCs w:val="0"/>
                <w:color w:val="auto"/>
                <w:kern w:val="0"/>
                <w:sz w:val="21"/>
                <w:szCs w:val="21"/>
                <w:highlight w:val="none"/>
                <w:u w:val="none"/>
                <w:lang w:val="en-US" w:eastAsia="zh-CN" w:bidi="ar"/>
              </w:rPr>
              <w:t>医保发〔202</w:t>
            </w:r>
            <w:r>
              <w:rPr>
                <w:rFonts w:hint="eastAsia" w:ascii="Times New Roman" w:hAnsi="Times New Roman" w:eastAsia="宋体" w:cs="Times New Roman"/>
                <w:i w:val="0"/>
                <w:iCs w:val="0"/>
                <w:color w:val="auto"/>
                <w:kern w:val="0"/>
                <w:sz w:val="21"/>
                <w:szCs w:val="21"/>
                <w:highlight w:val="none"/>
                <w:u w:val="none"/>
                <w:lang w:val="en-US" w:eastAsia="zh-CN" w:bidi="ar"/>
              </w:rPr>
              <w:t>3</w:t>
            </w:r>
            <w:r>
              <w:rPr>
                <w:rFonts w:hint="default" w:ascii="Times New Roman" w:hAnsi="Times New Roman" w:eastAsia="宋体" w:cs="Times New Roman"/>
                <w:i w:val="0"/>
                <w:iCs w:val="0"/>
                <w:color w:val="auto"/>
                <w:kern w:val="0"/>
                <w:sz w:val="21"/>
                <w:szCs w:val="21"/>
                <w:highlight w:val="none"/>
                <w:u w:val="none"/>
                <w:lang w:val="en-US" w:eastAsia="zh-CN" w:bidi="ar"/>
              </w:rPr>
              <w:t>〕</w:t>
            </w:r>
            <w:r>
              <w:rPr>
                <w:rFonts w:hint="eastAsia" w:ascii="Times New Roman" w:hAnsi="Times New Roman" w:eastAsia="宋体" w:cs="Times New Roman"/>
                <w:i w:val="0"/>
                <w:iCs w:val="0"/>
                <w:color w:val="auto"/>
                <w:kern w:val="0"/>
                <w:sz w:val="21"/>
                <w:szCs w:val="21"/>
                <w:highlight w:val="none"/>
                <w:u w:val="none"/>
                <w:lang w:val="en-US" w:eastAsia="zh-CN" w:bidi="ar"/>
              </w:rPr>
              <w:t>9</w:t>
            </w:r>
            <w:r>
              <w:rPr>
                <w:rFonts w:hint="default" w:ascii="Times New Roman" w:hAnsi="Times New Roman" w:eastAsia="宋体" w:cs="Times New Roman"/>
                <w:i w:val="0"/>
                <w:iCs w:val="0"/>
                <w:color w:val="auto"/>
                <w:kern w:val="0"/>
                <w:sz w:val="21"/>
                <w:szCs w:val="21"/>
                <w:highlight w:val="none"/>
                <w:u w:val="none"/>
                <w:lang w:val="en-US" w:eastAsia="zh-CN" w:bidi="ar"/>
              </w:rPr>
              <w:t>号</w:t>
            </w:r>
          </w:p>
        </w:tc>
        <w:tc>
          <w:tcPr>
            <w:tcW w:w="1246" w:type="dxa"/>
            <w:noWrap w:val="0"/>
            <w:tcMar>
              <w:top w:w="15" w:type="dxa"/>
              <w:left w:w="28" w:type="dxa"/>
              <w:bottom w:w="15" w:type="dxa"/>
              <w:right w:w="28" w:type="dxa"/>
            </w:tcMar>
            <w:vAlign w:val="center"/>
          </w:tcPr>
          <w:p>
            <w:pPr>
              <w:keepNext w:val="0"/>
              <w:keepLines w:val="0"/>
              <w:widowControl/>
              <w:suppressLineNumbers w:val="0"/>
              <w:spacing w:line="240" w:lineRule="auto"/>
              <w:jc w:val="both"/>
              <w:textAlignment w:val="center"/>
              <w:rPr>
                <w:rFonts w:hint="default" w:ascii="Times New Roman" w:hAnsi="Times New Roman" w:eastAsia="宋体" w:cs="Times New Roman"/>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1"/>
                <w:szCs w:val="21"/>
                <w:highlight w:val="none"/>
                <w:u w:val="none"/>
                <w:lang w:val="en-US" w:eastAsia="zh-CN" w:bidi="ar"/>
              </w:rPr>
              <w:t>不区分方法学，总费用不超过</w:t>
            </w:r>
            <w:r>
              <w:rPr>
                <w:rFonts w:hint="eastAsia" w:ascii="Times New Roman" w:hAnsi="Times New Roman" w:eastAsia="宋体" w:cs="Times New Roman"/>
                <w:i w:val="0"/>
                <w:iCs w:val="0"/>
                <w:color w:val="auto"/>
                <w:kern w:val="0"/>
                <w:sz w:val="21"/>
                <w:szCs w:val="21"/>
                <w:highlight w:val="none"/>
                <w:u w:val="none"/>
                <w:lang w:val="en-US" w:eastAsia="zh-CN" w:bidi="ar"/>
              </w:rPr>
              <w:t>5</w:t>
            </w:r>
            <w:r>
              <w:rPr>
                <w:rFonts w:hint="default" w:ascii="Times New Roman" w:hAnsi="Times New Roman" w:eastAsia="宋体" w:cs="Times New Roman"/>
                <w:i w:val="0"/>
                <w:iCs w:val="0"/>
                <w:color w:val="auto"/>
                <w:kern w:val="0"/>
                <w:sz w:val="21"/>
                <w:szCs w:val="21"/>
                <w:highlight w:val="none"/>
                <w:u w:val="none"/>
                <w:lang w:val="en-US" w:eastAsia="zh-CN" w:bidi="ar"/>
              </w:rPr>
              <w:t>元/人次。</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1143" w:hRule="atLeast"/>
          <w:jc w:val="center"/>
        </w:trPr>
        <w:tc>
          <w:tcPr>
            <w:tcW w:w="533" w:type="dxa"/>
            <w:vMerge w:val="restart"/>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highlight w:val="none"/>
                <w:lang w:val="en-US" w:eastAsia="zh-CN" w:bidi="ar-SA"/>
              </w:rPr>
            </w:pPr>
            <w:r>
              <w:rPr>
                <w:rFonts w:hint="eastAsia" w:ascii="Times New Roman" w:hAnsi="Times New Roman" w:eastAsia="宋体" w:cs="Times New Roman"/>
                <w:i w:val="0"/>
                <w:iCs w:val="0"/>
                <w:color w:val="auto"/>
                <w:kern w:val="0"/>
                <w:sz w:val="21"/>
                <w:szCs w:val="21"/>
                <w:highlight w:val="none"/>
                <w:u w:val="none"/>
                <w:lang w:val="en-US" w:eastAsia="zh-CN" w:bidi="ar"/>
              </w:rPr>
              <w:t>五</w:t>
            </w:r>
          </w:p>
        </w:tc>
        <w:tc>
          <w:tcPr>
            <w:tcW w:w="526" w:type="dxa"/>
            <w:vMerge w:val="restart"/>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人力资源和社会保障</w:t>
            </w:r>
          </w:p>
        </w:tc>
        <w:tc>
          <w:tcPr>
            <w:tcW w:w="520"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8</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Style w:val="16"/>
                <w:rFonts w:hint="default" w:ascii="Times New Roman" w:hAnsi="Times New Roman" w:eastAsia="宋体" w:cs="Times New Roman"/>
                <w:color w:val="auto"/>
                <w:sz w:val="21"/>
                <w:szCs w:val="21"/>
                <w:highlight w:val="none"/>
                <w:lang w:val="en-US" w:eastAsia="zh-CN" w:bidi="ar"/>
              </w:rPr>
              <w:t>、劳动能力鉴定</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劳动能力鉴定200元/项，涉及精神病学鉴定的劳动能力300元/项。</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省级</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湘发改价费规〔2023〕284号</w:t>
            </w:r>
          </w:p>
        </w:tc>
        <w:tc>
          <w:tcPr>
            <w:tcW w:w="1246" w:type="dxa"/>
            <w:noWrap w:val="0"/>
            <w:tcMar>
              <w:top w:w="15" w:type="dxa"/>
              <w:left w:w="28" w:type="dxa"/>
              <w:bottom w:w="15" w:type="dxa"/>
              <w:right w:w="28" w:type="dxa"/>
            </w:tcMar>
            <w:vAlign w:val="center"/>
          </w:tcPr>
          <w:p>
            <w:pPr>
              <w:jc w:val="both"/>
              <w:rPr>
                <w:rFonts w:hint="default" w:ascii="Times New Roman" w:hAnsi="Times New Roman" w:eastAsia="宋体" w:cs="Times New Roman"/>
                <w:i w:val="0"/>
                <w:iCs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1365" w:hRule="atLeast"/>
          <w:jc w:val="center"/>
        </w:trPr>
        <w:tc>
          <w:tcPr>
            <w:tcW w:w="533" w:type="dxa"/>
            <w:vMerge w:val="continue"/>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highlight w:val="none"/>
                <w:lang w:val="en-US" w:eastAsia="zh-CN" w:bidi="ar-SA"/>
              </w:rPr>
            </w:pPr>
          </w:p>
        </w:tc>
        <w:tc>
          <w:tcPr>
            <w:tcW w:w="526" w:type="dxa"/>
            <w:vMerge w:val="continue"/>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highlight w:val="none"/>
                <w:lang w:val="en-US" w:eastAsia="zh-CN" w:bidi="ar-SA"/>
              </w:rPr>
            </w:pPr>
          </w:p>
        </w:tc>
        <w:tc>
          <w:tcPr>
            <w:tcW w:w="520" w:type="dxa"/>
            <w:vMerge w:val="restart"/>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9</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Style w:val="16"/>
                <w:rFonts w:hint="default" w:ascii="Times New Roman" w:hAnsi="Times New Roman" w:eastAsia="宋体" w:cs="Times New Roman"/>
                <w:color w:val="auto"/>
                <w:sz w:val="21"/>
                <w:szCs w:val="21"/>
                <w:highlight w:val="none"/>
                <w:lang w:val="en-US" w:eastAsia="zh-CN" w:bidi="ar"/>
              </w:rPr>
              <w:t>、专业技术职务任职资格评审费</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见文件</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省级</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湘办发〔2017〕33号，湘发改价费规〔2023〕284号</w:t>
            </w:r>
          </w:p>
        </w:tc>
        <w:tc>
          <w:tcPr>
            <w:tcW w:w="1246" w:type="dxa"/>
            <w:noWrap w:val="0"/>
            <w:tcMar>
              <w:top w:w="15" w:type="dxa"/>
              <w:left w:w="28" w:type="dxa"/>
              <w:bottom w:w="15" w:type="dxa"/>
              <w:right w:w="28" w:type="dxa"/>
            </w:tcMar>
            <w:vAlign w:val="center"/>
          </w:tcPr>
          <w:p>
            <w:pPr>
              <w:jc w:val="both"/>
              <w:rPr>
                <w:rFonts w:hint="default" w:ascii="Times New Roman" w:hAnsi="Times New Roman" w:eastAsia="宋体" w:cs="Times New Roman"/>
                <w:i w:val="0"/>
                <w:iCs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1338" w:hRule="atLeast"/>
          <w:jc w:val="center"/>
        </w:trPr>
        <w:tc>
          <w:tcPr>
            <w:tcW w:w="533"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Cs/>
                <w:color w:val="auto"/>
                <w:sz w:val="21"/>
                <w:szCs w:val="21"/>
                <w:highlight w:val="none"/>
              </w:rPr>
            </w:pPr>
          </w:p>
        </w:tc>
        <w:tc>
          <w:tcPr>
            <w:tcW w:w="526"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Cs/>
                <w:color w:val="auto"/>
                <w:sz w:val="21"/>
                <w:szCs w:val="21"/>
                <w:highlight w:val="none"/>
              </w:rPr>
            </w:pPr>
          </w:p>
        </w:tc>
        <w:tc>
          <w:tcPr>
            <w:tcW w:w="520"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color w:val="auto"/>
                <w:sz w:val="21"/>
                <w:szCs w:val="21"/>
                <w:highlight w:val="none"/>
              </w:rPr>
            </w:pP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r>
              <w:rPr>
                <w:rStyle w:val="18"/>
                <w:rFonts w:hint="default" w:ascii="Times New Roman" w:hAnsi="Times New Roman" w:eastAsia="宋体" w:cs="Times New Roman"/>
                <w:color w:val="auto"/>
                <w:sz w:val="21"/>
                <w:szCs w:val="21"/>
                <w:highlight w:val="none"/>
                <w:lang w:val="en-US" w:eastAsia="zh-CN" w:bidi="ar"/>
              </w:rPr>
              <w:t>1</w:t>
            </w:r>
            <w:r>
              <w:rPr>
                <w:rStyle w:val="16"/>
                <w:rFonts w:hint="default" w:ascii="Times New Roman" w:hAnsi="Times New Roman" w:eastAsia="宋体" w:cs="Times New Roman"/>
                <w:color w:val="auto"/>
                <w:sz w:val="21"/>
                <w:szCs w:val="21"/>
                <w:highlight w:val="none"/>
                <w:lang w:val="en-US" w:eastAsia="zh-CN" w:bidi="ar"/>
              </w:rPr>
              <w:t>）高级职务任职资格</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高级职务任职资格400元/人，高级职务任职资格面试200元/人。</w:t>
            </w:r>
          </w:p>
        </w:tc>
        <w:tc>
          <w:tcPr>
            <w:tcW w:w="517" w:type="dxa"/>
            <w:noWrap w:val="0"/>
            <w:tcMar>
              <w:top w:w="15" w:type="dxa"/>
              <w:left w:w="28" w:type="dxa"/>
              <w:bottom w:w="15" w:type="dxa"/>
              <w:right w:w="28" w:type="dxa"/>
            </w:tcMar>
            <w:vAlign w:val="center"/>
          </w:tcPr>
          <w:p>
            <w:pPr>
              <w:jc w:val="center"/>
              <w:rPr>
                <w:rFonts w:hint="default" w:ascii="Times New Roman" w:hAnsi="Times New Roman" w:eastAsia="宋体" w:cs="Times New Roman"/>
                <w:color w:val="auto"/>
                <w:sz w:val="21"/>
                <w:szCs w:val="21"/>
                <w:highlight w:val="none"/>
              </w:rPr>
            </w:pPr>
          </w:p>
        </w:tc>
        <w:tc>
          <w:tcPr>
            <w:tcW w:w="2945" w:type="dxa"/>
            <w:noWrap w:val="0"/>
            <w:tcMar>
              <w:top w:w="15" w:type="dxa"/>
              <w:left w:w="28" w:type="dxa"/>
              <w:bottom w:w="15" w:type="dxa"/>
              <w:right w:w="28" w:type="dxa"/>
            </w:tcMar>
            <w:vAlign w:val="center"/>
          </w:tcPr>
          <w:p>
            <w:pPr>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湘办发〔2017〕33号，湘发改价费规〔2023〕284号</w:t>
            </w:r>
          </w:p>
        </w:tc>
        <w:tc>
          <w:tcPr>
            <w:tcW w:w="1246" w:type="dxa"/>
            <w:noWrap w:val="0"/>
            <w:tcMar>
              <w:top w:w="15" w:type="dxa"/>
              <w:left w:w="28" w:type="dxa"/>
              <w:bottom w:w="15" w:type="dxa"/>
              <w:right w:w="28" w:type="dxa"/>
            </w:tcMar>
            <w:vAlign w:val="center"/>
          </w:tcPr>
          <w:p>
            <w:pPr>
              <w:jc w:val="both"/>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其中推荐部门30元，职务任职资格评审工作承办单位370元</w:t>
            </w:r>
            <w:r>
              <w:rPr>
                <w:rFonts w:hint="eastAsia" w:ascii="Times New Roman" w:hAnsi="Times New Roman" w:eastAsia="宋体" w:cs="Times New Roman"/>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1041" w:hRule="atLeast"/>
          <w:jc w:val="center"/>
        </w:trPr>
        <w:tc>
          <w:tcPr>
            <w:tcW w:w="533" w:type="dxa"/>
            <w:vMerge w:val="continue"/>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highlight w:val="none"/>
                <w:lang w:val="en-US" w:eastAsia="zh-CN" w:bidi="ar-SA"/>
              </w:rPr>
            </w:pPr>
          </w:p>
        </w:tc>
        <w:tc>
          <w:tcPr>
            <w:tcW w:w="526" w:type="dxa"/>
            <w:vMerge w:val="continue"/>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2"/>
                <w:sz w:val="21"/>
                <w:szCs w:val="21"/>
                <w:highlight w:val="none"/>
                <w:lang w:val="en-US" w:eastAsia="zh-CN" w:bidi="ar-SA"/>
              </w:rPr>
            </w:pPr>
          </w:p>
        </w:tc>
        <w:tc>
          <w:tcPr>
            <w:tcW w:w="520"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color w:val="auto"/>
                <w:sz w:val="21"/>
                <w:szCs w:val="21"/>
                <w:highlight w:val="none"/>
              </w:rPr>
            </w:pP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r>
              <w:rPr>
                <w:rStyle w:val="18"/>
                <w:rFonts w:hint="default" w:ascii="Times New Roman" w:hAnsi="Times New Roman" w:eastAsia="宋体" w:cs="Times New Roman"/>
                <w:color w:val="auto"/>
                <w:sz w:val="21"/>
                <w:szCs w:val="21"/>
                <w:highlight w:val="none"/>
                <w:lang w:val="en-US" w:eastAsia="zh-CN" w:bidi="ar"/>
              </w:rPr>
              <w:t>2</w:t>
            </w:r>
            <w:r>
              <w:rPr>
                <w:rStyle w:val="16"/>
                <w:rFonts w:hint="default" w:ascii="Times New Roman" w:hAnsi="Times New Roman" w:eastAsia="宋体" w:cs="Times New Roman"/>
                <w:color w:val="auto"/>
                <w:sz w:val="21"/>
                <w:szCs w:val="21"/>
                <w:highlight w:val="none"/>
                <w:lang w:val="en-US" w:eastAsia="zh-CN" w:bidi="ar"/>
              </w:rPr>
              <w:t>）中级职务任职资格</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215元/人</w:t>
            </w:r>
          </w:p>
        </w:tc>
        <w:tc>
          <w:tcPr>
            <w:tcW w:w="517" w:type="dxa"/>
            <w:noWrap w:val="0"/>
            <w:tcMar>
              <w:top w:w="15" w:type="dxa"/>
              <w:left w:w="28" w:type="dxa"/>
              <w:bottom w:w="15" w:type="dxa"/>
              <w:right w:w="28" w:type="dxa"/>
            </w:tcMar>
            <w:vAlign w:val="center"/>
          </w:tcPr>
          <w:p>
            <w:pPr>
              <w:jc w:val="center"/>
              <w:rPr>
                <w:rFonts w:hint="default" w:ascii="Times New Roman" w:hAnsi="Times New Roman" w:eastAsia="宋体" w:cs="Times New Roman"/>
                <w:color w:val="auto"/>
                <w:sz w:val="21"/>
                <w:szCs w:val="21"/>
                <w:highlight w:val="none"/>
              </w:rPr>
            </w:pPr>
          </w:p>
        </w:tc>
        <w:tc>
          <w:tcPr>
            <w:tcW w:w="2945" w:type="dxa"/>
            <w:noWrap w:val="0"/>
            <w:tcMar>
              <w:top w:w="15" w:type="dxa"/>
              <w:left w:w="28" w:type="dxa"/>
              <w:bottom w:w="15" w:type="dxa"/>
              <w:right w:w="28" w:type="dxa"/>
            </w:tcMar>
            <w:vAlign w:val="center"/>
          </w:tcPr>
          <w:p>
            <w:pPr>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湘办发〔2017〕33号，湘发改价费规〔2023〕284号</w:t>
            </w:r>
          </w:p>
        </w:tc>
        <w:tc>
          <w:tcPr>
            <w:tcW w:w="1246" w:type="dxa"/>
            <w:noWrap w:val="0"/>
            <w:tcMar>
              <w:top w:w="15" w:type="dxa"/>
              <w:left w:w="28" w:type="dxa"/>
              <w:bottom w:w="15" w:type="dxa"/>
              <w:right w:w="28" w:type="dxa"/>
            </w:tcMar>
            <w:vAlign w:val="center"/>
          </w:tcPr>
          <w:p>
            <w:pPr>
              <w:jc w:val="both"/>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其中推荐部门15元，职务任职资格评审工作承办单位200元</w:t>
            </w:r>
            <w:r>
              <w:rPr>
                <w:rFonts w:hint="eastAsia" w:ascii="Times New Roman" w:hAnsi="Times New Roman" w:eastAsia="宋体" w:cs="Times New Roman"/>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1188" w:hRule="atLeast"/>
          <w:jc w:val="center"/>
        </w:trPr>
        <w:tc>
          <w:tcPr>
            <w:tcW w:w="533"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Cs/>
                <w:color w:val="auto"/>
                <w:sz w:val="21"/>
                <w:szCs w:val="21"/>
                <w:highlight w:val="none"/>
              </w:rPr>
            </w:pPr>
          </w:p>
        </w:tc>
        <w:tc>
          <w:tcPr>
            <w:tcW w:w="526"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Cs/>
                <w:color w:val="auto"/>
                <w:sz w:val="21"/>
                <w:szCs w:val="21"/>
                <w:highlight w:val="none"/>
              </w:rPr>
            </w:pPr>
          </w:p>
        </w:tc>
        <w:tc>
          <w:tcPr>
            <w:tcW w:w="520"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color w:val="auto"/>
                <w:sz w:val="21"/>
                <w:szCs w:val="21"/>
                <w:highlight w:val="none"/>
              </w:rPr>
            </w:pP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w:t>
            </w:r>
            <w:r>
              <w:rPr>
                <w:rStyle w:val="18"/>
                <w:rFonts w:hint="default" w:ascii="Times New Roman" w:hAnsi="Times New Roman" w:eastAsia="宋体" w:cs="Times New Roman"/>
                <w:color w:val="auto"/>
                <w:sz w:val="21"/>
                <w:szCs w:val="21"/>
                <w:highlight w:val="none"/>
                <w:lang w:val="en-US" w:eastAsia="zh-CN" w:bidi="ar"/>
              </w:rPr>
              <w:t>3</w:t>
            </w:r>
            <w:r>
              <w:rPr>
                <w:rStyle w:val="16"/>
                <w:rFonts w:hint="default" w:ascii="Times New Roman" w:hAnsi="Times New Roman" w:eastAsia="宋体" w:cs="Times New Roman"/>
                <w:color w:val="auto"/>
                <w:sz w:val="21"/>
                <w:szCs w:val="21"/>
                <w:highlight w:val="none"/>
                <w:lang w:val="en-US" w:eastAsia="zh-CN" w:bidi="ar"/>
              </w:rPr>
              <w:t>）初级职务任职资格</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110元/人</w:t>
            </w:r>
          </w:p>
        </w:tc>
        <w:tc>
          <w:tcPr>
            <w:tcW w:w="517" w:type="dxa"/>
            <w:noWrap w:val="0"/>
            <w:tcMar>
              <w:top w:w="15" w:type="dxa"/>
              <w:left w:w="28" w:type="dxa"/>
              <w:bottom w:w="15" w:type="dxa"/>
              <w:right w:w="28" w:type="dxa"/>
            </w:tcMar>
            <w:vAlign w:val="center"/>
          </w:tcPr>
          <w:p>
            <w:pPr>
              <w:jc w:val="center"/>
              <w:rPr>
                <w:rFonts w:hint="default" w:ascii="Times New Roman" w:hAnsi="Times New Roman" w:eastAsia="宋体" w:cs="Times New Roman"/>
                <w:color w:val="auto"/>
                <w:sz w:val="21"/>
                <w:szCs w:val="21"/>
                <w:highlight w:val="none"/>
              </w:rPr>
            </w:pPr>
          </w:p>
        </w:tc>
        <w:tc>
          <w:tcPr>
            <w:tcW w:w="2945" w:type="dxa"/>
            <w:noWrap w:val="0"/>
            <w:tcMar>
              <w:top w:w="15" w:type="dxa"/>
              <w:left w:w="28" w:type="dxa"/>
              <w:bottom w:w="15" w:type="dxa"/>
              <w:right w:w="28" w:type="dxa"/>
            </w:tcMar>
            <w:vAlign w:val="center"/>
          </w:tcPr>
          <w:p>
            <w:pPr>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湘办发〔2017〕33号，湘发改价费规〔2023〕284号</w:t>
            </w:r>
          </w:p>
        </w:tc>
        <w:tc>
          <w:tcPr>
            <w:tcW w:w="1246" w:type="dxa"/>
            <w:noWrap w:val="0"/>
            <w:tcMar>
              <w:top w:w="15" w:type="dxa"/>
              <w:left w:w="28" w:type="dxa"/>
              <w:bottom w:w="15" w:type="dxa"/>
              <w:right w:w="28" w:type="dxa"/>
            </w:tcMar>
            <w:vAlign w:val="center"/>
          </w:tcPr>
          <w:p>
            <w:pPr>
              <w:jc w:val="both"/>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其中推荐部门10元，职务任职资格评审工作承办单位100元</w:t>
            </w:r>
            <w:r>
              <w:rPr>
                <w:rFonts w:hint="eastAsia" w:ascii="Times New Roman" w:hAnsi="Times New Roman" w:eastAsia="宋体" w:cs="Times New Roman"/>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1272" w:hRule="atLeast"/>
          <w:jc w:val="center"/>
        </w:trPr>
        <w:tc>
          <w:tcPr>
            <w:tcW w:w="533" w:type="dxa"/>
            <w:vMerge w:val="restart"/>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highlight w:val="none"/>
                <w:lang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六</w:t>
            </w:r>
          </w:p>
        </w:tc>
        <w:tc>
          <w:tcPr>
            <w:tcW w:w="526" w:type="dxa"/>
            <w:vMerge w:val="restart"/>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各有关部门</w:t>
            </w:r>
          </w:p>
        </w:tc>
        <w:tc>
          <w:tcPr>
            <w:tcW w:w="520"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10</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Style w:val="16"/>
                <w:rFonts w:hint="default" w:ascii="Times New Roman" w:hAnsi="Times New Roman" w:eastAsia="宋体" w:cs="Times New Roman"/>
                <w:color w:val="auto"/>
                <w:sz w:val="21"/>
                <w:szCs w:val="21"/>
                <w:highlight w:val="none"/>
                <w:lang w:val="en-US" w:eastAsia="zh-CN" w:bidi="ar"/>
              </w:rPr>
              <w:t>、考试考务费</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见文件</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中央</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《湖南省考试考务费目录清单》，收费标准见各执收部门系统文件</w:t>
            </w:r>
          </w:p>
        </w:tc>
        <w:tc>
          <w:tcPr>
            <w:tcW w:w="1246" w:type="dxa"/>
            <w:noWrap w:val="0"/>
            <w:tcMar>
              <w:top w:w="15" w:type="dxa"/>
              <w:left w:w="28" w:type="dxa"/>
              <w:bottom w:w="15" w:type="dxa"/>
              <w:right w:w="28" w:type="dxa"/>
            </w:tcMar>
            <w:vAlign w:val="center"/>
          </w:tcPr>
          <w:p>
            <w:pPr>
              <w:jc w:val="both"/>
              <w:rPr>
                <w:rFonts w:hint="default" w:ascii="Times New Roman" w:hAnsi="Times New Roman" w:eastAsia="宋体" w:cs="Times New Roman"/>
                <w:i w:val="0"/>
                <w:iCs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15" w:type="dxa"/>
            <w:left w:w="57" w:type="dxa"/>
            <w:bottom w:w="15" w:type="dxa"/>
            <w:right w:w="57" w:type="dxa"/>
          </w:tblCellMar>
        </w:tblPrEx>
        <w:trPr>
          <w:trHeight w:val="1071" w:hRule="atLeast"/>
          <w:jc w:val="center"/>
        </w:trPr>
        <w:tc>
          <w:tcPr>
            <w:tcW w:w="533"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Cs/>
                <w:color w:val="auto"/>
                <w:sz w:val="21"/>
                <w:szCs w:val="21"/>
                <w:highlight w:val="none"/>
                <w:lang w:eastAsia="zh-CN"/>
              </w:rPr>
            </w:pPr>
          </w:p>
        </w:tc>
        <w:tc>
          <w:tcPr>
            <w:tcW w:w="526" w:type="dxa"/>
            <w:vMerge w:val="continue"/>
            <w:noWrap w:val="0"/>
            <w:tcMar>
              <w:top w:w="15" w:type="dxa"/>
              <w:left w:w="28" w:type="dxa"/>
              <w:bottom w:w="15" w:type="dxa"/>
              <w:right w:w="28" w:type="dxa"/>
            </w:tcMar>
            <w:vAlign w:val="center"/>
          </w:tcPr>
          <w:p>
            <w:pPr>
              <w:jc w:val="center"/>
              <w:rPr>
                <w:rFonts w:hint="default" w:ascii="Times New Roman" w:hAnsi="Times New Roman" w:eastAsia="宋体" w:cs="Times New Roman"/>
                <w:bCs/>
                <w:color w:val="auto"/>
                <w:sz w:val="21"/>
                <w:szCs w:val="21"/>
                <w:highlight w:val="none"/>
              </w:rPr>
            </w:pPr>
          </w:p>
        </w:tc>
        <w:tc>
          <w:tcPr>
            <w:tcW w:w="520"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11</w:t>
            </w:r>
          </w:p>
        </w:tc>
        <w:tc>
          <w:tcPr>
            <w:tcW w:w="907"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2</w:t>
            </w:r>
            <w:r>
              <w:rPr>
                <w:rStyle w:val="16"/>
                <w:rFonts w:hint="default" w:ascii="Times New Roman" w:hAnsi="Times New Roman" w:eastAsia="宋体" w:cs="Times New Roman"/>
                <w:color w:val="auto"/>
                <w:sz w:val="21"/>
                <w:szCs w:val="21"/>
                <w:highlight w:val="none"/>
                <w:lang w:val="en-US" w:eastAsia="zh-CN" w:bidi="ar"/>
              </w:rPr>
              <w:t>、信息处理费</w:t>
            </w:r>
          </w:p>
        </w:tc>
        <w:tc>
          <w:tcPr>
            <w:tcW w:w="18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见文件</w:t>
            </w:r>
          </w:p>
        </w:tc>
        <w:tc>
          <w:tcPr>
            <w:tcW w:w="517" w:type="dxa"/>
            <w:noWrap w:val="0"/>
            <w:tcMar>
              <w:top w:w="15" w:type="dxa"/>
              <w:left w:w="28" w:type="dxa"/>
              <w:bottom w:w="15" w:type="dxa"/>
              <w:right w:w="28"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中央</w:t>
            </w:r>
          </w:p>
        </w:tc>
        <w:tc>
          <w:tcPr>
            <w:tcW w:w="2945" w:type="dxa"/>
            <w:noWrap w:val="0"/>
            <w:tcMar>
              <w:top w:w="15" w:type="dxa"/>
              <w:left w:w="28" w:type="dxa"/>
              <w:bottom w:w="15" w:type="dxa"/>
              <w:right w:w="28" w:type="dxa"/>
            </w:tcMar>
            <w:vAlign w:val="center"/>
          </w:tcPr>
          <w:p>
            <w:pPr>
              <w:keepNext w:val="0"/>
              <w:keepLines w:val="0"/>
              <w:widowControl/>
              <w:suppressLineNumbers w:val="0"/>
              <w:jc w:val="both"/>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《中华人民共和国</w:t>
            </w:r>
            <w:r>
              <w:rPr>
                <w:rFonts w:hint="eastAsia" w:cs="Times New Roman"/>
                <w:i w:val="0"/>
                <w:iCs w:val="0"/>
                <w:color w:val="auto"/>
                <w:kern w:val="0"/>
                <w:sz w:val="21"/>
                <w:szCs w:val="21"/>
                <w:highlight w:val="none"/>
                <w:u w:val="none"/>
                <w:lang w:val="en-US" w:eastAsia="zh-CN" w:bidi="ar"/>
              </w:rPr>
              <w:t>政府</w:t>
            </w:r>
            <w:bookmarkStart w:id="0" w:name="_GoBack"/>
            <w:bookmarkEnd w:id="0"/>
            <w:r>
              <w:rPr>
                <w:rFonts w:hint="default" w:ascii="Times New Roman" w:hAnsi="Times New Roman" w:eastAsia="宋体" w:cs="Times New Roman"/>
                <w:i w:val="0"/>
                <w:iCs w:val="0"/>
                <w:color w:val="auto"/>
                <w:kern w:val="0"/>
                <w:sz w:val="21"/>
                <w:szCs w:val="21"/>
                <w:highlight w:val="none"/>
                <w:u w:val="none"/>
                <w:lang w:val="en-US" w:eastAsia="zh-CN" w:bidi="ar"/>
              </w:rPr>
              <w:t>信息公开条例》， 国办函〔2020〕109号，湘财税〔2021〕3号</w:t>
            </w:r>
          </w:p>
        </w:tc>
        <w:tc>
          <w:tcPr>
            <w:tcW w:w="1246" w:type="dxa"/>
            <w:noWrap w:val="0"/>
            <w:tcMar>
              <w:top w:w="15" w:type="dxa"/>
              <w:left w:w="28" w:type="dxa"/>
              <w:bottom w:w="15" w:type="dxa"/>
              <w:right w:w="28" w:type="dxa"/>
            </w:tcMar>
            <w:vAlign w:val="center"/>
          </w:tcPr>
          <w:p>
            <w:pPr>
              <w:jc w:val="both"/>
              <w:rPr>
                <w:rFonts w:hint="default" w:ascii="Times New Roman" w:hAnsi="Times New Roman" w:eastAsia="宋体" w:cs="Times New Roman"/>
                <w:i w:val="0"/>
                <w:iCs w:val="0"/>
                <w:color w:val="auto"/>
                <w:kern w:val="0"/>
                <w:sz w:val="21"/>
                <w:szCs w:val="21"/>
                <w:highlight w:val="none"/>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楷体_GB2312"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hint="default" w:ascii="Times New Roman" w:hAnsi="Times New Roman" w:eastAsia="楷体_GB2312" w:cs="Times New Roman"/>
          <w:color w:val="auto"/>
          <w:sz w:val="24"/>
          <w:szCs w:val="24"/>
          <w:lang w:eastAsia="zh-CN"/>
        </w:rPr>
      </w:pPr>
      <w:r>
        <w:rPr>
          <w:rFonts w:hint="default" w:ascii="Times New Roman" w:hAnsi="Times New Roman" w:eastAsia="楷体_GB2312" w:cs="Times New Roman"/>
          <w:color w:val="auto"/>
          <w:sz w:val="24"/>
          <w:szCs w:val="24"/>
        </w:rPr>
        <w:t>备注</w:t>
      </w:r>
      <w:r>
        <w:rPr>
          <w:rFonts w:hint="default" w:ascii="Times New Roman" w:hAnsi="Times New Roman" w:eastAsia="楷体_GB2312"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1</w:t>
      </w:r>
      <w:r>
        <w:rPr>
          <w:rFonts w:hint="eastAsia" w:ascii="Times New Roman" w:hAnsi="Times New Roman" w:eastAsia="楷体_GB2312" w:cs="Times New Roman"/>
          <w:color w:val="auto"/>
          <w:sz w:val="24"/>
          <w:szCs w:val="24"/>
          <w:lang w:val="en-US" w:eastAsia="zh-CN"/>
        </w:rPr>
        <w:t xml:space="preserve">. </w:t>
      </w:r>
      <w:r>
        <w:rPr>
          <w:rFonts w:hint="default" w:ascii="Times New Roman" w:hAnsi="Times New Roman" w:eastAsia="楷体_GB2312" w:cs="Times New Roman"/>
          <w:color w:val="auto"/>
          <w:sz w:val="24"/>
          <w:szCs w:val="24"/>
        </w:rPr>
        <w:t>本清单</w:t>
      </w:r>
      <w:r>
        <w:rPr>
          <w:rFonts w:hint="default" w:ascii="Times New Roman" w:hAnsi="Times New Roman" w:eastAsia="楷体_GB2312" w:cs="Times New Roman"/>
          <w:color w:val="auto"/>
          <w:sz w:val="24"/>
          <w:szCs w:val="24"/>
          <w:lang w:eastAsia="zh-CN"/>
        </w:rPr>
        <w:t>为</w:t>
      </w:r>
      <w:r>
        <w:rPr>
          <w:rFonts w:hint="eastAsia" w:ascii="Times New Roman" w:hAnsi="Times New Roman" w:eastAsia="楷体_GB2312" w:cs="Times New Roman"/>
          <w:color w:val="auto"/>
          <w:sz w:val="24"/>
          <w:szCs w:val="24"/>
          <w:lang w:eastAsia="zh-CN"/>
        </w:rPr>
        <w:t>区</w:t>
      </w:r>
      <w:r>
        <w:rPr>
          <w:rFonts w:hint="default" w:ascii="Times New Roman" w:hAnsi="Times New Roman" w:eastAsia="楷体_GB2312" w:cs="Times New Roman"/>
          <w:color w:val="auto"/>
          <w:sz w:val="24"/>
          <w:szCs w:val="24"/>
          <w:lang w:eastAsia="zh-CN"/>
        </w:rPr>
        <w:t>本级</w:t>
      </w:r>
      <w:r>
        <w:rPr>
          <w:rFonts w:hint="default" w:ascii="Times New Roman" w:hAnsi="Times New Roman" w:eastAsia="楷体_GB2312" w:cs="Times New Roman"/>
          <w:color w:val="auto"/>
          <w:sz w:val="24"/>
          <w:szCs w:val="24"/>
        </w:rPr>
        <w:t>执收的行政事业性收费项目。</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2</w:t>
      </w:r>
      <w:r>
        <w:rPr>
          <w:rFonts w:hint="eastAsia" w:ascii="Times New Roman" w:hAnsi="Times New Roman" w:eastAsia="楷体_GB2312" w:cs="Times New Roman"/>
          <w:color w:val="auto"/>
          <w:sz w:val="24"/>
          <w:szCs w:val="24"/>
          <w:lang w:val="en-US" w:eastAsia="zh-CN"/>
        </w:rPr>
        <w:t xml:space="preserve">. </w:t>
      </w:r>
      <w:r>
        <w:rPr>
          <w:rFonts w:hint="default" w:ascii="Times New Roman" w:hAnsi="Times New Roman" w:eastAsia="楷体_GB2312" w:cs="Times New Roman"/>
          <w:color w:val="auto"/>
          <w:sz w:val="24"/>
          <w:szCs w:val="24"/>
        </w:rPr>
        <w:t>排污权有偿使用费、河道砂石资</w:t>
      </w:r>
      <w:r>
        <w:rPr>
          <w:rFonts w:hint="default" w:ascii="Times New Roman" w:hAnsi="Times New Roman" w:eastAsia="楷体_GB2312" w:cs="Times New Roman"/>
          <w:color w:val="auto"/>
          <w:spacing w:val="-6"/>
          <w:sz w:val="24"/>
          <w:szCs w:val="24"/>
        </w:rPr>
        <w:t>源有偿使用费属于国有资源有偿使用收入</w:t>
      </w:r>
      <w:r>
        <w:rPr>
          <w:rFonts w:hint="default" w:ascii="Times New Roman" w:hAnsi="Times New Roman" w:eastAsia="楷体_GB2312" w:cs="Times New Roman"/>
          <w:color w:val="auto"/>
          <w:sz w:val="24"/>
          <w:szCs w:val="24"/>
        </w:rPr>
        <w:t>，不作为行政事业性收费管理。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3</w:t>
      </w:r>
      <w:r>
        <w:rPr>
          <w:rFonts w:hint="eastAsia" w:ascii="Times New Roman" w:hAnsi="Times New Roman" w:eastAsia="楷体_GB2312" w:cs="Times New Roman"/>
          <w:color w:val="auto"/>
          <w:sz w:val="24"/>
          <w:szCs w:val="24"/>
          <w:lang w:val="en-US" w:eastAsia="zh-CN"/>
        </w:rPr>
        <w:t xml:space="preserve">. </w:t>
      </w:r>
      <w:r>
        <w:rPr>
          <w:rFonts w:hint="default" w:ascii="Times New Roman" w:hAnsi="Times New Roman" w:eastAsia="楷体_GB2312" w:cs="Times New Roman"/>
          <w:color w:val="auto"/>
          <w:sz w:val="24"/>
          <w:szCs w:val="24"/>
        </w:rPr>
        <w:t>人防工程及设施毁损赔（补）偿费不再作为行政事业性收费管理。对人防工程及设施造成毁损的，应按照《中华人民共和国人民防空法》的规定，依法赔偿损失。</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4</w:t>
      </w:r>
      <w:r>
        <w:rPr>
          <w:rFonts w:hint="eastAsia" w:ascii="Times New Roman" w:hAnsi="Times New Roman" w:eastAsia="楷体_GB2312" w:cs="Times New Roman"/>
          <w:color w:val="auto"/>
          <w:sz w:val="24"/>
          <w:szCs w:val="24"/>
          <w:lang w:val="en-US" w:eastAsia="zh-CN"/>
        </w:rPr>
        <w:t xml:space="preserve">. </w:t>
      </w:r>
      <w:r>
        <w:rPr>
          <w:rFonts w:hint="default" w:ascii="Times New Roman" w:hAnsi="Times New Roman" w:eastAsia="楷体_GB2312" w:cs="Times New Roman"/>
          <w:color w:val="auto"/>
          <w:sz w:val="24"/>
          <w:szCs w:val="24"/>
        </w:rPr>
        <w:t>破损公路及公路设施赔补偿费和公路占用费不再作为行政事业性收费项目管理，改作国有资源（资产）有偿使用收入管理。造成公路及公路设施破损以及占用公路的，应按照《中华人民共和国公路法》、交通运输部《路政管理规定》，依法进行赔偿或补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5</w:t>
      </w:r>
      <w:r>
        <w:rPr>
          <w:rFonts w:hint="eastAsia" w:ascii="Times New Roman" w:hAnsi="Times New Roman" w:eastAsia="楷体_GB2312" w:cs="Times New Roman"/>
          <w:color w:val="auto"/>
          <w:sz w:val="24"/>
          <w:szCs w:val="24"/>
          <w:lang w:val="en-US" w:eastAsia="zh-CN"/>
        </w:rPr>
        <w:t xml:space="preserve">. </w:t>
      </w:r>
      <w:r>
        <w:rPr>
          <w:rFonts w:hint="default" w:ascii="Times New Roman" w:hAnsi="Times New Roman" w:eastAsia="楷体_GB2312" w:cs="Times New Roman"/>
          <w:color w:val="auto"/>
          <w:sz w:val="24"/>
          <w:szCs w:val="24"/>
        </w:rPr>
        <w:t>2021年7月20日，《中共中央、国务院关于优化生育政策促进人口长期均衡发展的决定》公布取消卫生健康部门执收的社会抚养费，具体以正式文件通知为准。</w:t>
      </w:r>
    </w:p>
    <w:p>
      <w:pPr>
        <w:rPr>
          <w:rFonts w:eastAsia="仿宋_GB2312" w:cs="仿宋_GB2312"/>
          <w:sz w:val="32"/>
          <w:szCs w:val="32"/>
        </w:rPr>
      </w:pPr>
    </w:p>
    <w:sectPr>
      <w:headerReference r:id="rId4" w:type="first"/>
      <w:footerReference r:id="rId6" w:type="first"/>
      <w:headerReference r:id="rId3" w:type="default"/>
      <w:footerReference r:id="rId5" w:type="default"/>
      <w:pgSz w:w="11906" w:h="16838"/>
      <w:pgMar w:top="1701" w:right="1531" w:bottom="1531"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Style w:val="10"/>
                              <w:rFonts w:ascii="宋体" w:cs="宋体"/>
                              <w:sz w:val="21"/>
                              <w:szCs w:val="21"/>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- 2 -</w:t>
                          </w:r>
                          <w:r>
                            <w:rPr>
                              <w:rStyle w:val="10"/>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Style w:val="10"/>
                        <w:rFonts w:ascii="宋体" w:cs="宋体"/>
                        <w:sz w:val="21"/>
                        <w:szCs w:val="21"/>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- 2 -</w:t>
                    </w:r>
                    <w:r>
                      <w:rPr>
                        <w:rStyle w:val="10"/>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rPr>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6887"/>
      </w:tabs>
      <w:jc w:val="left"/>
    </w:pPr>
    <w:r>
      <w:tab/>
    </w:r>
    <w:r>
      <w:tab/>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671D86"/>
    <w:rsid w:val="0000028C"/>
    <w:rsid w:val="000242F4"/>
    <w:rsid w:val="000368A3"/>
    <w:rsid w:val="00060A2E"/>
    <w:rsid w:val="0006122F"/>
    <w:rsid w:val="00071292"/>
    <w:rsid w:val="0009109D"/>
    <w:rsid w:val="00095C41"/>
    <w:rsid w:val="000A586B"/>
    <w:rsid w:val="000B073E"/>
    <w:rsid w:val="000B192A"/>
    <w:rsid w:val="000B2895"/>
    <w:rsid w:val="000C0C9B"/>
    <w:rsid w:val="000D1480"/>
    <w:rsid w:val="000F53E2"/>
    <w:rsid w:val="001159F2"/>
    <w:rsid w:val="0011622E"/>
    <w:rsid w:val="0012480D"/>
    <w:rsid w:val="001348C4"/>
    <w:rsid w:val="00135403"/>
    <w:rsid w:val="00153DB1"/>
    <w:rsid w:val="0015572D"/>
    <w:rsid w:val="0016313E"/>
    <w:rsid w:val="0017208B"/>
    <w:rsid w:val="00173DC5"/>
    <w:rsid w:val="00181FD9"/>
    <w:rsid w:val="00182649"/>
    <w:rsid w:val="00187B69"/>
    <w:rsid w:val="0019091D"/>
    <w:rsid w:val="00195732"/>
    <w:rsid w:val="001A05AB"/>
    <w:rsid w:val="001A3B38"/>
    <w:rsid w:val="001A670D"/>
    <w:rsid w:val="001B201F"/>
    <w:rsid w:val="001B45D1"/>
    <w:rsid w:val="001C037A"/>
    <w:rsid w:val="001C3A93"/>
    <w:rsid w:val="001C50C2"/>
    <w:rsid w:val="001C6317"/>
    <w:rsid w:val="0021321D"/>
    <w:rsid w:val="00233A1D"/>
    <w:rsid w:val="002456D8"/>
    <w:rsid w:val="002504D2"/>
    <w:rsid w:val="00256227"/>
    <w:rsid w:val="00270043"/>
    <w:rsid w:val="00272631"/>
    <w:rsid w:val="00275033"/>
    <w:rsid w:val="002750D4"/>
    <w:rsid w:val="00284D08"/>
    <w:rsid w:val="00296FB4"/>
    <w:rsid w:val="002A17B4"/>
    <w:rsid w:val="002A2048"/>
    <w:rsid w:val="002B10E5"/>
    <w:rsid w:val="002B2691"/>
    <w:rsid w:val="002B27D9"/>
    <w:rsid w:val="002C181F"/>
    <w:rsid w:val="002C1ECC"/>
    <w:rsid w:val="002C76BA"/>
    <w:rsid w:val="002D39A5"/>
    <w:rsid w:val="002E0CAD"/>
    <w:rsid w:val="002E4369"/>
    <w:rsid w:val="00317F40"/>
    <w:rsid w:val="00320B14"/>
    <w:rsid w:val="003353CE"/>
    <w:rsid w:val="00354731"/>
    <w:rsid w:val="00390C0C"/>
    <w:rsid w:val="003916D6"/>
    <w:rsid w:val="00391905"/>
    <w:rsid w:val="003B79A0"/>
    <w:rsid w:val="003C6F18"/>
    <w:rsid w:val="003D6348"/>
    <w:rsid w:val="003E61EC"/>
    <w:rsid w:val="003E72B7"/>
    <w:rsid w:val="003F08C7"/>
    <w:rsid w:val="003F25F0"/>
    <w:rsid w:val="003F2832"/>
    <w:rsid w:val="004333FC"/>
    <w:rsid w:val="00437A9E"/>
    <w:rsid w:val="00465C71"/>
    <w:rsid w:val="004B07C1"/>
    <w:rsid w:val="004B179B"/>
    <w:rsid w:val="004B3E21"/>
    <w:rsid w:val="004C0D40"/>
    <w:rsid w:val="004C4CA9"/>
    <w:rsid w:val="004D0D5F"/>
    <w:rsid w:val="004E25C3"/>
    <w:rsid w:val="004F3590"/>
    <w:rsid w:val="00546748"/>
    <w:rsid w:val="00546AFB"/>
    <w:rsid w:val="00550757"/>
    <w:rsid w:val="00554D09"/>
    <w:rsid w:val="00574C8D"/>
    <w:rsid w:val="00580B87"/>
    <w:rsid w:val="005836D5"/>
    <w:rsid w:val="00586E56"/>
    <w:rsid w:val="00590415"/>
    <w:rsid w:val="005973A2"/>
    <w:rsid w:val="005A711E"/>
    <w:rsid w:val="005B1C01"/>
    <w:rsid w:val="005B65BE"/>
    <w:rsid w:val="005C4DE4"/>
    <w:rsid w:val="005C553D"/>
    <w:rsid w:val="005F0260"/>
    <w:rsid w:val="005F5325"/>
    <w:rsid w:val="006176FB"/>
    <w:rsid w:val="00626085"/>
    <w:rsid w:val="00635335"/>
    <w:rsid w:val="00652645"/>
    <w:rsid w:val="00653D4C"/>
    <w:rsid w:val="0066658A"/>
    <w:rsid w:val="00671D86"/>
    <w:rsid w:val="00672A04"/>
    <w:rsid w:val="006773BC"/>
    <w:rsid w:val="006778A6"/>
    <w:rsid w:val="006811C7"/>
    <w:rsid w:val="00696DC9"/>
    <w:rsid w:val="006A1A5B"/>
    <w:rsid w:val="006B42AE"/>
    <w:rsid w:val="006B510A"/>
    <w:rsid w:val="006C5875"/>
    <w:rsid w:val="006D023C"/>
    <w:rsid w:val="006D350F"/>
    <w:rsid w:val="006D4E28"/>
    <w:rsid w:val="006F766F"/>
    <w:rsid w:val="006F7D05"/>
    <w:rsid w:val="0072308F"/>
    <w:rsid w:val="00727743"/>
    <w:rsid w:val="007337A6"/>
    <w:rsid w:val="007360EC"/>
    <w:rsid w:val="00740565"/>
    <w:rsid w:val="007462EE"/>
    <w:rsid w:val="0075765F"/>
    <w:rsid w:val="00772869"/>
    <w:rsid w:val="00786EF4"/>
    <w:rsid w:val="00791049"/>
    <w:rsid w:val="007A07A3"/>
    <w:rsid w:val="007A2FEC"/>
    <w:rsid w:val="007A5049"/>
    <w:rsid w:val="007C4A3E"/>
    <w:rsid w:val="007C4CA0"/>
    <w:rsid w:val="007D5C57"/>
    <w:rsid w:val="007D7796"/>
    <w:rsid w:val="007D7C2C"/>
    <w:rsid w:val="007E0993"/>
    <w:rsid w:val="007E1C21"/>
    <w:rsid w:val="007E1C38"/>
    <w:rsid w:val="008055AF"/>
    <w:rsid w:val="00820021"/>
    <w:rsid w:val="0082211B"/>
    <w:rsid w:val="0082220B"/>
    <w:rsid w:val="00842DBE"/>
    <w:rsid w:val="00843DAC"/>
    <w:rsid w:val="00846304"/>
    <w:rsid w:val="0087208F"/>
    <w:rsid w:val="008762B5"/>
    <w:rsid w:val="008A32B0"/>
    <w:rsid w:val="008A3CB7"/>
    <w:rsid w:val="008C61E7"/>
    <w:rsid w:val="008D1682"/>
    <w:rsid w:val="008F6EB3"/>
    <w:rsid w:val="0090347A"/>
    <w:rsid w:val="0090729B"/>
    <w:rsid w:val="00907AB1"/>
    <w:rsid w:val="00935343"/>
    <w:rsid w:val="0093728F"/>
    <w:rsid w:val="0095534D"/>
    <w:rsid w:val="00957DB3"/>
    <w:rsid w:val="00965A1F"/>
    <w:rsid w:val="009808D9"/>
    <w:rsid w:val="00992102"/>
    <w:rsid w:val="00996438"/>
    <w:rsid w:val="009A23EC"/>
    <w:rsid w:val="009B1EE2"/>
    <w:rsid w:val="009C010E"/>
    <w:rsid w:val="009C0756"/>
    <w:rsid w:val="009C0D82"/>
    <w:rsid w:val="009C2CF9"/>
    <w:rsid w:val="009C6CDD"/>
    <w:rsid w:val="009D3B59"/>
    <w:rsid w:val="009D4F30"/>
    <w:rsid w:val="00A160A6"/>
    <w:rsid w:val="00A1663D"/>
    <w:rsid w:val="00A36921"/>
    <w:rsid w:val="00A41448"/>
    <w:rsid w:val="00A43419"/>
    <w:rsid w:val="00A46D41"/>
    <w:rsid w:val="00A65935"/>
    <w:rsid w:val="00A711E0"/>
    <w:rsid w:val="00A76DE3"/>
    <w:rsid w:val="00A84D78"/>
    <w:rsid w:val="00AA34D1"/>
    <w:rsid w:val="00AA6E43"/>
    <w:rsid w:val="00AB221B"/>
    <w:rsid w:val="00AB6B3A"/>
    <w:rsid w:val="00AC5667"/>
    <w:rsid w:val="00AE3BFE"/>
    <w:rsid w:val="00B02170"/>
    <w:rsid w:val="00B1038E"/>
    <w:rsid w:val="00B15107"/>
    <w:rsid w:val="00B210C4"/>
    <w:rsid w:val="00B372F0"/>
    <w:rsid w:val="00B40589"/>
    <w:rsid w:val="00B6041F"/>
    <w:rsid w:val="00B6485F"/>
    <w:rsid w:val="00B71C2F"/>
    <w:rsid w:val="00B80FFD"/>
    <w:rsid w:val="00B824C4"/>
    <w:rsid w:val="00B82BA9"/>
    <w:rsid w:val="00B86C56"/>
    <w:rsid w:val="00BA14FE"/>
    <w:rsid w:val="00BB1BA9"/>
    <w:rsid w:val="00BB7F01"/>
    <w:rsid w:val="00BC0920"/>
    <w:rsid w:val="00BC476B"/>
    <w:rsid w:val="00BD640E"/>
    <w:rsid w:val="00BE3C3F"/>
    <w:rsid w:val="00C03CE0"/>
    <w:rsid w:val="00C07BEA"/>
    <w:rsid w:val="00C33A07"/>
    <w:rsid w:val="00C82B92"/>
    <w:rsid w:val="00C841F0"/>
    <w:rsid w:val="00CA71AC"/>
    <w:rsid w:val="00CB4903"/>
    <w:rsid w:val="00CC4DAC"/>
    <w:rsid w:val="00CF14C6"/>
    <w:rsid w:val="00D06269"/>
    <w:rsid w:val="00D1453E"/>
    <w:rsid w:val="00D14E4B"/>
    <w:rsid w:val="00D157B8"/>
    <w:rsid w:val="00D260D4"/>
    <w:rsid w:val="00D266C4"/>
    <w:rsid w:val="00D26D02"/>
    <w:rsid w:val="00D31574"/>
    <w:rsid w:val="00D47E68"/>
    <w:rsid w:val="00D50489"/>
    <w:rsid w:val="00D50D67"/>
    <w:rsid w:val="00D637AE"/>
    <w:rsid w:val="00D6625C"/>
    <w:rsid w:val="00D8232E"/>
    <w:rsid w:val="00DB756F"/>
    <w:rsid w:val="00DC6898"/>
    <w:rsid w:val="00DC6B02"/>
    <w:rsid w:val="00DD7F1F"/>
    <w:rsid w:val="00DF7F07"/>
    <w:rsid w:val="00E12792"/>
    <w:rsid w:val="00E33A40"/>
    <w:rsid w:val="00E43A82"/>
    <w:rsid w:val="00E67B3E"/>
    <w:rsid w:val="00E709E6"/>
    <w:rsid w:val="00E77C0D"/>
    <w:rsid w:val="00E80770"/>
    <w:rsid w:val="00EA09D8"/>
    <w:rsid w:val="00EA722A"/>
    <w:rsid w:val="00EA7270"/>
    <w:rsid w:val="00EE2BAE"/>
    <w:rsid w:val="00F13219"/>
    <w:rsid w:val="00F139A1"/>
    <w:rsid w:val="00F15F3E"/>
    <w:rsid w:val="00F17E67"/>
    <w:rsid w:val="00F275B7"/>
    <w:rsid w:val="00F57F78"/>
    <w:rsid w:val="00F632A7"/>
    <w:rsid w:val="00F93723"/>
    <w:rsid w:val="00F96DDC"/>
    <w:rsid w:val="00FB180A"/>
    <w:rsid w:val="00FB4475"/>
    <w:rsid w:val="00FC4E50"/>
    <w:rsid w:val="00FD08E0"/>
    <w:rsid w:val="00FE20B6"/>
    <w:rsid w:val="01D458B8"/>
    <w:rsid w:val="026D2321"/>
    <w:rsid w:val="02787972"/>
    <w:rsid w:val="04743DBF"/>
    <w:rsid w:val="05A201D9"/>
    <w:rsid w:val="06EB0B38"/>
    <w:rsid w:val="075241D9"/>
    <w:rsid w:val="07F21D8B"/>
    <w:rsid w:val="081E1192"/>
    <w:rsid w:val="083D35EC"/>
    <w:rsid w:val="08671659"/>
    <w:rsid w:val="08794B3A"/>
    <w:rsid w:val="09236DF2"/>
    <w:rsid w:val="09606FE0"/>
    <w:rsid w:val="0BF226EE"/>
    <w:rsid w:val="0C392E6B"/>
    <w:rsid w:val="0C75643D"/>
    <w:rsid w:val="0D375B30"/>
    <w:rsid w:val="0E050E11"/>
    <w:rsid w:val="0E61784A"/>
    <w:rsid w:val="0EE23B77"/>
    <w:rsid w:val="0F100A5A"/>
    <w:rsid w:val="0F693E4C"/>
    <w:rsid w:val="0FAA24C9"/>
    <w:rsid w:val="0FD90D0D"/>
    <w:rsid w:val="0FEC3DD2"/>
    <w:rsid w:val="0FFF1233"/>
    <w:rsid w:val="116D7763"/>
    <w:rsid w:val="120C60D8"/>
    <w:rsid w:val="12966E21"/>
    <w:rsid w:val="131E67ED"/>
    <w:rsid w:val="136A5779"/>
    <w:rsid w:val="13D3750A"/>
    <w:rsid w:val="14834CA2"/>
    <w:rsid w:val="14D118A0"/>
    <w:rsid w:val="15A62E48"/>
    <w:rsid w:val="169E16B3"/>
    <w:rsid w:val="19335CED"/>
    <w:rsid w:val="1AD41EEF"/>
    <w:rsid w:val="1B3202B8"/>
    <w:rsid w:val="1B345FB5"/>
    <w:rsid w:val="1C4374B7"/>
    <w:rsid w:val="1C9B024B"/>
    <w:rsid w:val="1D932DF6"/>
    <w:rsid w:val="1DBB5D1D"/>
    <w:rsid w:val="1EE207A8"/>
    <w:rsid w:val="1F0E5D5E"/>
    <w:rsid w:val="20320121"/>
    <w:rsid w:val="20585BB2"/>
    <w:rsid w:val="20A32E3B"/>
    <w:rsid w:val="216E55B3"/>
    <w:rsid w:val="220F61F7"/>
    <w:rsid w:val="22586A51"/>
    <w:rsid w:val="22A62891"/>
    <w:rsid w:val="23C65D7D"/>
    <w:rsid w:val="23DC005E"/>
    <w:rsid w:val="24DD27E7"/>
    <w:rsid w:val="26253CAE"/>
    <w:rsid w:val="26DC20F9"/>
    <w:rsid w:val="27133938"/>
    <w:rsid w:val="28E132CC"/>
    <w:rsid w:val="2A16354F"/>
    <w:rsid w:val="2B1C275A"/>
    <w:rsid w:val="2B665FB4"/>
    <w:rsid w:val="2BC73D77"/>
    <w:rsid w:val="2BD21D3B"/>
    <w:rsid w:val="2C8E7F9C"/>
    <w:rsid w:val="2DA32659"/>
    <w:rsid w:val="2DD80471"/>
    <w:rsid w:val="2DEC1544"/>
    <w:rsid w:val="2EE6627C"/>
    <w:rsid w:val="302379CF"/>
    <w:rsid w:val="318D13E1"/>
    <w:rsid w:val="328A6600"/>
    <w:rsid w:val="330E5CA7"/>
    <w:rsid w:val="33392D16"/>
    <w:rsid w:val="336019D2"/>
    <w:rsid w:val="33C14DF1"/>
    <w:rsid w:val="33CC0DFC"/>
    <w:rsid w:val="34082916"/>
    <w:rsid w:val="340A7C5F"/>
    <w:rsid w:val="360B5E7C"/>
    <w:rsid w:val="360B78D9"/>
    <w:rsid w:val="37716C1C"/>
    <w:rsid w:val="37B42A18"/>
    <w:rsid w:val="39B5629C"/>
    <w:rsid w:val="3A2449F3"/>
    <w:rsid w:val="3CC01F0D"/>
    <w:rsid w:val="3D594ABF"/>
    <w:rsid w:val="3D5A3C68"/>
    <w:rsid w:val="3DF55F66"/>
    <w:rsid w:val="3EA968F2"/>
    <w:rsid w:val="3EE62ED2"/>
    <w:rsid w:val="3F3C2E8B"/>
    <w:rsid w:val="40443D90"/>
    <w:rsid w:val="404D54A4"/>
    <w:rsid w:val="41F156F4"/>
    <w:rsid w:val="42151574"/>
    <w:rsid w:val="42201867"/>
    <w:rsid w:val="42AF4AFE"/>
    <w:rsid w:val="42CA1803"/>
    <w:rsid w:val="42F71DC1"/>
    <w:rsid w:val="433A4455"/>
    <w:rsid w:val="43FE6ED7"/>
    <w:rsid w:val="440851FA"/>
    <w:rsid w:val="44244BFA"/>
    <w:rsid w:val="45027E37"/>
    <w:rsid w:val="461A6F46"/>
    <w:rsid w:val="468772B0"/>
    <w:rsid w:val="470C54E4"/>
    <w:rsid w:val="47DA4ECC"/>
    <w:rsid w:val="48800257"/>
    <w:rsid w:val="48E00C65"/>
    <w:rsid w:val="497D24DD"/>
    <w:rsid w:val="4A1B043B"/>
    <w:rsid w:val="4A716C83"/>
    <w:rsid w:val="4B481BEC"/>
    <w:rsid w:val="4B741785"/>
    <w:rsid w:val="4B86342B"/>
    <w:rsid w:val="4BAF3C0F"/>
    <w:rsid w:val="4C3D2BA9"/>
    <w:rsid w:val="4CC909E0"/>
    <w:rsid w:val="4D5A2563"/>
    <w:rsid w:val="4E6B58A2"/>
    <w:rsid w:val="4E8512D8"/>
    <w:rsid w:val="4FD707B1"/>
    <w:rsid w:val="508D37ED"/>
    <w:rsid w:val="51B97834"/>
    <w:rsid w:val="51C21D7F"/>
    <w:rsid w:val="523F0C82"/>
    <w:rsid w:val="52560619"/>
    <w:rsid w:val="52620D5A"/>
    <w:rsid w:val="537C481B"/>
    <w:rsid w:val="549174FE"/>
    <w:rsid w:val="552B602C"/>
    <w:rsid w:val="55AB103C"/>
    <w:rsid w:val="55E357AB"/>
    <w:rsid w:val="574561F5"/>
    <w:rsid w:val="57551715"/>
    <w:rsid w:val="576B409A"/>
    <w:rsid w:val="57B673CF"/>
    <w:rsid w:val="57BF10A5"/>
    <w:rsid w:val="57EC0524"/>
    <w:rsid w:val="581A0F50"/>
    <w:rsid w:val="58E11F30"/>
    <w:rsid w:val="5913289B"/>
    <w:rsid w:val="5926133C"/>
    <w:rsid w:val="593E4ECB"/>
    <w:rsid w:val="5A501252"/>
    <w:rsid w:val="5A567B53"/>
    <w:rsid w:val="5A9C2DC9"/>
    <w:rsid w:val="5ABC170B"/>
    <w:rsid w:val="5B4C6C92"/>
    <w:rsid w:val="5CE03B7D"/>
    <w:rsid w:val="5D0B022F"/>
    <w:rsid w:val="5E737768"/>
    <w:rsid w:val="5E990F99"/>
    <w:rsid w:val="5F0F4A5F"/>
    <w:rsid w:val="5FAE4020"/>
    <w:rsid w:val="601B493B"/>
    <w:rsid w:val="602F7DBF"/>
    <w:rsid w:val="608667FC"/>
    <w:rsid w:val="60A37AAF"/>
    <w:rsid w:val="61096DE8"/>
    <w:rsid w:val="610C625F"/>
    <w:rsid w:val="61ED61AD"/>
    <w:rsid w:val="61FB1EBC"/>
    <w:rsid w:val="6207342E"/>
    <w:rsid w:val="62680798"/>
    <w:rsid w:val="63B17089"/>
    <w:rsid w:val="64272BED"/>
    <w:rsid w:val="656F4FE2"/>
    <w:rsid w:val="65BC6C8D"/>
    <w:rsid w:val="67455692"/>
    <w:rsid w:val="67CA68EC"/>
    <w:rsid w:val="687D39DD"/>
    <w:rsid w:val="68C55825"/>
    <w:rsid w:val="69DB6733"/>
    <w:rsid w:val="6B324E91"/>
    <w:rsid w:val="6CA5578F"/>
    <w:rsid w:val="6D5E75C8"/>
    <w:rsid w:val="6DF70783"/>
    <w:rsid w:val="6E0962F7"/>
    <w:rsid w:val="6E73445E"/>
    <w:rsid w:val="6FAC58EA"/>
    <w:rsid w:val="717620B4"/>
    <w:rsid w:val="7180742C"/>
    <w:rsid w:val="71A455F8"/>
    <w:rsid w:val="71BC4EF1"/>
    <w:rsid w:val="72026D67"/>
    <w:rsid w:val="733111F5"/>
    <w:rsid w:val="73E84F61"/>
    <w:rsid w:val="742A1A52"/>
    <w:rsid w:val="743C69C5"/>
    <w:rsid w:val="74A3425D"/>
    <w:rsid w:val="74F20E52"/>
    <w:rsid w:val="75BD17E1"/>
    <w:rsid w:val="75F75C20"/>
    <w:rsid w:val="76024D8A"/>
    <w:rsid w:val="766309FC"/>
    <w:rsid w:val="772E0EFE"/>
    <w:rsid w:val="77552E25"/>
    <w:rsid w:val="795F245D"/>
    <w:rsid w:val="79831619"/>
    <w:rsid w:val="7A0226A0"/>
    <w:rsid w:val="7A2D7381"/>
    <w:rsid w:val="7A5E6E6E"/>
    <w:rsid w:val="7AD20288"/>
    <w:rsid w:val="7B8555A7"/>
    <w:rsid w:val="7CE36D3B"/>
    <w:rsid w:val="7DDF7AC0"/>
    <w:rsid w:val="7EA808EA"/>
    <w:rsid w:val="7FD057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qFormat/>
    <w:uiPriority w:val="99"/>
    <w:pPr>
      <w:spacing w:after="120"/>
      <w:ind w:left="420" w:leftChars="200"/>
    </w:pPr>
  </w:style>
  <w:style w:type="paragraph" w:styleId="3">
    <w:name w:val="Balloon Text"/>
    <w:basedOn w:val="1"/>
    <w:link w:val="15"/>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paragraph" w:styleId="7">
    <w:name w:val="Body Text First Indent 2"/>
    <w:basedOn w:val="2"/>
    <w:link w:val="14"/>
    <w:semiHidden/>
    <w:qFormat/>
    <w:uiPriority w:val="99"/>
    <w:pPr>
      <w:tabs>
        <w:tab w:val="left" w:pos="630"/>
      </w:tabs>
      <w:ind w:firstLine="420"/>
    </w:pPr>
    <w:rPr>
      <w:sz w:val="20"/>
      <w:szCs w:val="20"/>
    </w:rPr>
  </w:style>
  <w:style w:type="character" w:styleId="10">
    <w:name w:val="page number"/>
    <w:basedOn w:val="9"/>
    <w:qFormat/>
    <w:uiPriority w:val="99"/>
    <w:rPr>
      <w:rFonts w:cs="Times New Roman"/>
    </w:rPr>
  </w:style>
  <w:style w:type="character" w:customStyle="1" w:styleId="11">
    <w:name w:val="页脚 Char"/>
    <w:basedOn w:val="9"/>
    <w:link w:val="4"/>
    <w:qFormat/>
    <w:locked/>
    <w:uiPriority w:val="99"/>
    <w:rPr>
      <w:rFonts w:ascii="Times New Roman" w:hAnsi="Times New Roman" w:cs="Times New Roman"/>
      <w:sz w:val="18"/>
      <w:szCs w:val="18"/>
    </w:rPr>
  </w:style>
  <w:style w:type="character" w:customStyle="1" w:styleId="12">
    <w:name w:val="页眉 Char"/>
    <w:basedOn w:val="9"/>
    <w:link w:val="5"/>
    <w:semiHidden/>
    <w:qFormat/>
    <w:locked/>
    <w:uiPriority w:val="99"/>
    <w:rPr>
      <w:rFonts w:ascii="Times New Roman" w:hAnsi="Times New Roman" w:cs="Times New Roman"/>
      <w:sz w:val="18"/>
      <w:szCs w:val="18"/>
    </w:rPr>
  </w:style>
  <w:style w:type="character" w:customStyle="1" w:styleId="13">
    <w:name w:val="正文文本缩进 Char"/>
    <w:basedOn w:val="9"/>
    <w:link w:val="2"/>
    <w:semiHidden/>
    <w:qFormat/>
    <w:locked/>
    <w:uiPriority w:val="99"/>
    <w:rPr>
      <w:rFonts w:ascii="Times New Roman" w:hAnsi="Times New Roman" w:cs="Times New Roman"/>
      <w:kern w:val="2"/>
      <w:sz w:val="21"/>
      <w:szCs w:val="21"/>
    </w:rPr>
  </w:style>
  <w:style w:type="character" w:customStyle="1" w:styleId="14">
    <w:name w:val="正文首行缩进 2 Char"/>
    <w:basedOn w:val="13"/>
    <w:link w:val="7"/>
    <w:semiHidden/>
    <w:qFormat/>
    <w:locked/>
    <w:uiPriority w:val="99"/>
    <w:rPr>
      <w:rFonts w:eastAsia="宋体"/>
    </w:rPr>
  </w:style>
  <w:style w:type="character" w:customStyle="1" w:styleId="15">
    <w:name w:val="批注框文本 Char"/>
    <w:basedOn w:val="9"/>
    <w:link w:val="3"/>
    <w:semiHidden/>
    <w:qFormat/>
    <w:locked/>
    <w:uiPriority w:val="99"/>
    <w:rPr>
      <w:rFonts w:ascii="Times New Roman" w:hAnsi="Times New Roman" w:cs="Times New Roman"/>
      <w:kern w:val="2"/>
      <w:sz w:val="18"/>
      <w:szCs w:val="18"/>
    </w:rPr>
  </w:style>
  <w:style w:type="character" w:customStyle="1" w:styleId="16">
    <w:name w:val="font21"/>
    <w:basedOn w:val="9"/>
    <w:qFormat/>
    <w:uiPriority w:val="0"/>
    <w:rPr>
      <w:rFonts w:hint="eastAsia" w:ascii="仿宋_GB2312" w:eastAsia="仿宋_GB2312"/>
      <w:color w:val="000000"/>
      <w:sz w:val="24"/>
      <w:szCs w:val="24"/>
      <w:u w:val="none"/>
    </w:rPr>
  </w:style>
  <w:style w:type="character" w:customStyle="1" w:styleId="17">
    <w:name w:val="font41"/>
    <w:basedOn w:val="9"/>
    <w:qFormat/>
    <w:uiPriority w:val="0"/>
    <w:rPr>
      <w:rFonts w:hint="default" w:ascii="方正书宋_GBK" w:hAnsi="方正书宋_GBK" w:eastAsia="方正书宋_GBK" w:cs="方正书宋_GBK"/>
      <w:color w:val="000000"/>
      <w:sz w:val="21"/>
      <w:szCs w:val="21"/>
      <w:u w:val="none"/>
    </w:rPr>
  </w:style>
  <w:style w:type="character" w:customStyle="1" w:styleId="18">
    <w:name w:val="font1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深度技术</Company>
  <Pages>8</Pages>
  <Words>3104</Words>
  <Characters>3571</Characters>
  <Lines>4</Lines>
  <Paragraphs>1</Paragraphs>
  <TotalTime>22</TotalTime>
  <ScaleCrop>false</ScaleCrop>
  <LinksUpToDate>false</LinksUpToDate>
  <CharactersWithSpaces>3684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2022-07-23T08:57:00Z</dcterms:created>
  <dc:creator>深度技术</dc:creator>
  <cp:lastModifiedBy>Administrator</cp:lastModifiedBy>
  <cp:lastPrinted>2023-10-17T02:52:00Z</cp:lastPrinted>
  <dcterms:modified xsi:type="dcterms:W3CDTF">2023-10-18T02:25:36Z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5D1D2CF425E643C19941CAAA296CC959_13</vt:lpwstr>
  </property>
</Properties>
</file>