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0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0"/>
          <w:rFonts w:hint="eastAsia" w:ascii="黑体" w:hAnsi="宋体" w:eastAsia="黑体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widowControl w:val="0"/>
        <w:spacing w:line="640" w:lineRule="exact"/>
        <w:jc w:val="center"/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</w:rPr>
        <w:t>新冠肺炎疫情防控健康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eastAsia="zh-CN"/>
        </w:rPr>
        <w:t>承诺书</w:t>
      </w:r>
    </w:p>
    <w:p>
      <w:pPr>
        <w:pStyle w:val="2"/>
        <w:spacing w:beforeLines="50" w:afterLines="50" w:line="480" w:lineRule="exact"/>
        <w:rPr>
          <w:rFonts w:ascii="仿宋_GB2312" w:hAnsi="仿宋_GB2312" w:eastAsia="仿宋_GB2312" w:cs="仿宋_GB2312"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</w:rPr>
        <w:t>姓名：            身份证号码：                    联系电话：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>人员类别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考生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 xml:space="preserve">近21天有无到境外旅居史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有：国家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color w:val="000000" w:themeColor="text1"/>
              </w:rPr>
              <w:t>，交通方式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 xml:space="preserve">近14天有无境外归国人员密切接触史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>近14天有无中高风险地区旅居史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有：城市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color w:val="000000" w:themeColor="text1"/>
              </w:rPr>
              <w:t>，交通方式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有：接触地点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</w:rPr>
              <w:t>，可能接触方式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有：接触地点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</w:rPr>
              <w:t>，可能接触方式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有：接触地点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</w:rPr>
              <w:t>，可能接触方式</w:t>
            </w:r>
            <w:r>
              <w:rPr>
                <w:rFonts w:hint="eastAsia" w:ascii="仿宋_GB2312" w:eastAsia="仿宋_GB2312"/>
                <w:color w:val="000000" w:themeColor="text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近14天有无以下临床表现：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无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有：</w:t>
            </w:r>
          </w:p>
          <w:p>
            <w:pPr>
              <w:widowControl w:val="0"/>
              <w:spacing w:line="38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发热（</w:t>
            </w:r>
            <w:r>
              <w:rPr>
                <w:rFonts w:hint="eastAsia" w:ascii="仿宋_GB2312" w:hAnsi="Arial" w:eastAsia="仿宋_GB2312" w:cs="Arial"/>
                <w:color w:val="000000" w:themeColor="text1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37.3℃），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干咳，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咳痰，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咽痛，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乏力，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气促，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胸闷，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头痛，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恶心，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呕吐，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 w:hAnsiTheme="minorHAnsi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健康电子码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 w:hAnsiTheme="minorHAnsi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绿码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黄码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行程码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绿码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黄码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近7天新冠病毒核酸检测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未开展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阴性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hint="eastAsia" w:ascii="仿宋_GB2312" w:eastAsia="仿宋_GB2312"/>
                <w:color w:val="000000" w:themeColor="text1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pStyle w:val="2"/>
              <w:ind w:firstLine="440" w:firstLineChars="20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pStyle w:val="2"/>
              <w:ind w:firstLine="440" w:firstLineChars="200"/>
              <w:rPr>
                <w:rFonts w:ascii="仿宋_GB2312" w:eastAsia="仿宋_GB2312"/>
                <w:color w:val="000000" w:themeColor="text1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签名：</w:t>
            </w:r>
          </w:p>
          <w:p>
            <w:pPr>
              <w:pStyle w:val="2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 w:themeColor="text1"/>
              </w:rPr>
              <w:t xml:space="preserve">  年   月    日</w:t>
            </w:r>
          </w:p>
        </w:tc>
      </w:tr>
    </w:tbl>
    <w:p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851" w:right="1797" w:bottom="851" w:left="1797" w:header="709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928"/>
    <w:rsid w:val="0001028D"/>
    <w:rsid w:val="000D26F2"/>
    <w:rsid w:val="003C5F0D"/>
    <w:rsid w:val="00493928"/>
    <w:rsid w:val="004A6025"/>
    <w:rsid w:val="00566D10"/>
    <w:rsid w:val="006769D4"/>
    <w:rsid w:val="00714AA5"/>
    <w:rsid w:val="0087365C"/>
    <w:rsid w:val="00B03194"/>
    <w:rsid w:val="00B44107"/>
    <w:rsid w:val="00D37F92"/>
    <w:rsid w:val="00D53E18"/>
    <w:rsid w:val="00EE6459"/>
    <w:rsid w:val="00F23778"/>
    <w:rsid w:val="3C7308AA"/>
    <w:rsid w:val="671C1FF4"/>
    <w:rsid w:val="6A2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jx_yc_ga_nbj</Company>
  <Pages>1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2022-03-06T14:31:00Z</dcterms:created>
  <dc:creator>xieweimin</dc:creator>
  <cp:lastModifiedBy>Administrator</cp:lastModifiedBy>
  <dcterms:modified xsi:type="dcterms:W3CDTF">2022-03-07T07:14:29Z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A1B42FDB2271479CB63F1DBAA01F3CFF</vt:lpwstr>
  </property>
</Properties>
</file>