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22</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80"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长沙雨花经济开发区管理委员会</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4010</w:t>
      </w:r>
      <w:r>
        <w:rPr>
          <w:rFonts w:hint="eastAsia" w:eastAsia="仿宋_GB2312"/>
          <w:sz w:val="32"/>
          <w:highlight w:val="none"/>
          <w:u w:val="single"/>
          <w:lang w:val="en-US" w:eastAsia="zh-CN"/>
        </w:rPr>
        <w:t>14</w:t>
      </w:r>
      <w:r>
        <w:rPr>
          <w:rFonts w:hint="eastAsia" w:eastAsia="仿宋_GB2312"/>
          <w:sz w:val="32"/>
          <w:highlight w:val="none"/>
          <w:u w:val="single"/>
        </w:rPr>
        <w:t xml:space="preserve">     </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autoSpaceDN w:val="0"/>
        <w:jc w:val="center"/>
        <w:textAlignment w:val="center"/>
        <w:rPr>
          <w:rFonts w:hint="eastAsia" w:eastAsia="仿宋_GB2312"/>
          <w:sz w:val="32"/>
          <w:szCs w:val="32"/>
        </w:rPr>
        <w:sectPr>
          <w:footerReference r:id="rId4" w:type="default"/>
          <w:headerReference r:id="rId3" w:type="even"/>
          <w:footerReference r:id="rId5" w:type="even"/>
          <w:pgSz w:w="11906" w:h="16838"/>
          <w:pgMar w:top="1701" w:right="1531" w:bottom="1531" w:left="1531" w:header="851" w:footer="992" w:gutter="0"/>
          <w:pgNumType w:fmt="numberInDash" w:start="8"/>
          <w:cols w:space="720" w:num="1"/>
          <w:rtlGutter w:val="0"/>
          <w:docGrid w:type="lines" w:linePitch="316" w:charSpace="0"/>
        </w:sect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部门整体支出绩效评价指标表</w:t>
      </w:r>
    </w:p>
    <w:tbl>
      <w:tblPr>
        <w:tblStyle w:val="4"/>
        <w:tblW w:w="4997" w:type="pct"/>
        <w:tblInd w:w="0" w:type="dxa"/>
        <w:tblLayout w:type="autofit"/>
        <w:tblCellMar>
          <w:top w:w="0" w:type="dxa"/>
          <w:left w:w="108" w:type="dxa"/>
          <w:bottom w:w="0" w:type="dxa"/>
          <w:right w:w="108" w:type="dxa"/>
        </w:tblCellMar>
      </w:tblPr>
      <w:tblGrid>
        <w:gridCol w:w="416"/>
        <w:gridCol w:w="416"/>
        <w:gridCol w:w="550"/>
        <w:gridCol w:w="416"/>
        <w:gridCol w:w="836"/>
        <w:gridCol w:w="417"/>
        <w:gridCol w:w="2541"/>
        <w:gridCol w:w="2945"/>
        <w:gridCol w:w="518"/>
      </w:tblGrid>
      <w:tr>
        <w:tblPrEx>
          <w:tblCellMar>
            <w:top w:w="0" w:type="dxa"/>
            <w:left w:w="108" w:type="dxa"/>
            <w:bottom w:w="0" w:type="dxa"/>
            <w:right w:w="108" w:type="dxa"/>
          </w:tblCellMar>
        </w:tblPrEx>
        <w:trPr>
          <w:trHeight w:val="567" w:hRule="atLeast"/>
          <w:tblHeader/>
        </w:trPr>
        <w:tc>
          <w:tcPr>
            <w:tcW w:w="2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一级指标</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分值</w:t>
            </w:r>
          </w:p>
        </w:tc>
        <w:tc>
          <w:tcPr>
            <w:tcW w:w="30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二级指标</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分值</w:t>
            </w:r>
          </w:p>
        </w:tc>
        <w:tc>
          <w:tcPr>
            <w:tcW w:w="46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三级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指标</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分值</w:t>
            </w:r>
          </w:p>
        </w:tc>
        <w:tc>
          <w:tcPr>
            <w:tcW w:w="140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评价标准</w:t>
            </w:r>
          </w:p>
        </w:tc>
        <w:tc>
          <w:tcPr>
            <w:tcW w:w="16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指标说明</w:t>
            </w:r>
          </w:p>
        </w:tc>
        <w:tc>
          <w:tcPr>
            <w:tcW w:w="28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kern w:val="0"/>
                <w:sz w:val="20"/>
                <w:szCs w:val="20"/>
              </w:rPr>
            </w:pPr>
            <w:r>
              <w:rPr>
                <w:rFonts w:hint="eastAsia" w:ascii="黑体" w:hAnsi="黑体" w:eastAsia="黑体" w:cs="黑体"/>
                <w:kern w:val="0"/>
                <w:sz w:val="20"/>
                <w:szCs w:val="20"/>
              </w:rPr>
              <w:t>得分</w:t>
            </w:r>
          </w:p>
        </w:tc>
      </w:tr>
      <w:tr>
        <w:tblPrEx>
          <w:tblCellMar>
            <w:top w:w="0" w:type="dxa"/>
            <w:left w:w="108" w:type="dxa"/>
            <w:bottom w:w="0" w:type="dxa"/>
            <w:right w:w="108" w:type="dxa"/>
          </w:tblCellMar>
        </w:tblPrEx>
        <w:trPr>
          <w:trHeight w:val="567" w:hRule="atLeast"/>
        </w:trPr>
        <w:tc>
          <w:tcPr>
            <w:tcW w:w="23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04" w:type="pct"/>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16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编制数：机构编制部门核定批复的部门（单位）的人员编制数。</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04"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楼堂馆所面积控制率=实际建设面积/批准建设面积×100%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楼堂馆所投资预算控制率=实际投资金额/批准投资金额×100%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公用经费控制率=（实际支出公用经费总额/预算安排公用经费总额）×100%。</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公用经费支出是指部门基本支出中的一般商品和服务支出。</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政府采购执行率=（实际政府采购金额/政府采购预算数）×100%</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567" w:hRule="atLeast"/>
        </w:trPr>
        <w:tc>
          <w:tcPr>
            <w:tcW w:w="230"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229"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04" w:type="pct"/>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①有内部财务管理制度、会计核算制度等管理制度，2分；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②有本部门厉行节约制度,2分；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③相关管理制度合法、合规、完整，2分；④相关管理制度得到有效执行，2分。</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以上情况每出现一例不符合要求的扣1分，扣完为止。</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0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62" w:type="pct"/>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根据绩效办2015年对各部门为民办实事和部门重点工程与重点工作考核分数折算。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该项得分=（实际产出数/计划产出数）*8</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6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229" w:type="pct"/>
            <w:vMerge w:val="restart"/>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027" w:type="pct"/>
            <w:gridSpan w:val="2"/>
            <w:vMerge w:val="restart"/>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286" w:type="pct"/>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229" w:type="pct"/>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27" w:type="pct"/>
            <w:gridSpan w:val="2"/>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86" w:type="pct"/>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2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16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28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12</w:t>
            </w:r>
          </w:p>
        </w:tc>
      </w:tr>
      <w:tr>
        <w:tblPrEx>
          <w:tblCellMar>
            <w:top w:w="0" w:type="dxa"/>
            <w:left w:w="108" w:type="dxa"/>
            <w:bottom w:w="0" w:type="dxa"/>
            <w:right w:w="108" w:type="dxa"/>
          </w:tblCellMar>
        </w:tblPrEx>
        <w:trPr>
          <w:trHeight w:val="567" w:hRule="atLeast"/>
        </w:trPr>
        <w:tc>
          <w:tcPr>
            <w:tcW w:w="230"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304"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229"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p>
        </w:tc>
        <w:tc>
          <w:tcPr>
            <w:tcW w:w="46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22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40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90%（含）以上计6分；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80%（含）-90%，计4分；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70%（含）-80%，计2分；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低于70%计0分。</w:t>
            </w:r>
          </w:p>
        </w:tc>
        <w:tc>
          <w:tcPr>
            <w:tcW w:w="16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28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部门整体支出绩效评价基础数据表</w:t>
      </w:r>
    </w:p>
    <w:p>
      <w:pPr>
        <w:widowControl/>
        <w:tabs>
          <w:tab w:val="left" w:pos="3611"/>
          <w:tab w:val="left" w:pos="4791"/>
          <w:tab w:val="left" w:pos="5951"/>
          <w:tab w:val="left" w:pos="7071"/>
          <w:tab w:val="left" w:pos="8191"/>
          <w:tab w:val="left" w:pos="9311"/>
        </w:tabs>
        <w:ind w:left="91"/>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填报单位：</w:t>
      </w:r>
      <w:r>
        <w:rPr>
          <w:rFonts w:hint="eastAsia" w:ascii="仿宋_GB2312" w:hAnsi="仿宋_GB2312" w:eastAsia="仿宋_GB2312" w:cs="仿宋_GB2312"/>
          <w:kern w:val="0"/>
          <w:sz w:val="24"/>
          <w:lang w:val="en-US" w:eastAsia="zh-CN"/>
        </w:rPr>
        <w:t>长沙雨花经济开发区管理委员会</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ab/>
      </w:r>
    </w:p>
    <w:tbl>
      <w:tblPr>
        <w:tblStyle w:val="4"/>
        <w:tblW w:w="4998" w:type="pct"/>
        <w:jc w:val="center"/>
        <w:tblLayout w:type="autofit"/>
        <w:tblCellMar>
          <w:top w:w="0" w:type="dxa"/>
          <w:left w:w="108" w:type="dxa"/>
          <w:bottom w:w="0" w:type="dxa"/>
          <w:right w:w="108" w:type="dxa"/>
        </w:tblCellMar>
      </w:tblPr>
      <w:tblGrid>
        <w:gridCol w:w="3050"/>
        <w:gridCol w:w="1010"/>
        <w:gridCol w:w="939"/>
        <w:gridCol w:w="1121"/>
        <w:gridCol w:w="1064"/>
        <w:gridCol w:w="855"/>
        <w:gridCol w:w="1017"/>
      </w:tblGrid>
      <w:tr>
        <w:tblPrEx>
          <w:tblCellMar>
            <w:top w:w="0" w:type="dxa"/>
            <w:left w:w="108" w:type="dxa"/>
            <w:bottom w:w="0" w:type="dxa"/>
            <w:right w:w="108" w:type="dxa"/>
          </w:tblCellMar>
        </w:tblPrEx>
        <w:trPr>
          <w:trHeight w:val="763" w:hRule="atLeast"/>
          <w:jc w:val="center"/>
        </w:trPr>
        <w:tc>
          <w:tcPr>
            <w:tcW w:w="169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财政供养人员情况</w:t>
            </w:r>
          </w:p>
        </w:tc>
        <w:tc>
          <w:tcPr>
            <w:tcW w:w="103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编制数</w:t>
            </w:r>
          </w:p>
        </w:tc>
        <w:tc>
          <w:tcPr>
            <w:tcW w:w="122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2022</w:t>
            </w:r>
            <w:r>
              <w:rPr>
                <w:rFonts w:hint="eastAsia" w:ascii="仿宋_GB2312" w:hAnsi="仿宋_GB2312" w:eastAsia="仿宋_GB2312" w:cs="仿宋_GB2312"/>
                <w:b/>
                <w:bCs/>
                <w:kern w:val="0"/>
                <w:sz w:val="24"/>
              </w:rPr>
              <w:t>年实际在职人数</w:t>
            </w:r>
          </w:p>
        </w:tc>
        <w:tc>
          <w:tcPr>
            <w:tcW w:w="1047"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控制率</w:t>
            </w:r>
          </w:p>
        </w:tc>
      </w:tr>
      <w:tr>
        <w:tblPrEx>
          <w:tblCellMar>
            <w:top w:w="0" w:type="dxa"/>
            <w:left w:w="108" w:type="dxa"/>
            <w:bottom w:w="0" w:type="dxa"/>
            <w:right w:w="108" w:type="dxa"/>
          </w:tblCellMar>
        </w:tblPrEx>
        <w:trPr>
          <w:trHeight w:val="177" w:hRule="atLeast"/>
          <w:jc w:val="center"/>
        </w:trPr>
        <w:tc>
          <w:tcPr>
            <w:tcW w:w="16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p>
        </w:tc>
        <w:tc>
          <w:tcPr>
            <w:tcW w:w="103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highlight w:val="none"/>
                <w:lang w:val="en-US" w:eastAsia="zh-CN"/>
              </w:rPr>
            </w:pPr>
            <w:r>
              <w:rPr>
                <w:rFonts w:hint="eastAsia" w:ascii="仿宋_GB2312" w:hAnsi="仿宋_GB2312" w:eastAsia="仿宋_GB2312" w:cs="仿宋_GB2312"/>
                <w:kern w:val="0"/>
                <w:sz w:val="24"/>
                <w:highlight w:val="none"/>
              </w:rPr>
              <w:t>　</w:t>
            </w:r>
            <w:r>
              <w:rPr>
                <w:rFonts w:hint="eastAsia" w:ascii="仿宋_GB2312" w:hAnsi="仿宋_GB2312" w:eastAsia="仿宋_GB2312" w:cs="仿宋_GB2312"/>
                <w:kern w:val="0"/>
                <w:sz w:val="24"/>
                <w:highlight w:val="none"/>
                <w:lang w:val="en-US" w:eastAsia="zh-CN"/>
              </w:rPr>
              <w:t>39</w:t>
            </w:r>
          </w:p>
        </w:tc>
        <w:tc>
          <w:tcPr>
            <w:tcW w:w="122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val="en-US" w:eastAsia="zh-CN"/>
              </w:rPr>
              <w:t>39</w:t>
            </w:r>
            <w:r>
              <w:rPr>
                <w:rFonts w:hint="eastAsia" w:ascii="仿宋_GB2312" w:hAnsi="仿宋_GB2312" w:eastAsia="仿宋_GB2312" w:cs="仿宋_GB2312"/>
                <w:kern w:val="0"/>
                <w:sz w:val="24"/>
                <w:highlight w:val="none"/>
              </w:rPr>
              <w:t>　</w:t>
            </w:r>
          </w:p>
        </w:tc>
        <w:tc>
          <w:tcPr>
            <w:tcW w:w="1047"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highlight w:val="none"/>
                <w:lang w:val="en-US" w:eastAsia="zh-CN"/>
              </w:rPr>
            </w:pPr>
            <w:r>
              <w:rPr>
                <w:rFonts w:hint="eastAsia" w:ascii="仿宋_GB2312" w:hAnsi="仿宋_GB2312" w:eastAsia="仿宋_GB2312" w:cs="仿宋_GB2312"/>
                <w:kern w:val="0"/>
                <w:sz w:val="24"/>
                <w:highlight w:val="none"/>
                <w:lang w:val="en-US" w:eastAsia="zh-CN"/>
              </w:rPr>
              <w:t>100%</w:t>
            </w:r>
          </w:p>
        </w:tc>
      </w:tr>
      <w:tr>
        <w:tblPrEx>
          <w:tblCellMar>
            <w:top w:w="0" w:type="dxa"/>
            <w:left w:w="108" w:type="dxa"/>
            <w:bottom w:w="0" w:type="dxa"/>
            <w:right w:w="108" w:type="dxa"/>
          </w:tblCellMar>
        </w:tblPrEx>
        <w:trPr>
          <w:trHeight w:val="386"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经费控制情况</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2021</w:t>
            </w:r>
            <w:r>
              <w:rPr>
                <w:rFonts w:hint="eastAsia" w:ascii="仿宋_GB2312" w:hAnsi="仿宋_GB2312" w:eastAsia="仿宋_GB2312" w:cs="仿宋_GB2312"/>
                <w:b/>
                <w:bCs/>
                <w:kern w:val="0"/>
                <w:sz w:val="24"/>
              </w:rPr>
              <w:t>年决算数</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2022</w:t>
            </w:r>
            <w:r>
              <w:rPr>
                <w:rFonts w:hint="eastAsia" w:ascii="仿宋_GB2312" w:hAnsi="仿宋_GB2312" w:eastAsia="仿宋_GB2312" w:cs="仿宋_GB2312"/>
                <w:b/>
                <w:bCs/>
                <w:kern w:val="0"/>
                <w:sz w:val="24"/>
              </w:rPr>
              <w:t>年预算数</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2022</w:t>
            </w:r>
            <w:r>
              <w:rPr>
                <w:rFonts w:hint="eastAsia" w:ascii="仿宋_GB2312" w:hAnsi="仿宋_GB2312" w:eastAsia="仿宋_GB2312" w:cs="仿宋_GB2312"/>
                <w:b/>
                <w:bCs/>
                <w:kern w:val="0"/>
                <w:sz w:val="24"/>
              </w:rPr>
              <w:t>年决算数</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三公经费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19.88</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80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11.13</w:t>
            </w:r>
          </w:p>
        </w:tc>
      </w:tr>
      <w:tr>
        <w:tblPrEx>
          <w:tblCellMar>
            <w:top w:w="0" w:type="dxa"/>
            <w:left w:w="108" w:type="dxa"/>
            <w:bottom w:w="0" w:type="dxa"/>
            <w:right w:w="108" w:type="dxa"/>
          </w:tblCellMar>
        </w:tblPrEx>
        <w:trPr>
          <w:trHeight w:val="39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1、公务用车购置和维护经费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4.13</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仿宋_GB2312" w:hAnsi="仿宋_GB2312" w:eastAsia="仿宋_GB2312" w:cs="仿宋_GB2312"/>
                <w:kern w:val="0"/>
                <w:sz w:val="24"/>
                <w:lang w:val="en-US" w:eastAsia="zh-CN"/>
              </w:rPr>
              <w:t>4.76</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其中：公车购置</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公车运行维护</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4.13</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lang w:val="en-US"/>
              </w:rPr>
            </w:pPr>
            <w:r>
              <w:rPr>
                <w:rFonts w:hint="eastAsia" w:ascii="仿宋_GB2312" w:hAnsi="仿宋_GB2312" w:eastAsia="仿宋_GB2312" w:cs="仿宋_GB2312"/>
                <w:kern w:val="0"/>
                <w:sz w:val="24"/>
                <w:lang w:val="en-US" w:eastAsia="zh-CN"/>
              </w:rPr>
              <w:t>4.76</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2、出国经费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0</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3、公务接待</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项目支出：</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14865.88</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仿宋_GB2312" w:hAnsi="仿宋_GB2312" w:eastAsia="仿宋_GB2312" w:cs="仿宋_GB2312"/>
                <w:kern w:val="0"/>
                <w:sz w:val="24"/>
                <w:lang w:val="en-US" w:eastAsia="zh-CN"/>
              </w:rPr>
              <w:t>2800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8438.25</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1、业务工作专项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14865.88</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2800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8438.25</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2、运行维护专项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1279.27</w:t>
            </w:r>
            <w:r>
              <w:rPr>
                <w:rFonts w:hint="eastAsia" w:ascii="仿宋_GB2312" w:hAnsi="仿宋_GB2312" w:eastAsia="仿宋_GB2312" w:cs="仿宋_GB2312"/>
                <w:kern w:val="0"/>
                <w:sz w:val="24"/>
              </w:rPr>
              <w:t>　</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highlight w:val="none"/>
                <w:lang w:val="en-US"/>
              </w:rPr>
            </w:pPr>
            <w:r>
              <w:rPr>
                <w:rFonts w:hint="eastAsia" w:ascii="仿宋_GB2312" w:hAnsi="仿宋_GB2312" w:eastAsia="仿宋_GB2312" w:cs="仿宋_GB2312"/>
                <w:kern w:val="0"/>
                <w:sz w:val="24"/>
                <w:highlight w:val="none"/>
                <w:lang w:val="en-US" w:eastAsia="zh-CN"/>
              </w:rPr>
              <w:t>1650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2308.69</w:t>
            </w:r>
          </w:p>
        </w:tc>
      </w:tr>
      <w:tr>
        <w:tblPrEx>
          <w:tblCellMar>
            <w:top w:w="0" w:type="dxa"/>
            <w:left w:w="108" w:type="dxa"/>
            <w:bottom w:w="0" w:type="dxa"/>
            <w:right w:w="108" w:type="dxa"/>
          </w:tblCellMar>
        </w:tblPrEx>
        <w:trPr>
          <w:trHeight w:val="39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其中：办公经费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21.34</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FF0000"/>
                <w:kern w:val="0"/>
                <w:sz w:val="24"/>
                <w:highlight w:val="none"/>
                <w:lang w:val="en-US" w:eastAsia="zh-CN"/>
              </w:rPr>
            </w:pPr>
            <w:r>
              <w:rPr>
                <w:rFonts w:hint="eastAsia" w:ascii="仿宋_GB2312" w:hAnsi="仿宋_GB2312" w:eastAsia="仿宋_GB2312" w:cs="仿宋_GB2312"/>
                <w:color w:val="FF0000"/>
                <w:kern w:val="0"/>
                <w:sz w:val="24"/>
                <w:highlight w:val="none"/>
              </w:rPr>
              <w:t>　</w:t>
            </w:r>
            <w:r>
              <w:rPr>
                <w:rFonts w:hint="eastAsia" w:ascii="仿宋_GB2312" w:hAnsi="仿宋_GB2312" w:eastAsia="仿宋_GB2312" w:cs="仿宋_GB2312"/>
                <w:color w:val="FF0000"/>
                <w:kern w:val="0"/>
                <w:sz w:val="24"/>
                <w:highlight w:val="none"/>
                <w:lang w:val="en-US" w:eastAsia="zh-CN"/>
              </w:rPr>
              <w:t>25</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29.75</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水费、电费、差旅费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15.87</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FF0000"/>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12.14</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12.14</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会议费、培训费</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24"/>
                <w:lang w:val="en-US"/>
              </w:rPr>
            </w:pPr>
            <w:r>
              <w:rPr>
                <w:rFonts w:hint="eastAsia" w:ascii="仿宋_GB2312" w:hAnsi="仿宋_GB2312" w:eastAsia="仿宋_GB2312" w:cs="仿宋_GB2312"/>
                <w:color w:val="auto"/>
                <w:kern w:val="0"/>
                <w:sz w:val="24"/>
                <w:lang w:val="en-US" w:eastAsia="zh-CN"/>
              </w:rPr>
              <w:t>22.21</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FF0000"/>
                <w:kern w:val="0"/>
                <w:sz w:val="24"/>
                <w:highlight w:val="none"/>
                <w:lang w:val="en-US" w:eastAsia="zh-CN"/>
              </w:rPr>
            </w:pPr>
            <w:r>
              <w:rPr>
                <w:rFonts w:hint="eastAsia" w:ascii="仿宋_GB2312" w:hAnsi="仿宋_GB2312" w:eastAsia="仿宋_GB2312" w:cs="仿宋_GB2312"/>
                <w:color w:val="FF0000"/>
                <w:kern w:val="0"/>
                <w:sz w:val="24"/>
                <w:highlight w:val="none"/>
              </w:rPr>
              <w:t>　</w:t>
            </w:r>
            <w:r>
              <w:rPr>
                <w:rFonts w:hint="eastAsia" w:ascii="仿宋_GB2312" w:hAnsi="仿宋_GB2312" w:eastAsia="仿宋_GB2312" w:cs="仿宋_GB2312"/>
                <w:color w:val="FF0000"/>
                <w:kern w:val="0"/>
                <w:sz w:val="24"/>
                <w:highlight w:val="none"/>
                <w:lang w:val="en-US" w:eastAsia="zh-CN"/>
              </w:rPr>
              <w:t>40</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0"/>
                <w:sz w:val="24"/>
                <w:lang w:val="en-US"/>
              </w:rPr>
            </w:pPr>
            <w:r>
              <w:rPr>
                <w:rFonts w:hint="eastAsia" w:ascii="仿宋_GB2312" w:hAnsi="仿宋_GB2312" w:eastAsia="仿宋_GB2312" w:cs="仿宋_GB2312"/>
                <w:color w:val="auto"/>
                <w:kern w:val="0"/>
                <w:sz w:val="24"/>
                <w:lang w:val="en-US" w:eastAsia="zh-CN"/>
              </w:rPr>
              <w:t>19.56</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政府采购金额</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　</w:t>
            </w:r>
            <w:r>
              <w:rPr>
                <w:rFonts w:hint="eastAsia" w:ascii="仿宋_GB2312" w:hAnsi="仿宋_GB2312" w:eastAsia="仿宋_GB2312" w:cs="仿宋_GB2312"/>
                <w:kern w:val="0"/>
                <w:sz w:val="24"/>
                <w:lang w:val="en-US" w:eastAsia="zh-CN"/>
              </w:rPr>
              <w:t>987.68</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1054.35</w:t>
            </w: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部门整体支出预算调整 </w:t>
            </w:r>
          </w:p>
        </w:tc>
        <w:tc>
          <w:tcPr>
            <w:tcW w:w="1036"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223"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047" w:type="pct"/>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1154" w:hRule="atLeast"/>
          <w:jc w:val="center"/>
        </w:trPr>
        <w:tc>
          <w:tcPr>
            <w:tcW w:w="169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楼堂馆所控制情况</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（2019年完工项目）</w:t>
            </w: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批复规模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4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实际规模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规模控制率</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预算投资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（万元）</w:t>
            </w:r>
          </w:p>
        </w:tc>
        <w:tc>
          <w:tcPr>
            <w:tcW w:w="4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eastAsia="仿宋_GB2312" w:cs="仿宋_GB2312"/>
                <w:b/>
                <w:bCs/>
                <w:kern w:val="0"/>
                <w:sz w:val="24"/>
              </w:rPr>
              <w:t>实际投资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（万元）</w:t>
            </w: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169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469"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480"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56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1692"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厉行节约保障措施</w:t>
            </w:r>
          </w:p>
        </w:tc>
        <w:tc>
          <w:tcPr>
            <w:tcW w:w="3307" w:type="pct"/>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严格控制和压缩一般性开支，确保收支平衡，“三公”经费支出力争压缩10%，行政办公经费支出力争压缩20%。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700" w:hRule="atLeast"/>
          <w:jc w:val="center"/>
        </w:trPr>
        <w:tc>
          <w:tcPr>
            <w:tcW w:w="5000" w:type="pct"/>
            <w:gridSpan w:val="7"/>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keepNext w:val="0"/>
        <w:keepLines w:val="0"/>
        <w:pageBreakBefore w:val="0"/>
        <w:kinsoku/>
        <w:wordWrap/>
        <w:overflowPunct/>
        <w:topLinePunct w:val="0"/>
        <w:autoSpaceDN/>
        <w:bidi w:val="0"/>
        <w:adjustRightInd/>
        <w:snapToGrid/>
        <w:spacing w:line="600" w:lineRule="exact"/>
        <w:textAlignment w:val="auto"/>
        <w:rPr>
          <w:rFonts w:hint="eastAsia" w:ascii="黑体" w:hAnsi="宋体" w:eastAsia="黑体" w:cs="宋体"/>
          <w:kern w:val="0"/>
          <w:sz w:val="32"/>
          <w:szCs w:val="32"/>
        </w:rPr>
      </w:pPr>
      <w:r>
        <w:rPr>
          <w:rFonts w:hint="eastAsia" w:ascii="黑体" w:hAnsi="宋体" w:eastAsia="黑体" w:cs="宋体"/>
          <w:kern w:val="0"/>
          <w:sz w:val="32"/>
          <w:szCs w:val="32"/>
        </w:rPr>
        <w:t>附件3</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jc w:val="center"/>
        <w:textAlignment w:val="auto"/>
        <w:rPr>
          <w:rFonts w:hint="eastAsia" w:ascii="Times New Roman" w:hAnsi="Times New Roman" w:eastAsia="方正小标宋简体" w:cs="方正小标宋简体"/>
          <w:b w:val="0"/>
          <w:bCs w:val="0"/>
          <w:color w:val="auto"/>
          <w:kern w:val="2"/>
          <w:sz w:val="44"/>
          <w:szCs w:val="44"/>
          <w:lang w:val="en-US" w:eastAsia="zh-CN" w:bidi="ar"/>
        </w:rPr>
      </w:pPr>
      <w:r>
        <w:rPr>
          <w:rFonts w:hint="eastAsia" w:ascii="Times New Roman" w:hAnsi="Times New Roman" w:eastAsia="方正小标宋简体" w:cs="方正小标宋简体"/>
          <w:b w:val="0"/>
          <w:bCs w:val="0"/>
          <w:color w:val="auto"/>
          <w:kern w:val="2"/>
          <w:sz w:val="44"/>
          <w:szCs w:val="44"/>
          <w:lang w:val="en-US" w:eastAsia="zh-CN" w:bidi="ar"/>
        </w:rPr>
        <w:t>部门整体支出绩效报告</w:t>
      </w:r>
    </w:p>
    <w:p>
      <w:pPr>
        <w:keepNext w:val="0"/>
        <w:keepLines w:val="0"/>
        <w:pageBreakBefore w:val="0"/>
        <w:kinsoku/>
        <w:wordWrap/>
        <w:overflowPunct/>
        <w:topLinePunct w:val="0"/>
        <w:autoSpaceDN/>
        <w:bidi w:val="0"/>
        <w:adjustRightInd/>
        <w:snapToGrid/>
        <w:spacing w:line="600" w:lineRule="exact"/>
        <w:ind w:firstLine="750" w:firstLineChars="250"/>
        <w:textAlignment w:val="auto"/>
        <w:rPr>
          <w:rFonts w:hint="eastAsia"/>
          <w:sz w:val="30"/>
          <w:szCs w:val="30"/>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一、部门概况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楷体_GB2312" w:hAnsi="楷体_GB2312" w:eastAsia="楷体_GB2312" w:cs="楷体_GB2312"/>
          <w:kern w:val="0"/>
          <w:sz w:val="32"/>
          <w:szCs w:val="32"/>
          <w:lang w:val="en-US" w:eastAsia="zh-CN"/>
        </w:rPr>
        <w:t>（一）2022年12月雨花经开区实有编内人员39人</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lang w:val="en-US" w:eastAsia="zh-CN"/>
        </w:rPr>
        <w:t>其中：在岗编制人数为39名，包括机关行政编制为35名，全额拨款事业编制4名；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（二）机构设置</w:t>
      </w:r>
    </w:p>
    <w:p>
      <w:pPr>
        <w:pStyle w:val="8"/>
        <w:spacing w:before="0" w:beforeAutospacing="0" w:after="1" w:afterAutospacing="0"/>
        <w:ind w:left="0" w:firstLine="641"/>
        <w:rPr>
          <w:rFonts w:hint="default" w:ascii="仿宋_GB2312" w:hAnsi="仿宋_GB2312" w:eastAsia="仿宋_GB2312" w:cs="仿宋_GB2312"/>
          <w:color w:val="000000"/>
          <w:kern w:val="2"/>
          <w:sz w:val="32"/>
          <w:szCs w:val="32"/>
        </w:rPr>
      </w:pPr>
      <w:r>
        <w:rPr>
          <w:rFonts w:hint="eastAsia" w:ascii="仿宋_GB2312" w:hAnsi="宋体" w:eastAsia="仿宋_GB2312" w:cs="宋体"/>
          <w:kern w:val="0"/>
          <w:sz w:val="32"/>
          <w:szCs w:val="32"/>
          <w:lang w:val="en-US" w:eastAsia="zh-CN"/>
        </w:rPr>
        <w:t>内设机构：</w:t>
      </w:r>
      <w:r>
        <w:rPr>
          <w:rFonts w:hint="eastAsia" w:ascii="仿宋_GB2312" w:hAnsi="仿宋_GB2312" w:eastAsia="仿宋_GB2312" w:cs="仿宋_GB2312"/>
          <w:color w:val="000000"/>
          <w:kern w:val="2"/>
          <w:sz w:val="32"/>
          <w:szCs w:val="32"/>
        </w:rPr>
        <w:t>办公室、产业发展局（安全生产监管局）、经济合作局、开发建设局、行政审批服务局、营商环境工作局、财政金融局。按照有关章程和规定设置党群、纪检监察等机构。</w:t>
      </w:r>
      <w:r>
        <w:rPr>
          <w:rFonts w:hint="default" w:ascii="仿宋_GB2312" w:hAnsi="仿宋_GB2312" w:eastAsia="仿宋_GB2312" w:cs="仿宋_GB2312"/>
          <w:color w:val="000000"/>
          <w:kern w:val="2"/>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（三）主要职能：</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color w:val="000000"/>
          <w:kern w:val="2"/>
          <w:sz w:val="32"/>
          <w:szCs w:val="32"/>
        </w:rPr>
        <w:t>(一)负责贯彻执行党和国家关于开发区的方针政策、法律法规和决策部署。</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(二)负责研究拟订和组织实施雨花经开区重大发展战略、发展规划和工作计划。</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(三)按照长沙市国土空间总体规划和产业发展规划要求及相关权限，负责统筹建设发展空间布局。负责拟订雨花经开区产业发展规划、产业布局、产业政策、项目准入标准等重要事项并组织实施。</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(四)负责雨花经开区招商引资工作，组织对外经济技术合作与交流。负责雨花经开区基础设施、公用事业、重大项目等建设管理相关工作。</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(五)负责雨花经开区优化营商环境工作，根据权限依法承担有关行政审批工作，履行行政审批服务职责。负责构建雨花经开区创新创业服务体系，协助企业做好人才引进和服务工作。</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(六)负责雨花经开区的科技创新和经济技术产业管理及服务，开展有关科技创新和经济技术产业政策研究，构建技术创新服务体系。指导开发区内企业建立现代化企业制度，推进经济技术产业化、国际化。</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(七)负责雨花经开区党的建设工作。</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(八)根据有关要求和职责分工，承担雨花经开区综合管理、统计、审计、信息、安全生产监督管理、应急管理、知识产权、生态环境保护、财政收支管理及国有资产管理等工作。</w:t>
      </w:r>
    </w:p>
    <w:p>
      <w:pPr>
        <w:pStyle w:val="8"/>
        <w:spacing w:before="0" w:beforeAutospacing="0" w:after="1" w:afterAutospacing="0"/>
        <w:ind w:left="0" w:firstLine="641"/>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(九)承办中共长沙市委、长沙市人民政府和中共长沙市雨花区委、长沙市雨花区人民政府交办的其他事项。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二、部门整体支出管理及使用情况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（一）2022年基本支出3500万元，其中人员经费1191.31万元、公用经费2308.69万元。“三公”经费决算数为11.13万元，其中，公务接待费6.37万元，公务用车购置及维护经费4.76万元。</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highlight w:val="none"/>
          <w:lang w:val="en-US" w:eastAsia="zh-CN"/>
        </w:rPr>
      </w:pPr>
      <w:r>
        <w:rPr>
          <w:rFonts w:hint="eastAsia" w:ascii="仿宋_GB2312" w:hAnsi="宋体" w:eastAsia="仿宋_GB2312" w:cs="宋体"/>
          <w:kern w:val="0"/>
          <w:sz w:val="32"/>
          <w:szCs w:val="32"/>
          <w:highlight w:val="none"/>
          <w:lang w:val="en-US" w:eastAsia="zh-CN"/>
        </w:rPr>
        <w:t xml:space="preserve">专项支出。 </w:t>
      </w: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专项资金</w:t>
      </w:r>
      <w:r>
        <w:rPr>
          <w:rFonts w:hint="eastAsia" w:ascii="仿宋_GB2312" w:eastAsia="仿宋_GB2312"/>
          <w:sz w:val="32"/>
          <w:szCs w:val="32"/>
          <w:highlight w:val="none"/>
          <w:lang w:val="en-US" w:eastAsia="zh-CN"/>
        </w:rPr>
        <w:t>8438.25万元，其中5638.25万元为上级专项资金。</w:t>
      </w:r>
    </w:p>
    <w:p>
      <w:pPr>
        <w:keepNext w:val="0"/>
        <w:keepLines w:val="0"/>
        <w:pageBreakBefore w:val="0"/>
        <w:widowControl/>
        <w:numPr>
          <w:numId w:val="0"/>
        </w:numPr>
        <w:kinsoku/>
        <w:wordWrap/>
        <w:overflowPunct/>
        <w:topLinePunct w:val="0"/>
        <w:autoSpaceDE/>
        <w:autoSpaceDN/>
        <w:bidi w:val="0"/>
        <w:adjustRightInd/>
        <w:snapToGrid/>
        <w:spacing w:line="600" w:lineRule="exact"/>
        <w:ind w:firstLine="960" w:firstLineChars="30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2、专项资金（主要指财政资金）实际使用情况分析。2022年度预算安排的专项资金涉及1个专项项目，共计1013万元，即</w:t>
      </w:r>
      <w:r>
        <w:rPr>
          <w:rFonts w:hint="default" w:ascii="Times New Roman" w:hAnsi="Times New Roman" w:eastAsia="仿宋_GB2312" w:cs="Times New Roman"/>
          <w:b w:val="0"/>
          <w:bCs w:val="0"/>
          <w:sz w:val="32"/>
          <w:szCs w:val="32"/>
          <w:highlight w:val="none"/>
        </w:rPr>
        <w:t>产业政策奖励兑现项目</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主要包括：稳工稳产政策兑现、第二批申报政策兑现、免申即享政策兑现、其他奖励政策兑现</w:t>
      </w:r>
      <w:r>
        <w:rPr>
          <w:rFonts w:hint="eastAsia" w:ascii="仿宋_GB2312" w:hAnsi="宋体" w:eastAsia="仿宋_GB2312" w:cs="宋体"/>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专项资金管理情况。定期督促各局办及时使用资金，提高资金使用效率；建立园区预算执行进度考核和加强项目绩效评价，强化预算管理工作；严把申报材料审核关，提升项目实施公正性；督促项目单位专项核算，加强专项资金规范管理；强化绩效管理理念，提升绩效评价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三、部门专项组织实施情况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w:t>
      </w:r>
      <w:r>
        <w:rPr>
          <w:rFonts w:hint="default" w:ascii="仿宋_GB2312" w:hAnsi="宋体" w:eastAsia="仿宋_GB2312" w:cs="宋体"/>
          <w:kern w:val="0"/>
          <w:sz w:val="32"/>
          <w:szCs w:val="32"/>
          <w:lang w:val="en-US" w:eastAsia="zh-CN"/>
        </w:rPr>
        <w:t>政策奖励资金由雨花经开区财政局会同雨花经开区经发局及产业局共同管理。雨花经开区财政局主要负责资金审核拨付、资金使用监督检查以及组织开展预算绩效管理工作等，指导资金使用部门加强资金管理等相关工作。雨花经开区经发局与雨花经开区产业局共同负责项目申报通知的编制和申报资料审核、项目实施监督等，配合雨花经开区财政局组织实施绩效评价工作，指导资金使用单位做好项目和资金管理等相关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kern w:val="0"/>
          <w:sz w:val="32"/>
          <w:szCs w:val="32"/>
          <w:lang w:val="en-US" w:eastAsia="zh-CN"/>
        </w:rPr>
      </w:pPr>
      <w:bookmarkStart w:id="0" w:name="_GoBack"/>
      <w:bookmarkEnd w:id="0"/>
      <w:r>
        <w:rPr>
          <w:rFonts w:hint="eastAsia" w:ascii="仿宋_GB2312" w:hAnsi="宋体" w:eastAsia="仿宋_GB2312" w:cs="宋体"/>
          <w:kern w:val="0"/>
          <w:sz w:val="32"/>
          <w:szCs w:val="32"/>
          <w:lang w:val="en-US" w:eastAsia="zh-CN"/>
        </w:rPr>
        <w:t>（二）为贯彻落实中共长沙雨花经济开发区工作委员会、长沙雨花经济开发区管理委员会《关于印发〈长沙雨花经济开发区推动先进制造业高质量发展扶植奖励办法〉的通知》（雨开工发〔2020〕13号）文件精神，雨花经开区管委会制定了《长沙雨花经济开发区管理委员会惠企政策“免申即享”工作方案》（雨开管发〔2021〕6号）、《长沙雨花经开区推动先进制造业高质量发展扶植奖励办法兑现实施细则》（2022年修订版），根据园区实际，发布了《关于开展2021年度推动先进制造业高质量发展扶植奖励办法申报工作的通知》、《雨花经开区支持规模工业企业2022年度春节期间稳工稳产的通知》、《关于雨花经开区2021年开放型经济高质量发展资金兑现申报须知（供应链公司）》等政策申报通知，开展相关政策申报及奖励兑现工作。经单位申报、资料初审、联合复审、党工委会议研究等程序，对符合政策条款的企业进行研究与认定后，将拟奖励名单进行公示；通过公示期后，由雨花经开区财政局将政策奖励资金拨付至各企业及个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四、资产管理情况</w:t>
      </w:r>
      <w:r>
        <w:rPr>
          <w:rFonts w:hint="eastAsia" w:ascii="黑体" w:hAnsi="黑体" w:eastAsia="黑体" w:cs="黑体"/>
          <w:b w:val="0"/>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hAnsi="宋体" w:eastAsia="仿宋_GB2312" w:cs="宋体"/>
          <w:kern w:val="0"/>
          <w:sz w:val="32"/>
          <w:szCs w:val="32"/>
          <w:lang w:val="en-US" w:eastAsia="zh-CN"/>
        </w:rPr>
        <w:t>规范资产管理制度，加快编制我园区固定资产表和资产负债表，实行资产分类管理和实名制管理，规范固定资产采购、维护和报废程序。</w:t>
      </w:r>
    </w:p>
    <w:p>
      <w:pPr>
        <w:pStyle w:val="7"/>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sz w:val="32"/>
          <w:szCs w:val="32"/>
        </w:rPr>
        <w:t>部门整体支出绩效情况</w:t>
      </w:r>
      <w:r>
        <w:rPr>
          <w:rFonts w:hint="eastAsia" w:ascii="黑体" w:hAnsi="黑体" w:eastAsia="黑体" w:cs="黑体"/>
          <w:b w:val="0"/>
          <w:bCs/>
          <w:sz w:val="32"/>
          <w:szCs w:val="32"/>
          <w:lang w:eastAsia="zh-CN"/>
        </w:rPr>
        <w:t>。</w:t>
      </w:r>
    </w:p>
    <w:p>
      <w:pPr>
        <w:pageBreakBefore w:val="0"/>
        <w:widowControl w:val="0"/>
        <w:shd w:val="clear" w:color="auto" w:fill="auto"/>
        <w:kinsoku/>
        <w:wordWrap/>
        <w:overflowPunct/>
        <w:topLinePunct w:val="0"/>
        <w:autoSpaceDE/>
        <w:autoSpaceDN/>
        <w:bidi w:val="0"/>
        <w:adjustRightInd/>
        <w:snapToGrid/>
        <w:spacing w:before="0" w:line="579" w:lineRule="exact"/>
        <w:ind w:firstLine="640" w:firstLineChars="200"/>
        <w:textAlignment w:val="auto"/>
        <w:rPr>
          <w:rFonts w:hint="default" w:ascii="Times New Roman" w:hAnsi="Times New Roman" w:eastAsia="仿宋_GB2312" w:cs="Times New Roman"/>
          <w:sz w:val="32"/>
          <w:szCs w:val="22"/>
          <w:highlight w:val="none"/>
          <w:lang w:val="en-US" w:eastAsia="zh-CN"/>
        </w:rPr>
      </w:pPr>
      <w:r>
        <w:rPr>
          <w:rFonts w:hint="default" w:ascii="Times New Roman" w:hAnsi="Times New Roman" w:eastAsia="仿宋_GB2312" w:cs="Times New Roman"/>
          <w:sz w:val="32"/>
          <w:szCs w:val="22"/>
          <w:highlight w:val="none"/>
          <w:lang w:val="en-US" w:eastAsia="zh-CN"/>
        </w:rPr>
        <w:t>雨花经开区产业局根据相关文件要求与管委会部署安排，对符合政策条款的企业进行政策奖励资金补助支持。经项目单位申报、初审、联审等流程，最后确定对199个项目单位进行政策奖励。</w:t>
      </w:r>
      <w:r>
        <w:rPr>
          <w:rFonts w:hint="default" w:ascii="Times New Roman" w:hAnsi="Times New Roman" w:eastAsia="仿宋_GB2312" w:cs="Times New Roman"/>
          <w:b w:val="0"/>
          <w:kern w:val="2"/>
          <w:sz w:val="32"/>
          <w:szCs w:val="22"/>
          <w:highlight w:val="none"/>
          <w:lang w:val="en-US" w:eastAsia="zh-CN" w:bidi="ar-SA"/>
        </w:rPr>
        <w:t>“产业政策奖励兑现”</w:t>
      </w:r>
      <w:r>
        <w:rPr>
          <w:rFonts w:hint="default" w:ascii="Times New Roman" w:hAnsi="Times New Roman" w:eastAsia="仿宋_GB2312" w:cs="Times New Roman"/>
          <w:sz w:val="32"/>
          <w:szCs w:val="22"/>
          <w:highlight w:val="none"/>
          <w:lang w:val="en-US" w:eastAsia="zh-CN"/>
        </w:rPr>
        <w:t>项目整体产出效益较好。</w:t>
      </w:r>
    </w:p>
    <w:p>
      <w:pPr>
        <w:pageBreakBefore w:val="0"/>
        <w:widowControl w:val="0"/>
        <w:shd w:val="clear" w:color="auto" w:fill="auto"/>
        <w:kinsoku/>
        <w:wordWrap/>
        <w:overflowPunct/>
        <w:topLinePunct w:val="0"/>
        <w:autoSpaceDE/>
        <w:autoSpaceDN/>
        <w:bidi w:val="0"/>
        <w:adjustRightInd/>
        <w:snapToGrid/>
        <w:spacing w:before="0" w:line="579" w:lineRule="exact"/>
        <w:ind w:firstLine="643" w:firstLineChars="200"/>
        <w:textAlignment w:val="auto"/>
        <w:rPr>
          <w:rFonts w:hint="default" w:ascii="Times New Roman" w:hAnsi="Times New Roman" w:eastAsia="楷体_GB2312" w:cs="Times New Roman"/>
          <w:b/>
          <w:bCs/>
          <w:sz w:val="32"/>
          <w:szCs w:val="22"/>
          <w:highlight w:val="none"/>
          <w:lang w:val="en-US" w:eastAsia="zh-CN"/>
        </w:rPr>
      </w:pPr>
      <w:r>
        <w:rPr>
          <w:rFonts w:hint="default" w:ascii="Times New Roman" w:hAnsi="Times New Roman" w:eastAsia="楷体_GB2312" w:cs="Times New Roman"/>
          <w:b/>
          <w:bCs/>
          <w:sz w:val="32"/>
          <w:szCs w:val="22"/>
          <w:highlight w:val="none"/>
          <w:lang w:val="en-US" w:eastAsia="zh-CN"/>
        </w:rPr>
        <w:t>（一）抓好关键少数企业，帮扶龙头企业做大做强</w:t>
      </w:r>
    </w:p>
    <w:p>
      <w:pPr>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firstLine="640" w:firstLineChars="200"/>
        <w:textAlignment w:val="auto"/>
        <w:rPr>
          <w:rFonts w:hint="default" w:ascii="Times New Roman" w:hAnsi="Times New Roman" w:eastAsia="仿宋_GB2312" w:cs="Times New Roman"/>
          <w:sz w:val="32"/>
          <w:szCs w:val="22"/>
          <w:highlight w:val="none"/>
          <w:lang w:val="en-US" w:eastAsia="zh-CN"/>
        </w:rPr>
      </w:pPr>
      <w:r>
        <w:rPr>
          <w:rFonts w:hint="default" w:ascii="Times New Roman" w:hAnsi="Times New Roman" w:eastAsia="仿宋_GB2312" w:cs="Times New Roman"/>
          <w:sz w:val="32"/>
          <w:szCs w:val="22"/>
          <w:highlight w:val="none"/>
          <w:lang w:val="en-US" w:eastAsia="zh-CN"/>
        </w:rPr>
        <w:t>企业是园区的根本，龙头企业是园区发展的主力军。龙头企业、重点企业稳住了，园区经济的基本盘也就稳住了。近年来，培育了“比亚迪”、“中轻长泰”、“长步道光学科技”、“可孚医疗”等一批优秀企业，雨花经开区时刻抓好“关键少数”，支持和帮扶龙头企业做大做强，增强龙头企业的引领示范和辐射带动作用。</w:t>
      </w:r>
    </w:p>
    <w:p>
      <w:pPr>
        <w:pageBreakBefore w:val="0"/>
        <w:widowControl w:val="0"/>
        <w:shd w:val="clear" w:color="auto" w:fill="auto"/>
        <w:kinsoku/>
        <w:wordWrap/>
        <w:overflowPunct/>
        <w:topLinePunct w:val="0"/>
        <w:autoSpaceDE/>
        <w:autoSpaceDN/>
        <w:bidi w:val="0"/>
        <w:adjustRightInd/>
        <w:snapToGrid/>
        <w:spacing w:before="0" w:line="579" w:lineRule="exact"/>
        <w:ind w:firstLine="643" w:firstLineChars="200"/>
        <w:textAlignment w:val="auto"/>
        <w:rPr>
          <w:rFonts w:hint="default" w:ascii="Times New Roman" w:hAnsi="Times New Roman" w:eastAsia="楷体_GB2312" w:cs="Times New Roman"/>
          <w:b/>
          <w:bCs/>
          <w:sz w:val="32"/>
          <w:szCs w:val="22"/>
          <w:highlight w:val="none"/>
          <w:lang w:val="en-US" w:eastAsia="zh-CN"/>
        </w:rPr>
      </w:pPr>
      <w:r>
        <w:rPr>
          <w:rFonts w:hint="default" w:ascii="Times New Roman" w:hAnsi="Times New Roman" w:eastAsia="楷体_GB2312" w:cs="Times New Roman"/>
          <w:b/>
          <w:bCs/>
          <w:sz w:val="32"/>
          <w:szCs w:val="22"/>
          <w:highlight w:val="none"/>
          <w:lang w:val="en-US" w:eastAsia="zh-CN"/>
        </w:rPr>
        <w:t>（二）激发企业发展活力，带动收入及税收增长</w:t>
      </w:r>
    </w:p>
    <w:p>
      <w:r>
        <w:rPr>
          <w:rFonts w:hint="default" w:ascii="Times New Roman" w:hAnsi="Times New Roman" w:eastAsia="仿宋_GB2312" w:cs="Times New Roman"/>
          <w:sz w:val="32"/>
          <w:szCs w:val="22"/>
          <w:highlight w:val="none"/>
          <w:lang w:val="en-US" w:eastAsia="zh-CN"/>
        </w:rPr>
        <w:t>政策有力度，措施有精度，服务有温度，激发了雨花经开区企业的活力，企业专注研发、生产和市场，让园区的产业变革新意不断，新旧动能转换生机盎然。</w:t>
      </w:r>
    </w:p>
    <w:sectPr>
      <w:pgSz w:w="11906" w:h="16838"/>
      <w:pgMar w:top="1701" w:right="1531" w:bottom="1531" w:left="1531"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- 15 -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53F9"/>
    <w:multiLevelType w:val="singleLevel"/>
    <w:tmpl w:val="06C353F9"/>
    <w:lvl w:ilvl="0" w:tentative="0">
      <w:start w:val="5"/>
      <w:numFmt w:val="chineseCounting"/>
      <w:suff w:val="nothing"/>
      <w:lvlText w:val="%1、"/>
      <w:lvlJc w:val="left"/>
      <w:rPr>
        <w:rFonts w:hint="eastAsia"/>
      </w:rPr>
    </w:lvl>
  </w:abstractNum>
  <w:abstractNum w:abstractNumId="1">
    <w:nsid w:val="185E0366"/>
    <w:multiLevelType w:val="singleLevel"/>
    <w:tmpl w:val="185E036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jIwZTcyNDM3YjIzYTI2OGM3ODE4ZjgxYTg5NWUifQ=="/>
  </w:docVars>
  <w:rsids>
    <w:rsidRoot w:val="555D32C0"/>
    <w:rsid w:val="3C553687"/>
    <w:rsid w:val="555D32C0"/>
    <w:rsid w:val="5B146608"/>
    <w:rsid w:val="77752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  文"/>
    <w:basedOn w:val="1"/>
    <w:next w:val="1"/>
    <w:qFormat/>
    <w:uiPriority w:val="0"/>
    <w:pPr>
      <w:spacing w:line="360" w:lineRule="auto"/>
      <w:ind w:firstLine="560" w:firstLineChars="200"/>
    </w:pPr>
    <w:rPr>
      <w:rFonts w:ascii="宋体" w:hAnsi="宋体" w:cs="仿宋_GB2312"/>
      <w:sz w:val="24"/>
      <w:szCs w:val="28"/>
    </w:rPr>
  </w:style>
  <w:style w:type="paragraph" w:customStyle="1" w:styleId="8">
    <w:name w:val="181"/>
    <w:basedOn w:val="1"/>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2023-10-09T02:01:00Z</dcterms:created>
  <dc:creator>卞晓昱</dc:creator>
  <cp:lastModifiedBy>卞晓昱</cp:lastModifiedBy>
  <dcterms:modified xsi:type="dcterms:W3CDTF">2023-10-10T03:15:44Z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1269EDDAF40D48B69BDCB097E48578B0_11</vt:lpwstr>
  </property>
</Properties>
</file>