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left="9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部门整体支出绩效自评表</w:t>
      </w:r>
    </w:p>
    <w:tbl>
      <w:tblPr>
        <w:tblStyle w:val="4"/>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9"/>
        <w:gridCol w:w="710"/>
        <w:gridCol w:w="800"/>
        <w:gridCol w:w="330"/>
        <w:gridCol w:w="2877"/>
        <w:gridCol w:w="319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（10分）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目标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设定</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6</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绩效目标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合理性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①是否符合国家法律法规、国民经济和社会发展总体规划；</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②是否符合部门</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三定</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方案确定的职责；</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③是否符合部门制定的发展实施规划。</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①符合国家相关法律法规，本</w:t>
            </w:r>
            <w:r>
              <w:rPr>
                <w:rStyle w:val="6"/>
                <w:rFonts w:hint="eastAsia" w:cs="Times New Roman"/>
                <w:sz w:val="20"/>
                <w:szCs w:val="20"/>
                <w:lang w:val="en-US" w:eastAsia="zh-CN" w:bidi="ar"/>
              </w:rPr>
              <w:t>区</w:t>
            </w:r>
            <w:r>
              <w:rPr>
                <w:rStyle w:val="6"/>
                <w:rFonts w:hint="default" w:ascii="Times New Roman" w:hAnsi="Times New Roman" w:cs="Times New Roman"/>
                <w:sz w:val="20"/>
                <w:szCs w:val="20"/>
                <w:lang w:val="en-US" w:eastAsia="zh-CN" w:bidi="ar"/>
              </w:rPr>
              <w:t>国民经济和社会发展规划，计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②与部门（单位）职责密切相关，计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③符合部门制定的发展实施规划，计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绩效指标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明确性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①是否将部门整体的绩效目标细化分解为具体的工作任务；</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②是否通过清晰、可衡量的指标值予以体现。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③是否与部门年度的任务数或计划数相对应；</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④是否与本年度部门预算资金相匹配。</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①有目标，计1分，否则不得分；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②目标明确，细化量化良好，个性指标中量化指标超过</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个，计1分，量化指标为</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个，计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个以下不得分；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③与年度任务数或计划数相对应，计1分，低于</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个，计0.5分，低于</w:t>
            </w:r>
            <w:r>
              <w:rPr>
                <w:rStyle w:val="7"/>
                <w:rFonts w:hint="default" w:ascii="Times New Roman" w:hAnsi="Times New Roman" w:eastAsia="宋体" w:cs="Times New Roman"/>
                <w:sz w:val="20"/>
                <w:szCs w:val="20"/>
                <w:lang w:val="en-US" w:eastAsia="zh-CN" w:bidi="ar"/>
              </w:rPr>
              <w:t>4</w:t>
            </w:r>
            <w:r>
              <w:rPr>
                <w:rStyle w:val="6"/>
                <w:rFonts w:hint="default" w:ascii="Times New Roman" w:hAnsi="Times New Roman" w:cs="Times New Roman"/>
                <w:sz w:val="20"/>
                <w:szCs w:val="20"/>
                <w:lang w:val="en-US" w:eastAsia="zh-CN" w:bidi="ar"/>
              </w:rPr>
              <w:t>个不得分；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④目标与资金匹配良好，逻辑关系明确，计1分，否则不得分。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配置</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在职人员控制率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（在职人员数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编制数）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聘用人员控制率≦人社和编办共同批复的人数；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在职人员数：部门（单位）实际在职人数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以财政部门确定的部门决算编制口径为准。</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编制数：机构编制部门核定批复的部门（单位）的人员编制数。</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在职人员控制率≦</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分，每超出</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color w:val="auto"/>
                <w:sz w:val="20"/>
                <w:szCs w:val="20"/>
                <w:lang w:val="en-US" w:eastAsia="zh-CN" w:bidi="ar"/>
              </w:rPr>
              <w:t>聘用人员实际使用数小于等于编办人社部门批复数，计</w:t>
            </w:r>
            <w:r>
              <w:rPr>
                <w:rStyle w:val="9"/>
                <w:rFonts w:hint="default" w:ascii="Times New Roman" w:hAnsi="Times New Roman" w:eastAsia="宋体" w:cs="Times New Roman"/>
                <w:color w:val="auto"/>
                <w:sz w:val="20"/>
                <w:szCs w:val="20"/>
                <w:lang w:val="en-US" w:eastAsia="zh-CN" w:bidi="ar"/>
              </w:rPr>
              <w:t>2</w:t>
            </w:r>
            <w:r>
              <w:rPr>
                <w:rStyle w:val="8"/>
                <w:rFonts w:hint="default" w:ascii="Times New Roman" w:hAnsi="Times New Roman" w:cs="Times New Roman"/>
                <w:color w:val="auto"/>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过程</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40</w:t>
            </w:r>
            <w:r>
              <w:rPr>
                <w:rStyle w:val="6"/>
                <w:rFonts w:hint="default" w:ascii="Times New Roman" w:hAnsi="Times New Roman" w:cs="Times New Roman"/>
                <w:sz w:val="20"/>
                <w:szCs w:val="20"/>
                <w:lang w:val="en-US" w:eastAsia="zh-CN" w:bidi="ar"/>
              </w:rPr>
              <w:t>分）</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执行率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highlight w:val="none"/>
                <w:lang w:val="en-US" w:eastAsia="zh-CN" w:bidi="ar"/>
              </w:rPr>
            </w:pPr>
            <w:r>
              <w:rPr>
                <w:rStyle w:val="6"/>
                <w:rFonts w:hint="default" w:ascii="Times New Roman" w:hAnsi="Times New Roman" w:cs="Times New Roman"/>
                <w:sz w:val="20"/>
                <w:szCs w:val="20"/>
                <w:highlight w:val="none"/>
                <w:lang w:val="en-US" w:eastAsia="zh-CN" w:bidi="ar"/>
              </w:rPr>
              <w:t>①预算完成率</w:t>
            </w:r>
            <w:r>
              <w:rPr>
                <w:rStyle w:val="7"/>
                <w:rFonts w:hint="default" w:ascii="Times New Roman" w:hAnsi="Times New Roman" w:eastAsia="宋体" w:cs="Times New Roman"/>
                <w:sz w:val="20"/>
                <w:szCs w:val="20"/>
                <w:highlight w:val="none"/>
                <w:lang w:val="en-US" w:eastAsia="zh-CN" w:bidi="ar"/>
              </w:rPr>
              <w:t>=</w:t>
            </w:r>
            <w:r>
              <w:rPr>
                <w:rStyle w:val="6"/>
                <w:rFonts w:hint="default" w:ascii="Times New Roman" w:hAnsi="Times New Roman" w:cs="Times New Roman"/>
                <w:sz w:val="20"/>
                <w:szCs w:val="20"/>
                <w:highlight w:val="none"/>
                <w:lang w:val="en-US" w:eastAsia="zh-CN" w:bidi="ar"/>
              </w:rPr>
              <w:t>（预算完成数</w:t>
            </w:r>
            <w:r>
              <w:rPr>
                <w:rStyle w:val="7"/>
                <w:rFonts w:hint="default" w:ascii="Times New Roman" w:hAnsi="Times New Roman" w:eastAsia="宋体" w:cs="Times New Roman"/>
                <w:sz w:val="20"/>
                <w:szCs w:val="20"/>
                <w:highlight w:val="none"/>
                <w:lang w:val="en-US" w:eastAsia="zh-CN" w:bidi="ar"/>
              </w:rPr>
              <w:t>/</w:t>
            </w:r>
            <w:r>
              <w:rPr>
                <w:rStyle w:val="6"/>
                <w:rFonts w:hint="default" w:ascii="Times New Roman" w:hAnsi="Times New Roman" w:cs="Times New Roman"/>
                <w:sz w:val="20"/>
                <w:szCs w:val="20"/>
                <w:highlight w:val="none"/>
                <w:lang w:val="en-US" w:eastAsia="zh-CN" w:bidi="ar"/>
              </w:rPr>
              <w:t>预算数）</w:t>
            </w:r>
            <w:r>
              <w:rPr>
                <w:rStyle w:val="7"/>
                <w:rFonts w:hint="default" w:ascii="Times New Roman" w:hAnsi="Times New Roman" w:eastAsia="宋体" w:cs="Times New Roman"/>
                <w:sz w:val="20"/>
                <w:szCs w:val="20"/>
                <w:highlight w:val="none"/>
                <w:lang w:val="en-US" w:eastAsia="zh-CN" w:bidi="ar"/>
              </w:rPr>
              <w:t>×100%</w:t>
            </w:r>
            <w:r>
              <w:rPr>
                <w:rStyle w:val="6"/>
                <w:rFonts w:hint="default" w:ascii="Times New Roman" w:hAnsi="Times New Roman" w:cs="Times New Roman"/>
                <w:sz w:val="20"/>
                <w:szCs w:val="20"/>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highlight w:val="none"/>
                <w:lang w:val="en-US" w:eastAsia="zh-CN" w:bidi="ar"/>
              </w:rPr>
            </w:pPr>
            <w:r>
              <w:rPr>
                <w:rStyle w:val="6"/>
                <w:rFonts w:hint="default" w:ascii="Times New Roman" w:hAnsi="Times New Roman" w:cs="Times New Roman"/>
                <w:sz w:val="20"/>
                <w:szCs w:val="20"/>
                <w:highlight w:val="none"/>
                <w:lang w:val="en-US" w:eastAsia="zh-CN" w:bidi="ar"/>
              </w:rPr>
              <w:t>预算完成数：部门（单位）本年度实际完成的预算数。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highlight w:val="none"/>
                <w:lang w:val="en-US" w:eastAsia="zh-CN" w:bidi="ar"/>
              </w:rPr>
            </w:pPr>
            <w:r>
              <w:rPr>
                <w:rStyle w:val="6"/>
                <w:rFonts w:hint="default" w:ascii="Times New Roman" w:hAnsi="Times New Roman" w:cs="Times New Roman"/>
                <w:sz w:val="20"/>
                <w:szCs w:val="20"/>
                <w:highlight w:val="none"/>
                <w:lang w:val="en-US" w:eastAsia="zh-CN" w:bidi="ar"/>
              </w:rPr>
              <w:t>预算数：财政部门批复的本年度部门（单位）预算数及追加的项目预算数。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highlight w:val="none"/>
                <w:lang w:val="en-US" w:eastAsia="zh-CN" w:bidi="ar"/>
              </w:rPr>
            </w:pPr>
            <w:r>
              <w:rPr>
                <w:rStyle w:val="6"/>
                <w:rFonts w:hint="default" w:ascii="Times New Roman" w:hAnsi="Times New Roman" w:cs="Times New Roman"/>
                <w:sz w:val="20"/>
                <w:szCs w:val="20"/>
                <w:highlight w:val="none"/>
                <w:lang w:val="en-US" w:eastAsia="zh-CN" w:bidi="ar"/>
              </w:rPr>
              <w:t>②支付序时进度</w:t>
            </w:r>
            <w:r>
              <w:rPr>
                <w:rStyle w:val="7"/>
                <w:rFonts w:hint="default" w:ascii="Times New Roman" w:hAnsi="Times New Roman" w:eastAsia="宋体" w:cs="Times New Roman"/>
                <w:sz w:val="20"/>
                <w:szCs w:val="20"/>
                <w:highlight w:val="none"/>
                <w:lang w:val="en-US" w:eastAsia="zh-CN" w:bidi="ar"/>
              </w:rPr>
              <w:t>=</w:t>
            </w:r>
            <w:r>
              <w:rPr>
                <w:rStyle w:val="6"/>
                <w:rFonts w:hint="default" w:ascii="Times New Roman" w:hAnsi="Times New Roman" w:cs="Times New Roman"/>
                <w:sz w:val="20"/>
                <w:szCs w:val="20"/>
                <w:highlight w:val="none"/>
                <w:lang w:val="en-US" w:eastAsia="zh-CN" w:bidi="ar"/>
              </w:rPr>
              <w:t>（序时执行数</w:t>
            </w:r>
            <w:r>
              <w:rPr>
                <w:rStyle w:val="7"/>
                <w:rFonts w:hint="default" w:ascii="Times New Roman" w:hAnsi="Times New Roman" w:eastAsia="宋体" w:cs="Times New Roman"/>
                <w:sz w:val="20"/>
                <w:szCs w:val="20"/>
                <w:highlight w:val="none"/>
                <w:lang w:val="en-US" w:eastAsia="zh-CN" w:bidi="ar"/>
              </w:rPr>
              <w:t>/</w:t>
            </w:r>
            <w:r>
              <w:rPr>
                <w:rStyle w:val="6"/>
                <w:rFonts w:hint="default" w:ascii="Times New Roman" w:hAnsi="Times New Roman" w:cs="Times New Roman"/>
                <w:sz w:val="20"/>
                <w:szCs w:val="20"/>
                <w:highlight w:val="none"/>
                <w:lang w:val="en-US" w:eastAsia="zh-CN" w:bidi="ar"/>
              </w:rPr>
              <w:t>序时指标下达数）</w:t>
            </w:r>
            <w:r>
              <w:rPr>
                <w:rStyle w:val="7"/>
                <w:rFonts w:hint="default" w:ascii="Times New Roman" w:hAnsi="Times New Roman" w:eastAsia="宋体" w:cs="Times New Roman"/>
                <w:sz w:val="20"/>
                <w:szCs w:val="20"/>
                <w:highlight w:val="none"/>
                <w:lang w:val="en-US" w:eastAsia="zh-CN" w:bidi="ar"/>
              </w:rPr>
              <w:t>×100%</w:t>
            </w:r>
            <w:r>
              <w:rPr>
                <w:rStyle w:val="6"/>
                <w:rFonts w:hint="default" w:ascii="Times New Roman" w:hAnsi="Times New Roman" w:cs="Times New Roman"/>
                <w:sz w:val="20"/>
                <w:szCs w:val="20"/>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highlight w:val="none"/>
                <w:lang w:val="en-US" w:eastAsia="zh-CN" w:bidi="ar"/>
              </w:rPr>
            </w:pPr>
            <w:r>
              <w:rPr>
                <w:rStyle w:val="6"/>
                <w:rFonts w:hint="default" w:ascii="Times New Roman" w:hAnsi="Times New Roman" w:cs="Times New Roman"/>
                <w:sz w:val="20"/>
                <w:szCs w:val="20"/>
                <w:highlight w:val="none"/>
                <w:lang w:val="en-US" w:eastAsia="zh-CN" w:bidi="ar"/>
              </w:rPr>
              <w:t>序时执行数：指按时间节点部门预算项目实际支出数。序时指标下达数：按时间节点给部门预算下达的项目支出和追加的项目支出指标数之和。</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highlight w:val="none"/>
                <w:u w:val="none"/>
              </w:rPr>
            </w:pPr>
            <w:r>
              <w:rPr>
                <w:rStyle w:val="6"/>
                <w:rFonts w:hint="default" w:ascii="Times New Roman" w:hAnsi="Times New Roman" w:cs="Times New Roman"/>
                <w:sz w:val="20"/>
                <w:szCs w:val="20"/>
                <w:highlight w:val="none"/>
                <w:lang w:val="en-US" w:eastAsia="zh-CN" w:bidi="ar"/>
              </w:rPr>
              <w:t>③部门预算项目支出调剂到</w:t>
            </w:r>
            <w:r>
              <w:rPr>
                <w:rStyle w:val="6"/>
                <w:rFonts w:hint="eastAsia" w:cs="Times New Roman"/>
                <w:sz w:val="20"/>
                <w:szCs w:val="20"/>
                <w:highlight w:val="none"/>
                <w:lang w:val="en-US" w:eastAsia="zh-CN" w:bidi="ar"/>
              </w:rPr>
              <w:t>单位</w:t>
            </w:r>
            <w:r>
              <w:rPr>
                <w:rStyle w:val="6"/>
                <w:rFonts w:hint="default" w:ascii="Times New Roman" w:hAnsi="Times New Roman" w:cs="Times New Roman"/>
                <w:sz w:val="20"/>
                <w:szCs w:val="20"/>
                <w:highlight w:val="none"/>
                <w:lang w:val="en-US" w:eastAsia="zh-CN" w:bidi="ar"/>
              </w:rPr>
              <w:t>。</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highlight w:val="none"/>
                <w:lang w:val="en-US" w:eastAsia="zh-CN" w:bidi="ar"/>
              </w:rPr>
            </w:pPr>
            <w:r>
              <w:rPr>
                <w:rStyle w:val="6"/>
                <w:rFonts w:hint="default" w:ascii="Times New Roman" w:hAnsi="Times New Roman" w:cs="Times New Roman"/>
                <w:sz w:val="20"/>
                <w:szCs w:val="20"/>
                <w:highlight w:val="none"/>
                <w:lang w:val="en-US" w:eastAsia="zh-CN" w:bidi="ar"/>
              </w:rPr>
              <w:t>①全年预算完成率</w:t>
            </w:r>
            <w:r>
              <w:rPr>
                <w:rStyle w:val="7"/>
                <w:rFonts w:hint="default" w:ascii="Times New Roman" w:hAnsi="Times New Roman" w:eastAsia="宋体" w:cs="Times New Roman"/>
                <w:sz w:val="20"/>
                <w:szCs w:val="20"/>
                <w:highlight w:val="none"/>
                <w:lang w:val="en-US" w:eastAsia="zh-CN" w:bidi="ar"/>
              </w:rPr>
              <w:t>95%</w:t>
            </w:r>
            <w:r>
              <w:rPr>
                <w:rStyle w:val="6"/>
                <w:rFonts w:hint="default" w:ascii="Times New Roman" w:hAnsi="Times New Roman" w:cs="Times New Roman"/>
                <w:sz w:val="20"/>
                <w:szCs w:val="20"/>
                <w:highlight w:val="none"/>
                <w:lang w:val="en-US" w:eastAsia="zh-CN" w:bidi="ar"/>
              </w:rPr>
              <w:t>以上计</w:t>
            </w:r>
            <w:r>
              <w:rPr>
                <w:rStyle w:val="7"/>
                <w:rFonts w:hint="default" w:ascii="Times New Roman" w:hAnsi="Times New Roman" w:eastAsia="宋体" w:cs="Times New Roman"/>
                <w:sz w:val="20"/>
                <w:szCs w:val="20"/>
                <w:highlight w:val="none"/>
                <w:lang w:val="en-US" w:eastAsia="zh-CN" w:bidi="ar"/>
              </w:rPr>
              <w:t>2</w:t>
            </w:r>
            <w:r>
              <w:rPr>
                <w:rStyle w:val="6"/>
                <w:rFonts w:hint="default" w:ascii="Times New Roman" w:hAnsi="Times New Roman" w:cs="Times New Roman"/>
                <w:sz w:val="20"/>
                <w:szCs w:val="20"/>
                <w:highlight w:val="none"/>
                <w:lang w:val="en-US" w:eastAsia="zh-CN" w:bidi="ar"/>
              </w:rPr>
              <w:t>分，</w:t>
            </w:r>
            <w:r>
              <w:rPr>
                <w:rStyle w:val="7"/>
                <w:rFonts w:hint="default" w:ascii="Times New Roman" w:hAnsi="Times New Roman" w:eastAsia="宋体" w:cs="Times New Roman"/>
                <w:sz w:val="20"/>
                <w:szCs w:val="20"/>
                <w:highlight w:val="none"/>
                <w:lang w:val="en-US" w:eastAsia="zh-CN" w:bidi="ar"/>
              </w:rPr>
              <w:t>95-90%</w:t>
            </w:r>
            <w:r>
              <w:rPr>
                <w:rStyle w:val="6"/>
                <w:rFonts w:hint="default" w:ascii="Times New Roman" w:hAnsi="Times New Roman" w:cs="Times New Roman"/>
                <w:sz w:val="20"/>
                <w:szCs w:val="20"/>
                <w:highlight w:val="none"/>
                <w:lang w:val="en-US" w:eastAsia="zh-CN" w:bidi="ar"/>
              </w:rPr>
              <w:t>（含），计</w:t>
            </w:r>
            <w:r>
              <w:rPr>
                <w:rStyle w:val="7"/>
                <w:rFonts w:hint="default" w:ascii="Times New Roman" w:hAnsi="Times New Roman" w:eastAsia="宋体" w:cs="Times New Roman"/>
                <w:sz w:val="20"/>
                <w:szCs w:val="20"/>
                <w:highlight w:val="none"/>
                <w:lang w:val="en-US" w:eastAsia="zh-CN" w:bidi="ar"/>
              </w:rPr>
              <w:t>1.5</w:t>
            </w:r>
            <w:r>
              <w:rPr>
                <w:rStyle w:val="6"/>
                <w:rFonts w:hint="default" w:ascii="Times New Roman" w:hAnsi="Times New Roman" w:cs="Times New Roman"/>
                <w:sz w:val="20"/>
                <w:szCs w:val="20"/>
                <w:highlight w:val="none"/>
                <w:lang w:val="en-US" w:eastAsia="zh-CN" w:bidi="ar"/>
              </w:rPr>
              <w:t>分，</w:t>
            </w:r>
            <w:r>
              <w:rPr>
                <w:rStyle w:val="7"/>
                <w:rFonts w:hint="default" w:ascii="Times New Roman" w:hAnsi="Times New Roman" w:eastAsia="宋体" w:cs="Times New Roman"/>
                <w:sz w:val="20"/>
                <w:szCs w:val="20"/>
                <w:highlight w:val="none"/>
                <w:lang w:val="en-US" w:eastAsia="zh-CN" w:bidi="ar"/>
              </w:rPr>
              <w:t>90-80%</w:t>
            </w:r>
            <w:r>
              <w:rPr>
                <w:rStyle w:val="6"/>
                <w:rFonts w:hint="default" w:ascii="Times New Roman" w:hAnsi="Times New Roman" w:cs="Times New Roman"/>
                <w:sz w:val="20"/>
                <w:szCs w:val="20"/>
                <w:highlight w:val="none"/>
                <w:lang w:val="en-US" w:eastAsia="zh-CN" w:bidi="ar"/>
              </w:rPr>
              <w:t>（含），计</w:t>
            </w:r>
            <w:r>
              <w:rPr>
                <w:rStyle w:val="7"/>
                <w:rFonts w:hint="default" w:ascii="Times New Roman" w:hAnsi="Times New Roman" w:eastAsia="宋体" w:cs="Times New Roman"/>
                <w:sz w:val="20"/>
                <w:szCs w:val="20"/>
                <w:highlight w:val="none"/>
                <w:lang w:val="en-US" w:eastAsia="zh-CN" w:bidi="ar"/>
              </w:rPr>
              <w:t>1</w:t>
            </w:r>
            <w:r>
              <w:rPr>
                <w:rStyle w:val="6"/>
                <w:rFonts w:hint="default" w:ascii="Times New Roman" w:hAnsi="Times New Roman" w:cs="Times New Roman"/>
                <w:sz w:val="20"/>
                <w:szCs w:val="20"/>
                <w:highlight w:val="none"/>
                <w:lang w:val="en-US" w:eastAsia="zh-CN" w:bidi="ar"/>
              </w:rPr>
              <w:t>分，小于</w:t>
            </w:r>
            <w:r>
              <w:rPr>
                <w:rStyle w:val="7"/>
                <w:rFonts w:hint="default" w:ascii="Times New Roman" w:hAnsi="Times New Roman" w:eastAsia="宋体" w:cs="Times New Roman"/>
                <w:sz w:val="20"/>
                <w:szCs w:val="20"/>
                <w:highlight w:val="none"/>
                <w:lang w:val="en-US" w:eastAsia="zh-CN" w:bidi="ar"/>
              </w:rPr>
              <w:t>80%</w:t>
            </w:r>
            <w:r>
              <w:rPr>
                <w:rStyle w:val="6"/>
                <w:rFonts w:hint="default" w:ascii="Times New Roman" w:hAnsi="Times New Roman" w:cs="Times New Roman"/>
                <w:sz w:val="20"/>
                <w:szCs w:val="20"/>
                <w:highlight w:val="none"/>
                <w:lang w:val="en-US" w:eastAsia="zh-CN" w:bidi="ar"/>
              </w:rPr>
              <w:t>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highlight w:val="none"/>
                <w:lang w:val="en-US" w:eastAsia="zh-CN" w:bidi="ar"/>
              </w:rPr>
            </w:pPr>
            <w:r>
              <w:rPr>
                <w:rStyle w:val="6"/>
                <w:rFonts w:hint="default" w:ascii="Times New Roman" w:hAnsi="Times New Roman" w:cs="Times New Roman"/>
                <w:sz w:val="20"/>
                <w:szCs w:val="20"/>
                <w:highlight w:val="none"/>
                <w:lang w:val="en-US" w:eastAsia="zh-CN" w:bidi="ar"/>
              </w:rPr>
              <w:t>②一、二、三季度末支付序时进度分别达到</w:t>
            </w:r>
            <w:r>
              <w:rPr>
                <w:rStyle w:val="7"/>
                <w:rFonts w:hint="default" w:ascii="Times New Roman" w:hAnsi="Times New Roman" w:eastAsia="宋体" w:cs="Times New Roman"/>
                <w:sz w:val="20"/>
                <w:szCs w:val="20"/>
                <w:highlight w:val="none"/>
                <w:lang w:val="en-US" w:eastAsia="zh-CN" w:bidi="ar"/>
              </w:rPr>
              <w:t>20%</w:t>
            </w:r>
            <w:r>
              <w:rPr>
                <w:rStyle w:val="6"/>
                <w:rFonts w:hint="default" w:ascii="Times New Roman" w:hAnsi="Times New Roman" w:cs="Times New Roman"/>
                <w:sz w:val="20"/>
                <w:szCs w:val="20"/>
                <w:highlight w:val="none"/>
                <w:lang w:val="en-US" w:eastAsia="zh-CN" w:bidi="ar"/>
              </w:rPr>
              <w:t>、</w:t>
            </w:r>
            <w:r>
              <w:rPr>
                <w:rStyle w:val="7"/>
                <w:rFonts w:hint="default" w:ascii="Times New Roman" w:hAnsi="Times New Roman" w:eastAsia="宋体" w:cs="Times New Roman"/>
                <w:sz w:val="20"/>
                <w:szCs w:val="20"/>
                <w:highlight w:val="none"/>
                <w:lang w:val="en-US" w:eastAsia="zh-CN" w:bidi="ar"/>
              </w:rPr>
              <w:t>50%</w:t>
            </w:r>
            <w:r>
              <w:rPr>
                <w:rStyle w:val="6"/>
                <w:rFonts w:hint="default" w:ascii="Times New Roman" w:hAnsi="Times New Roman" w:cs="Times New Roman"/>
                <w:sz w:val="20"/>
                <w:szCs w:val="20"/>
                <w:highlight w:val="none"/>
                <w:lang w:val="en-US" w:eastAsia="zh-CN" w:bidi="ar"/>
              </w:rPr>
              <w:t>、</w:t>
            </w:r>
            <w:r>
              <w:rPr>
                <w:rStyle w:val="7"/>
                <w:rFonts w:hint="default" w:ascii="Times New Roman" w:hAnsi="Times New Roman" w:eastAsia="宋体" w:cs="Times New Roman"/>
                <w:sz w:val="20"/>
                <w:szCs w:val="20"/>
                <w:highlight w:val="none"/>
                <w:lang w:val="en-US" w:eastAsia="zh-CN" w:bidi="ar"/>
              </w:rPr>
              <w:t>80%</w:t>
            </w:r>
            <w:r>
              <w:rPr>
                <w:rStyle w:val="6"/>
                <w:rFonts w:hint="default" w:ascii="Times New Roman" w:hAnsi="Times New Roman" w:cs="Times New Roman"/>
                <w:sz w:val="20"/>
                <w:szCs w:val="20"/>
                <w:highlight w:val="none"/>
                <w:lang w:val="en-US" w:eastAsia="zh-CN" w:bidi="ar"/>
              </w:rPr>
              <w:t>（含）以上计</w:t>
            </w:r>
            <w:r>
              <w:rPr>
                <w:rStyle w:val="7"/>
                <w:rFonts w:hint="default" w:ascii="Times New Roman" w:hAnsi="Times New Roman" w:eastAsia="宋体" w:cs="Times New Roman"/>
                <w:sz w:val="20"/>
                <w:szCs w:val="20"/>
                <w:highlight w:val="none"/>
                <w:lang w:val="en-US" w:eastAsia="zh-CN" w:bidi="ar"/>
              </w:rPr>
              <w:t>2</w:t>
            </w:r>
            <w:r>
              <w:rPr>
                <w:rStyle w:val="6"/>
                <w:rFonts w:hint="default" w:ascii="Times New Roman" w:hAnsi="Times New Roman" w:cs="Times New Roman"/>
                <w:sz w:val="20"/>
                <w:szCs w:val="20"/>
                <w:highlight w:val="none"/>
                <w:lang w:val="en-US" w:eastAsia="zh-CN" w:bidi="ar"/>
              </w:rPr>
              <w:t>分，每低</w:t>
            </w:r>
            <w:r>
              <w:rPr>
                <w:rStyle w:val="7"/>
                <w:rFonts w:hint="default" w:ascii="Times New Roman" w:hAnsi="Times New Roman" w:eastAsia="宋体" w:cs="Times New Roman"/>
                <w:sz w:val="20"/>
                <w:szCs w:val="20"/>
                <w:highlight w:val="none"/>
                <w:lang w:val="en-US" w:eastAsia="zh-CN" w:bidi="ar"/>
              </w:rPr>
              <w:t>1</w:t>
            </w:r>
            <w:r>
              <w:rPr>
                <w:rStyle w:val="6"/>
                <w:rFonts w:hint="default" w:ascii="Times New Roman" w:hAnsi="Times New Roman" w:cs="Times New Roman"/>
                <w:sz w:val="20"/>
                <w:szCs w:val="20"/>
                <w:highlight w:val="none"/>
                <w:lang w:val="en-US" w:eastAsia="zh-CN" w:bidi="ar"/>
              </w:rPr>
              <w:t>个百分点扣</w:t>
            </w:r>
            <w:r>
              <w:rPr>
                <w:rStyle w:val="7"/>
                <w:rFonts w:hint="default" w:ascii="Times New Roman" w:hAnsi="Times New Roman" w:eastAsia="宋体" w:cs="Times New Roman"/>
                <w:sz w:val="20"/>
                <w:szCs w:val="20"/>
                <w:highlight w:val="none"/>
                <w:lang w:val="en-US" w:eastAsia="zh-CN" w:bidi="ar"/>
              </w:rPr>
              <w:t>0.2</w:t>
            </w:r>
            <w:r>
              <w:rPr>
                <w:rStyle w:val="6"/>
                <w:rFonts w:hint="default" w:ascii="Times New Roman" w:hAnsi="Times New Roman" w:cs="Times New Roman"/>
                <w:sz w:val="20"/>
                <w:szCs w:val="20"/>
                <w:highlight w:val="none"/>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highlight w:val="none"/>
                <w:u w:val="none"/>
              </w:rPr>
            </w:pPr>
            <w:r>
              <w:rPr>
                <w:rStyle w:val="6"/>
                <w:rFonts w:hint="default" w:ascii="Times New Roman" w:hAnsi="Times New Roman" w:cs="Times New Roman"/>
                <w:sz w:val="20"/>
                <w:szCs w:val="20"/>
                <w:highlight w:val="none"/>
                <w:lang w:val="en-US" w:eastAsia="zh-CN" w:bidi="ar"/>
              </w:rPr>
              <w:t>③部门预算项目支出调剂到</w:t>
            </w:r>
            <w:r>
              <w:rPr>
                <w:rStyle w:val="6"/>
                <w:rFonts w:hint="eastAsia" w:cs="Times New Roman"/>
                <w:sz w:val="20"/>
                <w:szCs w:val="20"/>
                <w:highlight w:val="none"/>
                <w:lang w:val="en-US" w:eastAsia="zh-CN" w:bidi="ar"/>
              </w:rPr>
              <w:t>单位</w:t>
            </w:r>
            <w:r>
              <w:rPr>
                <w:rStyle w:val="6"/>
                <w:rFonts w:hint="default" w:ascii="Times New Roman" w:hAnsi="Times New Roman" w:cs="Times New Roman"/>
                <w:sz w:val="20"/>
                <w:szCs w:val="20"/>
                <w:highlight w:val="none"/>
                <w:lang w:val="en-US" w:eastAsia="zh-CN" w:bidi="ar"/>
              </w:rPr>
              <w:t>小于等于项目支出</w:t>
            </w:r>
            <w:r>
              <w:rPr>
                <w:rStyle w:val="7"/>
                <w:rFonts w:hint="default" w:ascii="Times New Roman" w:hAnsi="Times New Roman" w:eastAsia="宋体" w:cs="Times New Roman"/>
                <w:sz w:val="20"/>
                <w:szCs w:val="20"/>
                <w:highlight w:val="none"/>
                <w:lang w:val="en-US" w:eastAsia="zh-CN" w:bidi="ar"/>
              </w:rPr>
              <w:t>2%</w:t>
            </w:r>
            <w:r>
              <w:rPr>
                <w:rStyle w:val="6"/>
                <w:rFonts w:hint="default" w:ascii="Times New Roman" w:hAnsi="Times New Roman" w:cs="Times New Roman"/>
                <w:sz w:val="20"/>
                <w:szCs w:val="20"/>
                <w:highlight w:val="none"/>
                <w:lang w:val="en-US" w:eastAsia="zh-CN" w:bidi="ar"/>
              </w:rPr>
              <w:t>，计</w:t>
            </w:r>
            <w:r>
              <w:rPr>
                <w:rStyle w:val="7"/>
                <w:rFonts w:hint="default" w:ascii="Times New Roman" w:hAnsi="Times New Roman" w:eastAsia="宋体" w:cs="Times New Roman"/>
                <w:sz w:val="20"/>
                <w:szCs w:val="20"/>
                <w:highlight w:val="none"/>
                <w:lang w:val="en-US" w:eastAsia="zh-CN" w:bidi="ar"/>
              </w:rPr>
              <w:t>2</w:t>
            </w:r>
            <w:r>
              <w:rPr>
                <w:rStyle w:val="6"/>
                <w:rFonts w:hint="default" w:ascii="Times New Roman" w:hAnsi="Times New Roman" w:cs="Times New Roman"/>
                <w:sz w:val="20"/>
                <w:szCs w:val="20"/>
                <w:highlight w:val="none"/>
                <w:lang w:val="en-US" w:eastAsia="zh-CN" w:bidi="ar"/>
              </w:rPr>
              <w:t>分；大于</w:t>
            </w:r>
            <w:r>
              <w:rPr>
                <w:rStyle w:val="7"/>
                <w:rFonts w:hint="default" w:ascii="Times New Roman" w:hAnsi="Times New Roman" w:eastAsia="宋体" w:cs="Times New Roman"/>
                <w:sz w:val="20"/>
                <w:szCs w:val="20"/>
                <w:highlight w:val="none"/>
                <w:lang w:val="en-US" w:eastAsia="zh-CN" w:bidi="ar"/>
              </w:rPr>
              <w:t>2%</w:t>
            </w:r>
            <w:r>
              <w:rPr>
                <w:rStyle w:val="6"/>
                <w:rFonts w:hint="default" w:ascii="Times New Roman" w:hAnsi="Times New Roman" w:cs="Times New Roman"/>
                <w:sz w:val="20"/>
                <w:szCs w:val="20"/>
                <w:highlight w:val="none"/>
                <w:lang w:val="en-US" w:eastAsia="zh-CN" w:bidi="ar"/>
              </w:rPr>
              <w:t>，不计分；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过程</w:t>
            </w:r>
          </w:p>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40</w:t>
            </w:r>
            <w:r>
              <w:rPr>
                <w:rStyle w:val="6"/>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调整率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预算调整率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（预算调整数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预算调整数：部门（单位）在本年度内涉及预算的追加、追减或结构调整的资金总和（因落实国家政策、发生不可抗力，市委、市政府临时交办而产生的调整及经济科目非跨类调整除外）。</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预算调整率</w:t>
            </w:r>
            <w:r>
              <w:rPr>
                <w:rStyle w:val="7"/>
                <w:rFonts w:hint="default" w:ascii="Times New Roman" w:hAnsi="Times New Roman" w:eastAsia="宋体" w:cs="Times New Roman"/>
                <w:sz w:val="20"/>
                <w:szCs w:val="20"/>
                <w:lang w:val="en-US" w:eastAsia="zh-CN" w:bidi="ar"/>
              </w:rPr>
              <w:t>&lt;5%</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5-10%</w:t>
            </w:r>
            <w:r>
              <w:rPr>
                <w:rStyle w:val="6"/>
                <w:rFonts w:hint="default" w:ascii="Times New Roman" w:hAnsi="Times New Roman" w:cs="Times New Roman"/>
                <w:sz w:val="20"/>
                <w:szCs w:val="20"/>
                <w:lang w:val="en-US" w:eastAsia="zh-CN" w:bidi="ar"/>
              </w:rPr>
              <w:t>（含），计</w:t>
            </w:r>
            <w:r>
              <w:rPr>
                <w:rStyle w:val="7"/>
                <w:rFonts w:hint="default" w:ascii="Times New Roman" w:hAnsi="Times New Roman" w:eastAsia="宋体" w:cs="Times New Roman"/>
                <w:sz w:val="20"/>
                <w:szCs w:val="20"/>
                <w:lang w:val="en-US" w:eastAsia="zh-CN" w:bidi="ar"/>
              </w:rPr>
              <w:t>1.5</w:t>
            </w:r>
            <w:r>
              <w:rPr>
                <w:rStyle w:val="6"/>
                <w:rFonts w:hint="default" w:ascii="Times New Roman" w:hAnsi="Times New Roman" w:cs="Times New Roman"/>
                <w:sz w:val="20"/>
                <w:szCs w:val="20"/>
                <w:lang w:val="en-US" w:eastAsia="zh-CN" w:bidi="ar"/>
              </w:rPr>
              <w:t>分；大于</w:t>
            </w:r>
            <w:r>
              <w:rPr>
                <w:rStyle w:val="7"/>
                <w:rFonts w:hint="default" w:ascii="Times New Roman" w:hAnsi="Times New Roman" w:eastAsia="宋体" w:cs="Times New Roman"/>
                <w:sz w:val="20"/>
                <w:szCs w:val="20"/>
                <w:lang w:val="en-US" w:eastAsia="zh-CN" w:bidi="ar"/>
              </w:rPr>
              <w:t>10%</w:t>
            </w:r>
            <w:r>
              <w:rPr>
                <w:rStyle w:val="6"/>
                <w:rFonts w:hint="default" w:ascii="Times New Roman" w:hAnsi="Times New Roman" w:cs="Times New Roman"/>
                <w:sz w:val="20"/>
                <w:szCs w:val="20"/>
                <w:lang w:val="en-US" w:eastAsia="zh-CN" w:bidi="ar"/>
              </w:rPr>
              <w:t>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根据</w:t>
            </w:r>
            <w:r>
              <w:rPr>
                <w:rFonts w:hint="eastAsia" w:cs="Times New Roman"/>
                <w:i w:val="0"/>
                <w:color w:val="000000"/>
                <w:kern w:val="0"/>
                <w:sz w:val="20"/>
                <w:szCs w:val="20"/>
                <w:highlight w:val="none"/>
                <w:u w:val="none"/>
                <w:lang w:val="en-US" w:eastAsia="zh-CN" w:bidi="ar"/>
              </w:rPr>
              <w:t>区</w:t>
            </w:r>
            <w:r>
              <w:rPr>
                <w:rFonts w:hint="default" w:ascii="Times New Roman" w:hAnsi="Times New Roman" w:eastAsia="宋体" w:cs="Times New Roman"/>
                <w:i w:val="0"/>
                <w:color w:val="000000"/>
                <w:kern w:val="0"/>
                <w:sz w:val="20"/>
                <w:szCs w:val="20"/>
                <w:highlight w:val="none"/>
                <w:u w:val="none"/>
                <w:lang w:val="en-US" w:eastAsia="zh-CN" w:bidi="ar"/>
              </w:rPr>
              <w:t>政府文件规定，预算单位年度安排的</w:t>
            </w:r>
            <w:r>
              <w:rPr>
                <w:rFonts w:hint="eastAsia" w:cs="Times New Roman"/>
                <w:i w:val="0"/>
                <w:color w:val="000000"/>
                <w:kern w:val="0"/>
                <w:sz w:val="20"/>
                <w:szCs w:val="20"/>
                <w:highlight w:val="none"/>
                <w:u w:val="none"/>
                <w:lang w:val="en-US" w:eastAsia="zh-CN" w:bidi="ar"/>
              </w:rPr>
              <w:t>区</w:t>
            </w:r>
            <w:r>
              <w:rPr>
                <w:rFonts w:hint="default" w:ascii="Times New Roman" w:hAnsi="Times New Roman" w:eastAsia="宋体" w:cs="Times New Roman"/>
                <w:i w:val="0"/>
                <w:color w:val="000000"/>
                <w:kern w:val="0"/>
                <w:sz w:val="20"/>
                <w:szCs w:val="20"/>
                <w:highlight w:val="none"/>
                <w:u w:val="none"/>
                <w:lang w:val="en-US" w:eastAsia="zh-CN" w:bidi="ar"/>
              </w:rPr>
              <w:t>级预算资金不能结转。</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highlight w:val="none"/>
                <w:u w:val="none"/>
              </w:rPr>
            </w:pPr>
            <w:r>
              <w:rPr>
                <w:rFonts w:hint="eastAsia" w:cs="Times New Roman"/>
                <w:i w:val="0"/>
                <w:color w:val="000000"/>
                <w:kern w:val="0"/>
                <w:sz w:val="20"/>
                <w:szCs w:val="20"/>
                <w:highlight w:val="none"/>
                <w:u w:val="none"/>
                <w:lang w:val="en-US" w:eastAsia="zh-CN" w:bidi="ar"/>
              </w:rPr>
              <w:t>区</w:t>
            </w:r>
            <w:r>
              <w:rPr>
                <w:rFonts w:hint="default" w:ascii="Times New Roman" w:hAnsi="Times New Roman" w:eastAsia="宋体" w:cs="Times New Roman"/>
                <w:i w:val="0"/>
                <w:color w:val="000000"/>
                <w:kern w:val="0"/>
                <w:sz w:val="20"/>
                <w:szCs w:val="20"/>
                <w:highlight w:val="none"/>
                <w:u w:val="none"/>
                <w:lang w:val="en-US" w:eastAsia="zh-CN" w:bidi="ar"/>
              </w:rPr>
              <w:t>本级资金无结转，计2分；有结转，不计分；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eastAsia="宋体" w:cs="Times New Roman"/>
                <w:sz w:val="20"/>
                <w:szCs w:val="20"/>
                <w:lang w:val="en-US" w:eastAsia="zh-CN" w:bidi="ar"/>
              </w:rPr>
            </w:pPr>
            <w:r>
              <w:rPr>
                <w:rStyle w:val="6"/>
                <w:rFonts w:hint="default" w:ascii="Times New Roman" w:hAnsi="Times New Roman" w:cs="Times New Roman"/>
                <w:sz w:val="20"/>
                <w:szCs w:val="20"/>
                <w:lang w:val="en-US" w:eastAsia="zh-CN" w:bidi="ar"/>
              </w:rPr>
              <w:t>经费</w:t>
            </w:r>
            <w:r>
              <w:rPr>
                <w:rStyle w:val="7"/>
                <w:rFonts w:hint="default" w:ascii="Times New Roman" w:hAnsi="Times New Roman" w:eastAsia="宋体"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控制率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实际支出数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预算安排数）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。不超当年预算，不超上年决算。</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控制率</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以下（含）计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分，每超出</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扣</w:t>
            </w:r>
            <w:r>
              <w:rPr>
                <w:rStyle w:val="7"/>
                <w:rFonts w:hint="default" w:ascii="Times New Roman" w:hAnsi="Times New Roman" w:eastAsia="宋体" w:cs="Times New Roman"/>
                <w:sz w:val="20"/>
                <w:szCs w:val="20"/>
                <w:lang w:val="en-US" w:eastAsia="zh-CN" w:bidi="ar"/>
              </w:rPr>
              <w:t>0.15</w:t>
            </w:r>
            <w:r>
              <w:rPr>
                <w:rStyle w:val="6"/>
                <w:rFonts w:hint="default" w:ascii="Times New Roman" w:hAnsi="Times New Roman" w:cs="Times New Roman"/>
                <w:sz w:val="20"/>
                <w:szCs w:val="20"/>
                <w:lang w:val="en-US" w:eastAsia="zh-CN" w:bidi="ar"/>
              </w:rPr>
              <w:t>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eastAsia="宋体" w:cs="Times New Roman"/>
                <w:sz w:val="20"/>
                <w:szCs w:val="20"/>
                <w:lang w:val="en-US" w:eastAsia="zh-CN" w:bidi="ar"/>
              </w:rPr>
            </w:pPr>
            <w:r>
              <w:rPr>
                <w:rStyle w:val="7"/>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政府采购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执行率和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规范性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政府采购执行率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（实际政府采购金额</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政府采购预算数）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pacing w:val="-6"/>
                <w:sz w:val="20"/>
                <w:szCs w:val="20"/>
                <w:lang w:val="en-US" w:eastAsia="zh-CN" w:bidi="ar"/>
              </w:rPr>
            </w:pPr>
            <w:r>
              <w:rPr>
                <w:rStyle w:val="6"/>
                <w:rFonts w:hint="default" w:ascii="Times New Roman" w:hAnsi="Times New Roman" w:cs="Times New Roman"/>
                <w:spacing w:val="-6"/>
                <w:sz w:val="20"/>
                <w:szCs w:val="20"/>
                <w:lang w:val="en-US" w:eastAsia="zh-CN" w:bidi="ar"/>
              </w:rPr>
              <w:t>政府采购预算：采购机关根据事业发展计划和行政任务编制的、并经过规定程序批准的年度政府采购计划。</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预算单位严格执行</w:t>
            </w:r>
            <w:bookmarkStart w:id="0" w:name="_GoBack"/>
            <w:bookmarkEnd w:id="0"/>
            <w:r>
              <w:rPr>
                <w:rStyle w:val="6"/>
                <w:rFonts w:hint="eastAsia" w:cs="Times New Roman"/>
                <w:sz w:val="20"/>
                <w:szCs w:val="20"/>
                <w:lang w:val="en-US" w:eastAsia="zh-CN" w:bidi="ar"/>
              </w:rPr>
              <w:t>《中华人民共和国政府采购法》</w:t>
            </w:r>
            <w:r>
              <w:rPr>
                <w:rStyle w:val="6"/>
                <w:rFonts w:hint="default" w:ascii="Times New Roman" w:hAnsi="Times New Roman" w:cs="Times New Roman"/>
                <w:sz w:val="20"/>
                <w:szCs w:val="20"/>
                <w:lang w:val="en-US" w:eastAsia="zh-CN" w:bidi="ar"/>
              </w:rPr>
              <w:t>，无规避政府采购或化整为零进行政府采购的行为。所有项目必须依法采购，履行验收手续。</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政府采购执行率</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分，每超过（降低）</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扣</w:t>
            </w:r>
            <w:r>
              <w:rPr>
                <w:rStyle w:val="7"/>
                <w:rFonts w:hint="default" w:ascii="Times New Roman" w:hAnsi="Times New Roman" w:eastAsia="宋体" w:cs="Times New Roman"/>
                <w:sz w:val="20"/>
                <w:szCs w:val="20"/>
                <w:lang w:val="en-US" w:eastAsia="zh-CN" w:bidi="ar"/>
              </w:rPr>
              <w:t>0.1</w:t>
            </w:r>
            <w:r>
              <w:rPr>
                <w:rStyle w:val="6"/>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所有项目依法采购，无规避政府采购或化整为零进行政府采购的行为，并履行验收手续计1分，否则不得分。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20</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管理制度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①部门（单位）内控制度、内部财务管理制度和会计核算制度是否健全；</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②相关管理制度是否合法、合规、完整；</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③相关管理制度是否得到有效执行。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①部门（单位）内控制度、内部财务管理制度和会计核算制度健全，计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分，否则酌情扣分；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②管理制度合法、合规、完整，计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分，否则酌情扣分；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③管理制度得到有效执行，计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资金使用</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合规性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①是否符合国家财经法规和财务管理制度以及有关专项资金管理办法的规定；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②资金的支付是否有完整的审批程序和手续；</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③重大项目开支和大额资金使用是否经单位党组集体研究决策；</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④是否符合项目预算批复或合同规定的用途；</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⑤是否存在截留、挤占、挪用、虚列支出等情况；</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⑥是否存在重复申报项目、虚报冒领资金。</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①符合国家财经法规和财务管理制度以及有关专项资金管理办法的规定，计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②资金的支付有完整的审批程序和手续，计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③重大项目开支和大额资金使用经过单位党组集体研究决策，计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④符合项目预算批复或合同规定的用途，计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⑤不存在截留、挤占、挪用、虚列支出等情况，计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例不符合本指标</w:t>
            </w:r>
            <w:r>
              <w:rPr>
                <w:rStyle w:val="7"/>
                <w:rFonts w:hint="default" w:ascii="Times New Roman" w:hAnsi="Times New Roman" w:eastAsia="宋体" w:cs="Times New Roman"/>
                <w:sz w:val="20"/>
                <w:szCs w:val="20"/>
                <w:lang w:val="en-US" w:eastAsia="zh-CN" w:bidi="ar"/>
              </w:rPr>
              <w:t>6</w:t>
            </w:r>
            <w:r>
              <w:rPr>
                <w:rStyle w:val="6"/>
                <w:rFonts w:hint="default" w:ascii="Times New Roman" w:hAnsi="Times New Roman" w:cs="Times New Roman"/>
                <w:sz w:val="20"/>
                <w:szCs w:val="20"/>
                <w:lang w:val="en-US" w:eastAsia="zh-CN" w:bidi="ar"/>
              </w:rPr>
              <w:t>分全扣；</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pacing w:val="-6"/>
                <w:sz w:val="20"/>
                <w:szCs w:val="20"/>
                <w:lang w:val="en-US" w:eastAsia="zh-CN" w:bidi="ar"/>
              </w:rPr>
            </w:pPr>
            <w:r>
              <w:rPr>
                <w:rStyle w:val="6"/>
                <w:rFonts w:hint="default" w:ascii="Times New Roman" w:hAnsi="Times New Roman" w:cs="Times New Roman"/>
                <w:sz w:val="20"/>
                <w:szCs w:val="20"/>
                <w:lang w:val="en-US" w:eastAsia="zh-CN" w:bidi="ar"/>
              </w:rPr>
              <w:t>⑥</w:t>
            </w:r>
            <w:r>
              <w:rPr>
                <w:rStyle w:val="6"/>
                <w:rFonts w:hint="default" w:ascii="Times New Roman" w:hAnsi="Times New Roman" w:cs="Times New Roman"/>
                <w:spacing w:val="-6"/>
                <w:sz w:val="20"/>
                <w:szCs w:val="20"/>
                <w:lang w:val="en-US" w:eastAsia="zh-CN" w:bidi="ar"/>
              </w:rPr>
              <w:t>不存在重复申报项目、虚报冒领资金，计</w:t>
            </w:r>
            <w:r>
              <w:rPr>
                <w:rStyle w:val="7"/>
                <w:rFonts w:hint="default" w:ascii="Times New Roman" w:hAnsi="Times New Roman" w:eastAsia="宋体" w:cs="Times New Roman"/>
                <w:spacing w:val="-6"/>
                <w:sz w:val="20"/>
                <w:szCs w:val="20"/>
                <w:lang w:val="en-US" w:eastAsia="zh-CN" w:bidi="ar"/>
              </w:rPr>
              <w:t>1</w:t>
            </w:r>
            <w:r>
              <w:rPr>
                <w:rStyle w:val="6"/>
                <w:rFonts w:hint="default" w:ascii="Times New Roman" w:hAnsi="Times New Roman" w:cs="Times New Roman"/>
                <w:spacing w:val="-6"/>
                <w:sz w:val="20"/>
                <w:szCs w:val="20"/>
                <w:lang w:val="en-US" w:eastAsia="zh-CN" w:bidi="ar"/>
              </w:rPr>
              <w:t>分，</w:t>
            </w:r>
            <w:r>
              <w:rPr>
                <w:rStyle w:val="7"/>
                <w:rFonts w:hint="default" w:ascii="Times New Roman" w:hAnsi="Times New Roman" w:eastAsia="宋体" w:cs="Times New Roman"/>
                <w:spacing w:val="-6"/>
                <w:sz w:val="20"/>
                <w:szCs w:val="20"/>
                <w:lang w:val="en-US" w:eastAsia="zh-CN" w:bidi="ar"/>
              </w:rPr>
              <w:t>1</w:t>
            </w:r>
            <w:r>
              <w:rPr>
                <w:rStyle w:val="6"/>
                <w:rFonts w:hint="default" w:ascii="Times New Roman" w:hAnsi="Times New Roman" w:cs="Times New Roman"/>
                <w:spacing w:val="-6"/>
                <w:sz w:val="20"/>
                <w:szCs w:val="20"/>
                <w:lang w:val="en-US" w:eastAsia="zh-CN" w:bidi="ar"/>
              </w:rPr>
              <w:t>例不符合本指标6分全扣；</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⑦违规情况特别严重的，重点绩效评价等级定为“差”。</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过程</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40</w:t>
            </w:r>
            <w:r>
              <w:rPr>
                <w:rStyle w:val="6"/>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2"/>
                <w:sz w:val="20"/>
                <w:szCs w:val="20"/>
                <w:u w:val="none"/>
                <w:lang w:val="en-US" w:eastAsia="zh-CN" w:bidi="ar-SA"/>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20</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①预算单位按规定及时、准确、完整的公开预决算和绩效管理信息；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②基础数据信息和会计信息资料真实、准确、完整；</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①、②各计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分，否则，酌情扣分；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绩效自评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管理情况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Style w:val="6"/>
                <w:rFonts w:hint="default" w:ascii="Times New Roman" w:hAnsi="Times New Roman" w:cs="Times New Roman"/>
                <w:color w:val="000000" w:themeColor="text1"/>
                <w:sz w:val="20"/>
                <w:szCs w:val="20"/>
                <w:lang w:val="en-US" w:eastAsia="zh-CN" w:bidi="ar"/>
                <w14:textFill>
                  <w14:solidFill>
                    <w14:schemeClr w14:val="tx1"/>
                  </w14:solidFill>
                </w14:textFill>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Style w:val="6"/>
                <w:rFonts w:hint="default" w:ascii="Times New Roman" w:hAnsi="Times New Roman" w:cs="Times New Roman"/>
                <w:color w:val="000000" w:themeColor="text1"/>
                <w:sz w:val="20"/>
                <w:szCs w:val="20"/>
                <w:lang w:val="en-US" w:eastAsia="zh-CN" w:bidi="ar"/>
                <w14:textFill>
                  <w14:solidFill>
                    <w14:schemeClr w14:val="tx1"/>
                  </w14:solidFill>
                </w14:textFill>
              </w:rPr>
              <w:t>根据</w:t>
            </w:r>
            <w:r>
              <w:rPr>
                <w:rStyle w:val="6"/>
                <w:rFonts w:hint="eastAsia" w:cs="Times New Roman"/>
                <w:color w:val="000000" w:themeColor="text1"/>
                <w:sz w:val="20"/>
                <w:szCs w:val="20"/>
                <w:highlight w:val="none"/>
                <w:lang w:val="en-US" w:eastAsia="zh-CN" w:bidi="ar"/>
                <w14:textFill>
                  <w14:solidFill>
                    <w14:schemeClr w14:val="tx1"/>
                  </w14:solidFill>
                </w14:textFill>
              </w:rPr>
              <w:t>区</w:t>
            </w:r>
            <w:r>
              <w:rPr>
                <w:rStyle w:val="6"/>
                <w:rFonts w:hint="default" w:ascii="Times New Roman" w:hAnsi="Times New Roman" w:cs="Times New Roman"/>
                <w:color w:val="000000" w:themeColor="text1"/>
                <w:sz w:val="20"/>
                <w:szCs w:val="20"/>
                <w:highlight w:val="none"/>
                <w:lang w:val="en-US" w:eastAsia="zh-CN" w:bidi="ar"/>
                <w14:textFill>
                  <w14:solidFill>
                    <w14:schemeClr w14:val="tx1"/>
                  </w14:solidFill>
                </w14:textFill>
              </w:rPr>
              <w:t>财政局20</w:t>
            </w:r>
            <w:r>
              <w:rPr>
                <w:rStyle w:val="6"/>
                <w:rFonts w:hint="default" w:ascii="Times New Roman" w:hAnsi="Times New Roman" w:cs="Times New Roman"/>
                <w:color w:val="000000" w:themeColor="text1"/>
                <w:sz w:val="20"/>
                <w:szCs w:val="20"/>
                <w:lang w:val="en-US" w:eastAsia="zh-CN" w:bidi="ar"/>
                <w14:textFill>
                  <w14:solidFill>
                    <w14:schemeClr w14:val="tx1"/>
                  </w14:solidFill>
                </w14:textFill>
              </w:rPr>
              <w:t>20年考核结果，评审为优，计</w:t>
            </w:r>
            <w:r>
              <w:rPr>
                <w:rStyle w:val="7"/>
                <w:rFonts w:hint="default" w:ascii="Times New Roman" w:hAnsi="Times New Roman" w:eastAsia="宋体" w:cs="Times New Roman"/>
                <w:color w:val="000000" w:themeColor="text1"/>
                <w:sz w:val="20"/>
                <w:szCs w:val="20"/>
                <w:lang w:val="en-US" w:eastAsia="zh-CN" w:bidi="ar"/>
                <w14:textFill>
                  <w14:solidFill>
                    <w14:schemeClr w14:val="tx1"/>
                  </w14:solidFill>
                </w14:textFill>
              </w:rPr>
              <w:t>4</w:t>
            </w:r>
            <w:r>
              <w:rPr>
                <w:rStyle w:val="6"/>
                <w:rFonts w:hint="default" w:ascii="Times New Roman" w:hAnsi="Times New Roman" w:cs="Times New Roman"/>
                <w:color w:val="000000" w:themeColor="text1"/>
                <w:sz w:val="20"/>
                <w:szCs w:val="20"/>
                <w:lang w:val="en-US" w:eastAsia="zh-CN" w:bidi="ar"/>
                <w14:textFill>
                  <w14:solidFill>
                    <w14:schemeClr w14:val="tx1"/>
                  </w14:solidFill>
                </w14:textFill>
              </w:rPr>
              <w:t>分；评审为良，计</w:t>
            </w:r>
            <w:r>
              <w:rPr>
                <w:rStyle w:val="7"/>
                <w:rFonts w:hint="default" w:ascii="Times New Roman" w:hAnsi="Times New Roman" w:eastAsia="宋体" w:cs="Times New Roman"/>
                <w:color w:val="000000" w:themeColor="text1"/>
                <w:sz w:val="20"/>
                <w:szCs w:val="20"/>
                <w:lang w:val="en-US" w:eastAsia="zh-CN" w:bidi="ar"/>
                <w14:textFill>
                  <w14:solidFill>
                    <w14:schemeClr w14:val="tx1"/>
                  </w14:solidFill>
                </w14:textFill>
              </w:rPr>
              <w:t>3</w:t>
            </w:r>
            <w:r>
              <w:rPr>
                <w:rStyle w:val="6"/>
                <w:rFonts w:hint="default" w:ascii="Times New Roman" w:hAnsi="Times New Roman" w:cs="Times New Roman"/>
                <w:color w:val="000000" w:themeColor="text1"/>
                <w:sz w:val="20"/>
                <w:szCs w:val="20"/>
                <w:lang w:val="en-US" w:eastAsia="zh-CN" w:bidi="ar"/>
                <w14:textFill>
                  <w14:solidFill>
                    <w14:schemeClr w14:val="tx1"/>
                  </w14:solidFill>
                </w14:textFill>
              </w:rPr>
              <w:t>分；评审为中，计</w:t>
            </w:r>
            <w:r>
              <w:rPr>
                <w:rStyle w:val="7"/>
                <w:rFonts w:hint="default" w:ascii="Times New Roman" w:hAnsi="Times New Roman" w:eastAsia="宋体" w:cs="Times New Roman"/>
                <w:color w:val="000000" w:themeColor="text1"/>
                <w:sz w:val="20"/>
                <w:szCs w:val="20"/>
                <w:lang w:val="en-US" w:eastAsia="zh-CN" w:bidi="ar"/>
                <w14:textFill>
                  <w14:solidFill>
                    <w14:schemeClr w14:val="tx1"/>
                  </w14:solidFill>
                </w14:textFill>
              </w:rPr>
              <w:t>2</w:t>
            </w:r>
            <w:r>
              <w:rPr>
                <w:rStyle w:val="6"/>
                <w:rFonts w:hint="default" w:ascii="Times New Roman" w:hAnsi="Times New Roman" w:cs="Times New Roman"/>
                <w:color w:val="000000" w:themeColor="text1"/>
                <w:sz w:val="20"/>
                <w:szCs w:val="20"/>
                <w:lang w:val="en-US" w:eastAsia="zh-CN" w:bidi="ar"/>
                <w14:textFill>
                  <w14:solidFill>
                    <w14:schemeClr w14:val="tx1"/>
                  </w14:solidFill>
                </w14:textFill>
              </w:rPr>
              <w:t>分；评审为低，计</w:t>
            </w:r>
            <w:r>
              <w:rPr>
                <w:rStyle w:val="7"/>
                <w:rFonts w:hint="default" w:ascii="Times New Roman" w:hAnsi="Times New Roman" w:eastAsia="宋体" w:cs="Times New Roman"/>
                <w:color w:val="000000" w:themeColor="text1"/>
                <w:sz w:val="20"/>
                <w:szCs w:val="20"/>
                <w:lang w:val="en-US" w:eastAsia="zh-CN" w:bidi="ar"/>
                <w14:textFill>
                  <w14:solidFill>
                    <w14:schemeClr w14:val="tx1"/>
                  </w14:solidFill>
                </w14:textFill>
              </w:rPr>
              <w:t>1</w:t>
            </w:r>
            <w:r>
              <w:rPr>
                <w:rStyle w:val="6"/>
                <w:rFonts w:hint="default" w:ascii="Times New Roman" w:hAnsi="Times New Roman" w:cs="Times New Roman"/>
                <w:color w:val="000000" w:themeColor="text1"/>
                <w:sz w:val="20"/>
                <w:szCs w:val="20"/>
                <w:lang w:val="en-US" w:eastAsia="zh-CN" w:bidi="ar"/>
                <w14:textFill>
                  <w14:solidFill>
                    <w14:schemeClr w14:val="tx1"/>
                  </w14:solidFill>
                </w14:textFill>
              </w:rPr>
              <w:t>分；评审为差，计</w:t>
            </w:r>
            <w:r>
              <w:rPr>
                <w:rStyle w:val="7"/>
                <w:rFonts w:hint="default" w:ascii="Times New Roman" w:hAnsi="Times New Roman" w:eastAsia="宋体" w:cs="Times New Roman"/>
                <w:color w:val="000000" w:themeColor="text1"/>
                <w:sz w:val="20"/>
                <w:szCs w:val="20"/>
                <w:lang w:val="en-US" w:eastAsia="zh-CN" w:bidi="ar"/>
                <w14:textFill>
                  <w14:solidFill>
                    <w14:schemeClr w14:val="tx1"/>
                  </w14:solidFill>
                </w14:textFill>
              </w:rPr>
              <w:t>0</w:t>
            </w:r>
            <w:r>
              <w:rPr>
                <w:rStyle w:val="6"/>
                <w:rFonts w:hint="default" w:ascii="Times New Roman" w:hAnsi="Times New Roman" w:cs="Times New Roman"/>
                <w:color w:val="000000" w:themeColor="text1"/>
                <w:sz w:val="20"/>
                <w:szCs w:val="20"/>
                <w:lang w:val="en-US" w:eastAsia="zh-CN" w:bidi="ar"/>
                <w14:textFill>
                  <w14:solidFill>
                    <w14:schemeClr w14:val="tx1"/>
                  </w14:solidFill>
                </w14:textFill>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重点绩效评价整改情况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对上年度财政重点评价中存在的问题是否进行整改。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2019年重点评价问题全部整改，计</w:t>
            </w:r>
            <w:r>
              <w:rPr>
                <w:rStyle w:val="7"/>
                <w:rFonts w:hint="default" w:ascii="Times New Roman" w:hAnsi="Times New Roman" w:eastAsia="宋体" w:cs="Times New Roman"/>
                <w:sz w:val="20"/>
                <w:szCs w:val="20"/>
                <w:lang w:val="en-US" w:eastAsia="zh-CN" w:bidi="ar"/>
              </w:rPr>
              <w:t>5</w:t>
            </w:r>
            <w:r>
              <w:rPr>
                <w:rStyle w:val="6"/>
                <w:rFonts w:hint="default" w:ascii="Times New Roman" w:hAnsi="Times New Roman" w:cs="Times New Roman"/>
                <w:sz w:val="20"/>
                <w:szCs w:val="20"/>
                <w:lang w:val="en-US" w:eastAsia="zh-CN" w:bidi="ar"/>
              </w:rPr>
              <w:t>分；2019年重点评价问题部分整改，计</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分；2019年重点评价问题未整改且无整改情况说明的不计分。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5</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①是否已制定合法、合规、完整的资产管理制度；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②相关资产管理制度是否得到有效执行；</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③资产配置是否编制年度预算；</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④资产配置预算实际执行情况。</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①已制定合法、合规、完整的资产管理制度，计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②相关资产管理制度得到有效执行，计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③资产管理编制年度预算，计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分，未编制不得分。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④资产配置预算实际执行情况未超年度预算（按程序审批除外），计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资产管理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安全性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①资产保存是否完整并有台账；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②资产配置是否合理；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③资产处置是否规范；</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④资产账务管理是否合规，是否</w:t>
            </w:r>
            <w:r>
              <w:rPr>
                <w:rStyle w:val="6"/>
                <w:rFonts w:hint="eastAsia" w:cs="Times New Roman"/>
                <w:sz w:val="20"/>
                <w:szCs w:val="20"/>
                <w:lang w:val="en-US" w:eastAsia="zh-CN" w:bidi="ar"/>
              </w:rPr>
              <w:t>账</w:t>
            </w:r>
            <w:r>
              <w:rPr>
                <w:rStyle w:val="6"/>
                <w:rFonts w:hint="default" w:ascii="Times New Roman" w:hAnsi="Times New Roman" w:cs="Times New Roman"/>
                <w:sz w:val="20"/>
                <w:szCs w:val="20"/>
                <w:lang w:val="en-US" w:eastAsia="zh-CN" w:bidi="ar"/>
              </w:rPr>
              <w:t>实相符；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⑤资产是否有偿使用或处置收入及时足额上缴；</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⑥相关资产购置是否履行政府采购手续；</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⑦资产是否定期进行盘点并有记录。</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①资产配置合理符合标准、保管完整，账务管理规范，定期盘点并有台账，账实相符的，计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分，发现一例不符，扣</w:t>
            </w:r>
            <w:r>
              <w:rPr>
                <w:rStyle w:val="7"/>
                <w:rFonts w:hint="default" w:ascii="Times New Roman" w:hAnsi="Times New Roman" w:eastAsia="宋体" w:cs="Times New Roman"/>
                <w:sz w:val="20"/>
                <w:szCs w:val="20"/>
                <w:lang w:val="en-US" w:eastAsia="zh-CN" w:bidi="ar"/>
              </w:rPr>
              <w:t>0.1</w:t>
            </w:r>
            <w:r>
              <w:rPr>
                <w:rStyle w:val="6"/>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②资产处置规范，计0.5分，发现一例不符，扣0.1分，扣完为止；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③资产有偿使用或处置收入及时足额上缴，计0.5分，发现未上缴，本项不得分；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④资产购置履行政府采购手续，计0.5分，发现一例不符，扣0.1分，扣完为止；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固定资产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保管和使用情况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①是否建立固定资产台账，实行编码管理；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②固定资产增减变化是否建立审批程序；</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建了固定资产台账实行编码管理的计0.5分；建立了固定资产增减变化审批程序的计0.5分，否则不得分。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职责</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完成率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部门履行职责而实际完成工作数与计划工作数的比率，用以反映和考核部门履职工作任务目标的实现程度。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实际完成率=（实际完成工作数/计划工作数）*100%。实际完成工作数：一定时期（年度或规划期）内部门实际完成工作任务的数量。</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计划工作数：部门整体绩效目标确定的一定时期（年度或规划期）内预计完成工作任务的数量。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及时性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部门在规定时限内及时完成的实际工作数与计划工作数的比率，用以反映和考核部门履职实效目标的实现程度。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完成及时率=（及时完成实际工作数/计划工作数）*100%。及时完成工作数：部门按照整体绩效目标确定的时限实际完成的工作任务数量。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达标率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达到质量标准（绩效标准值）的实际工作数与计划工作数的比率，用以反映和考核部门履职时效目标的实现程度。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质量达标率=（质量达标实际工作数/计划工作数）*100%。质量达标实际工作数：一定时期（年度或规划期）内部门实际完成工作数中达到部门绩效目标要求（绩效标准值）的工作任务数量。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重点工作办结率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部门年度重点工作实际完成数与交办或下达数的比率，用以反映部门对重点工作的办理落实程度。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重点工作办结率=（重点工作实际完成数/交办或下达数）*100%。重点工作是指党委、政府、人大、相关部门交办或下达的工作任务。</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效果</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经济效益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部门履行职责对经济发展所带来的直接或间接影响</w:t>
            </w:r>
          </w:p>
        </w:tc>
        <w:tc>
          <w:tcPr>
            <w:tcW w:w="16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社会效益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部门履行职责对社会发展所带来的直接或间接影响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生态效益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部门履行职责对生态环境所带来的直接或间接影响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社会公众或服务对象满意度</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社会公众或部门的服务对象对部门履职效果的满意程度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社会公众或服务对象是指部门履行职责而影响到的部门、群体或个人。一般采取社会调查的方式。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37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93</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8752345"/>
    <w:rsid w:val="08752345"/>
    <w:rsid w:val="0AAC7116"/>
    <w:rsid w:val="2184570A"/>
    <w:rsid w:val="21867251"/>
    <w:rsid w:val="2EA86B76"/>
    <w:rsid w:val="316C185B"/>
    <w:rsid w:val="39C20E71"/>
    <w:rsid w:val="5FF07460"/>
    <w:rsid w:val="68D92C5D"/>
    <w:rsid w:val="7D995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41"/>
    <w:basedOn w:val="5"/>
    <w:qFormat/>
    <w:uiPriority w:val="0"/>
    <w:rPr>
      <w:rFonts w:hint="eastAsia" w:ascii="宋体" w:hAnsi="宋体" w:eastAsia="宋体" w:cs="宋体"/>
      <w:color w:val="000000"/>
      <w:sz w:val="18"/>
      <w:szCs w:val="18"/>
      <w:u w:val="none"/>
    </w:rPr>
  </w:style>
  <w:style w:type="character" w:customStyle="1" w:styleId="7">
    <w:name w:val="font31"/>
    <w:basedOn w:val="5"/>
    <w:qFormat/>
    <w:uiPriority w:val="0"/>
    <w:rPr>
      <w:rFonts w:hint="default" w:ascii="Times New Roman" w:hAnsi="Times New Roman" w:cs="Times New Roman"/>
      <w:color w:val="000000"/>
      <w:sz w:val="18"/>
      <w:szCs w:val="18"/>
      <w:u w:val="none"/>
    </w:rPr>
  </w:style>
  <w:style w:type="character" w:customStyle="1" w:styleId="8">
    <w:name w:val="font21"/>
    <w:basedOn w:val="5"/>
    <w:qFormat/>
    <w:uiPriority w:val="0"/>
    <w:rPr>
      <w:rFonts w:hint="eastAsia" w:ascii="宋体" w:hAnsi="宋体" w:eastAsia="宋体" w:cs="宋体"/>
      <w:color w:val="FF0000"/>
      <w:sz w:val="18"/>
      <w:szCs w:val="18"/>
      <w:u w:val="none"/>
    </w:rPr>
  </w:style>
  <w:style w:type="character" w:customStyle="1" w:styleId="9">
    <w:name w:val="font11"/>
    <w:basedOn w:val="5"/>
    <w:qFormat/>
    <w:uiPriority w:val="0"/>
    <w:rPr>
      <w:rFonts w:hint="default" w:ascii="Times New Roman" w:hAnsi="Times New Roman" w:cs="Times New Roman"/>
      <w:color w:val="FF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3756</Words>
  <Characters>3927</Characters>
  <Lines>0</Lines>
  <Paragraphs>0</Paragraphs>
  <TotalTime>5</TotalTime>
  <ScaleCrop>false</ScaleCrop>
  <LinksUpToDate>false</LinksUpToDate>
  <CharactersWithSpaces>3928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2021-03-24T02:35:00Z</dcterms:created>
  <dc:creator>流年似水</dc:creator>
  <cp:lastModifiedBy>Administrator</cp:lastModifiedBy>
  <cp:lastPrinted>2022-10-14T02:03:00Z</cp:lastPrinted>
  <dcterms:modified xsi:type="dcterms:W3CDTF">2023-04-18T06:29:30Z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430F6534570447C18A8950277B1449F1_13</vt:lpwstr>
  </property>
</Properties>
</file>