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CC4" w:rsidRDefault="007F76F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雨花区</w:t>
      </w:r>
      <w:r>
        <w:rPr>
          <w:rFonts w:eastAsia="方正小标宋简体" w:hint="eastAsia"/>
          <w:bCs/>
          <w:sz w:val="46"/>
          <w:szCs w:val="46"/>
          <w:u w:val="single"/>
        </w:rPr>
        <w:t>20</w:t>
      </w:r>
      <w:r>
        <w:rPr>
          <w:rFonts w:eastAsia="方正小标宋简体" w:hint="eastAsia"/>
          <w:bCs/>
          <w:sz w:val="46"/>
          <w:szCs w:val="46"/>
          <w:u w:val="single"/>
        </w:rPr>
        <w:t>21</w:t>
      </w:r>
      <w:r>
        <w:rPr>
          <w:rFonts w:eastAsia="方正小标宋简体" w:hint="eastAsia"/>
          <w:bCs/>
          <w:sz w:val="46"/>
          <w:szCs w:val="46"/>
        </w:rPr>
        <w:t>年度部门（单位）项目支出</w:t>
      </w:r>
    </w:p>
    <w:p w:rsidR="00066CC4" w:rsidRDefault="007F76F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066CC4" w:rsidRDefault="00066CC4">
      <w:pPr>
        <w:rPr>
          <w:rFonts w:eastAsia="仿宋_GB2312"/>
          <w:b/>
          <w:sz w:val="32"/>
        </w:rPr>
      </w:pPr>
    </w:p>
    <w:p w:rsidR="00066CC4" w:rsidRDefault="00066CC4">
      <w:pPr>
        <w:rPr>
          <w:rFonts w:eastAsia="仿宋_GB2312"/>
          <w:b/>
          <w:sz w:val="32"/>
        </w:rPr>
      </w:pPr>
    </w:p>
    <w:p w:rsidR="00066CC4" w:rsidRDefault="00066CC4">
      <w:pPr>
        <w:rPr>
          <w:rFonts w:eastAsia="仿宋_GB2312"/>
          <w:b/>
          <w:sz w:val="32"/>
        </w:rPr>
      </w:pPr>
    </w:p>
    <w:p w:rsidR="00066CC4" w:rsidRDefault="007F76F9" w:rsidP="007F76F9">
      <w:pPr>
        <w:spacing w:beforeLines="50" w:line="348" w:lineRule="auto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部门</w:t>
      </w: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z w:val="32"/>
        </w:rPr>
        <w:t>单位</w:t>
      </w:r>
      <w:r>
        <w:rPr>
          <w:rFonts w:eastAsia="仿宋_GB2312" w:hint="eastAsia"/>
          <w:sz w:val="32"/>
        </w:rPr>
        <w:t>)</w:t>
      </w:r>
      <w:r>
        <w:rPr>
          <w:rFonts w:eastAsia="仿宋_GB2312" w:hint="eastAsia"/>
          <w:sz w:val="32"/>
        </w:rPr>
        <w:t>名称</w:t>
      </w:r>
      <w:r>
        <w:rPr>
          <w:rFonts w:eastAsia="仿宋_GB2312" w:hint="eastAsia"/>
          <w:sz w:val="32"/>
        </w:rPr>
        <w:t xml:space="preserve">  :  </w:t>
      </w:r>
      <w:r>
        <w:rPr>
          <w:rFonts w:eastAsia="仿宋_GB2312" w:hint="eastAsia"/>
          <w:sz w:val="32"/>
          <w:u w:val="single"/>
        </w:rPr>
        <w:t>长沙市雨花区侯家塘街道办事处</w:t>
      </w:r>
      <w:r>
        <w:rPr>
          <w:rFonts w:eastAsia="仿宋_GB2312" w:hint="eastAsia"/>
          <w:sz w:val="32"/>
          <w:u w:val="single"/>
        </w:rPr>
        <w:t xml:space="preserve">          </w:t>
      </w:r>
    </w:p>
    <w:p w:rsidR="00066CC4" w:rsidRDefault="007F76F9" w:rsidP="007F76F9">
      <w:pPr>
        <w:spacing w:beforeLines="50" w:line="348" w:lineRule="auto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066CC4" w:rsidRDefault="007F76F9" w:rsidP="007F76F9">
      <w:pPr>
        <w:spacing w:beforeLines="50" w:line="348" w:lineRule="auto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:           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>社</w:t>
      </w:r>
      <w:r>
        <w:rPr>
          <w:rFonts w:eastAsia="仿宋_GB2312"/>
          <w:sz w:val="32"/>
          <w:u w:val="single"/>
        </w:rPr>
        <w:t>区工作</w:t>
      </w:r>
      <w:r>
        <w:rPr>
          <w:rFonts w:eastAsia="仿宋_GB2312" w:hint="eastAsia"/>
          <w:sz w:val="32"/>
          <w:szCs w:val="22"/>
          <w:u w:val="single"/>
        </w:rPr>
        <w:t>专项经费</w:t>
      </w:r>
      <w:r>
        <w:rPr>
          <w:rFonts w:eastAsia="仿宋_GB2312" w:hint="eastAsia"/>
          <w:sz w:val="32"/>
          <w:u w:val="single"/>
        </w:rPr>
        <w:t xml:space="preserve">    </w:t>
      </w: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066CC4">
      <w:pPr>
        <w:spacing w:line="348" w:lineRule="auto"/>
        <w:ind w:firstLineChars="690" w:firstLine="2208"/>
        <w:rPr>
          <w:rFonts w:eastAsia="仿宋_GB2312"/>
          <w:sz w:val="32"/>
        </w:rPr>
      </w:pPr>
    </w:p>
    <w:p w:rsidR="00066CC4" w:rsidRDefault="007F76F9">
      <w:pPr>
        <w:spacing w:line="348" w:lineRule="auto"/>
        <w:ind w:firstLineChars="800" w:firstLine="25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</w:t>
      </w:r>
      <w:r>
        <w:rPr>
          <w:rFonts w:eastAsia="仿宋_GB2312" w:hint="eastAsia"/>
          <w:sz w:val="32"/>
        </w:rPr>
        <w:t>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7 </w:t>
      </w:r>
      <w:r>
        <w:rPr>
          <w:rFonts w:eastAsia="仿宋_GB2312" w:hint="eastAsia"/>
          <w:sz w:val="32"/>
        </w:rPr>
        <w:t>日</w:t>
      </w:r>
    </w:p>
    <w:p w:rsidR="00066CC4" w:rsidRDefault="007F76F9"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 xml:space="preserve">     </w:t>
      </w:r>
      <w:r>
        <w:rPr>
          <w:rFonts w:eastAsia="仿宋_GB2312" w:hint="eastAsia"/>
          <w:sz w:val="32"/>
        </w:rPr>
        <w:t>雨花区财政</w:t>
      </w:r>
      <w:r>
        <w:rPr>
          <w:rFonts w:eastAsia="仿宋_GB2312" w:hint="eastAsia"/>
          <w:sz w:val="32"/>
          <w:szCs w:val="32"/>
        </w:rPr>
        <w:t>局（制）</w:t>
      </w:r>
    </w:p>
    <w:p w:rsidR="00066CC4" w:rsidRDefault="00066CC4">
      <w:pPr>
        <w:rPr>
          <w:rFonts w:ascii="宋体" w:eastAsia="宋体" w:hAnsi="宋体" w:cs="宋体"/>
          <w:b/>
          <w:bCs/>
          <w:sz w:val="30"/>
          <w:szCs w:val="30"/>
        </w:rPr>
      </w:pPr>
    </w:p>
    <w:p w:rsidR="00066CC4" w:rsidRDefault="00066CC4">
      <w:pPr>
        <w:rPr>
          <w:rFonts w:ascii="宋体" w:eastAsia="宋体" w:hAnsi="宋体" w:cs="宋体"/>
          <w:b/>
          <w:bCs/>
          <w:sz w:val="30"/>
          <w:szCs w:val="30"/>
        </w:rPr>
      </w:pPr>
    </w:p>
    <w:p w:rsidR="00066CC4" w:rsidRDefault="00066CC4">
      <w:pPr>
        <w:rPr>
          <w:rFonts w:ascii="宋体" w:eastAsia="宋体" w:hAnsi="宋体" w:cs="宋体"/>
          <w:b/>
          <w:bCs/>
          <w:sz w:val="30"/>
          <w:szCs w:val="30"/>
        </w:rPr>
      </w:pPr>
    </w:p>
    <w:p w:rsidR="00066CC4" w:rsidRDefault="007F76F9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1</w:t>
      </w:r>
    </w:p>
    <w:p w:rsidR="00066CC4" w:rsidRDefault="007F76F9">
      <w:pPr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项目支出绩效报告表</w:t>
      </w:r>
      <w:r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995"/>
        <w:gridCol w:w="1104"/>
        <w:gridCol w:w="754"/>
        <w:gridCol w:w="915"/>
        <w:gridCol w:w="965"/>
        <w:gridCol w:w="352"/>
        <w:gridCol w:w="352"/>
        <w:gridCol w:w="605"/>
        <w:gridCol w:w="1401"/>
        <w:gridCol w:w="2561"/>
      </w:tblGrid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项目基本情况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  <w:r>
              <w:t xml:space="preserve"> 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社区</w:t>
            </w:r>
            <w:r>
              <w:rPr>
                <w:rFonts w:ascii="宋体" w:eastAsia="宋体" w:hAnsi="宋体"/>
                <w:sz w:val="24"/>
                <w:szCs w:val="24"/>
              </w:rPr>
              <w:t>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专项经费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  <w:r>
              <w:t xml:space="preserve"> </w:t>
            </w:r>
          </w:p>
        </w:tc>
        <w:tc>
          <w:tcPr>
            <w:tcW w:w="4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left"/>
            </w:pPr>
          </w:p>
        </w:tc>
      </w:tr>
      <w:tr w:rsidR="00066CC4">
        <w:trPr>
          <w:trHeight w:val="110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项目主要内容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hint="eastAsia"/>
              </w:rPr>
              <w:t>街道所属社区工作人员开支、工作经费等运行经费开支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项目实施单位</w:t>
            </w:r>
            <w:r>
              <w:t xml:space="preserve"> 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侯家塘街道办事处</w:t>
            </w:r>
            <w:r>
              <w:t xml:space="preserve"> 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项目主管部门</w:t>
            </w:r>
            <w:r>
              <w:t xml:space="preserve"> </w:t>
            </w:r>
          </w:p>
        </w:tc>
        <w:tc>
          <w:tcPr>
            <w:tcW w:w="4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侯家塘街道办事处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项目单位负责人</w:t>
            </w:r>
            <w:r>
              <w:t xml:space="preserve"> 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谢加友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  <w:r>
              <w:t xml:space="preserve"> </w:t>
            </w:r>
          </w:p>
        </w:tc>
        <w:tc>
          <w:tcPr>
            <w:tcW w:w="4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谢加友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项目属性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经常性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一次性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延续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资金总额及构成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hAnsi="宋体" w:hint="eastAsia"/>
                <w:color w:val="000000"/>
                <w:szCs w:val="21"/>
              </w:rPr>
              <w:t>总额</w:t>
            </w:r>
            <w:r>
              <w:rPr>
                <w:rFonts w:ascii="宋体" w:hAnsi="宋体" w:hint="eastAsia"/>
                <w:color w:val="000000"/>
                <w:szCs w:val="21"/>
              </w:rPr>
              <w:t>822</w:t>
            </w:r>
            <w:r>
              <w:rPr>
                <w:rFonts w:ascii="宋体" w:hAnsi="宋体" w:hint="eastAsia"/>
                <w:color w:val="000000"/>
                <w:szCs w:val="21"/>
              </w:rPr>
              <w:t>万元（区级专项补助</w:t>
            </w:r>
            <w:r>
              <w:rPr>
                <w:rFonts w:ascii="宋体" w:hAnsi="宋体" w:hint="eastAsia"/>
                <w:color w:val="000000"/>
                <w:szCs w:val="21"/>
              </w:rPr>
              <w:t>612</w:t>
            </w:r>
            <w:r>
              <w:rPr>
                <w:rFonts w:ascii="宋体" w:hAnsi="宋体" w:hint="eastAsia"/>
                <w:color w:val="000000"/>
                <w:szCs w:val="21"/>
              </w:rPr>
              <w:t>万元，街道本级</w:t>
            </w:r>
            <w:r>
              <w:rPr>
                <w:rFonts w:ascii="宋体" w:hAnsi="宋体" w:hint="eastAsia"/>
                <w:color w:val="000000"/>
                <w:szCs w:val="21"/>
              </w:rPr>
              <w:t>210</w:t>
            </w:r>
            <w:r>
              <w:rPr>
                <w:rFonts w:ascii="宋体" w:hAnsi="宋体" w:hint="eastAsia"/>
                <w:color w:val="000000"/>
                <w:szCs w:val="21"/>
              </w:rPr>
              <w:t>万元）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项目起止时间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月起至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月止</w:t>
            </w:r>
          </w:p>
        </w:tc>
      </w:tr>
      <w:tr w:rsidR="00066CC4">
        <w:trPr>
          <w:trHeight w:val="110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项目立项依据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ascii="宋体" w:hAnsi="宋体" w:hint="eastAsia"/>
                <w:color w:val="000000"/>
                <w:szCs w:val="21"/>
              </w:rPr>
              <w:t>保障社区各项工作正常运转</w:t>
            </w:r>
          </w:p>
        </w:tc>
      </w:tr>
      <w:tr w:rsidR="00066CC4">
        <w:trPr>
          <w:trHeight w:val="110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可行性研究报告结论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ind w:firstLineChars="900" w:firstLine="2880"/>
              <w:rPr>
                <w:rFonts w:ascii="宋体" w:eastAsia="宋体" w:hAnsi="宋体"/>
                <w:kern w:val="0"/>
                <w:sz w:val="32"/>
                <w:szCs w:val="32"/>
              </w:rPr>
            </w:pPr>
          </w:p>
          <w:p w:rsidR="00066CC4" w:rsidRDefault="007F76F9">
            <w:pPr>
              <w:rPr>
                <w:rFonts w:eastAsia="宋体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项目切实可行</w:t>
            </w:r>
          </w:p>
        </w:tc>
      </w:tr>
      <w:tr w:rsidR="00066CC4">
        <w:trPr>
          <w:trHeight w:val="110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专家评审论证结论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ind w:firstLineChars="900" w:firstLine="2880"/>
              <w:rPr>
                <w:rFonts w:ascii="宋体" w:eastAsia="宋体" w:hAnsi="宋体"/>
                <w:kern w:val="0"/>
                <w:sz w:val="32"/>
                <w:szCs w:val="32"/>
              </w:rPr>
            </w:pPr>
          </w:p>
          <w:p w:rsidR="00066CC4" w:rsidRDefault="007F76F9">
            <w:pPr>
              <w:ind w:firstLineChars="900" w:firstLine="2880"/>
              <w:rPr>
                <w:rFonts w:eastAsia="宋体"/>
                <w:kern w:val="0"/>
                <w:sz w:val="20"/>
              </w:rPr>
            </w:pPr>
            <w:r>
              <w:rPr>
                <w:rFonts w:ascii="宋体" w:eastAsia="宋体" w:hAnsi="宋体" w:hint="eastAsia"/>
                <w:kern w:val="0"/>
                <w:sz w:val="32"/>
                <w:szCs w:val="32"/>
              </w:rPr>
              <w:t>/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是否实施政府采购及采购金额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是否实行招投标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是否实行国库集中支付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是否实行资金报账制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是否实行工程代理制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是否实行投资评审制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是否实行合同管理制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是否实行财政双控账户管理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是否实行财政专户管理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资金安排使用情况（单位：万元）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资金来源</w:t>
            </w: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上年度结转金额</w:t>
            </w:r>
            <w:r>
              <w:t xml:space="preserve"> </w:t>
            </w:r>
          </w:p>
        </w:tc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本年度安排金额</w:t>
            </w:r>
            <w:r>
              <w:t xml:space="preserve"> </w:t>
            </w:r>
          </w:p>
        </w:tc>
        <w:tc>
          <w:tcPr>
            <w:tcW w:w="2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实际到位金额</w:t>
            </w:r>
            <w:r>
              <w:t xml:space="preserve">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实际支出</w:t>
            </w:r>
            <w:r>
              <w:t xml:space="preserve"> 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结余结转金额</w:t>
            </w:r>
            <w:r>
              <w:t xml:space="preserve"> </w:t>
            </w:r>
          </w:p>
        </w:tc>
      </w:tr>
      <w:tr w:rsidR="00066CC4">
        <w:trPr>
          <w:trHeight w:val="421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到位金额</w:t>
            </w:r>
            <w:r>
              <w:t xml:space="preserve">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到位率（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t xml:space="preserve"> 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到位时间</w:t>
            </w:r>
            <w:r>
              <w:t xml:space="preserve"> 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支出金额</w:t>
            </w:r>
            <w:r>
              <w:t xml:space="preserve">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支出率</w:t>
            </w:r>
            <w:r>
              <w:t xml:space="preserve"> </w:t>
            </w: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</w:tr>
      <w:tr w:rsidR="00066CC4">
        <w:trPr>
          <w:trHeight w:val="55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其他配套资金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区县财政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612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822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612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市级财政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省（以上）级财政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预算执行情况（单位：万元）</w:t>
            </w:r>
            <w:r>
              <w:t xml:space="preserve"> </w:t>
            </w:r>
          </w:p>
        </w:tc>
      </w:tr>
      <w:tr w:rsidR="00066CC4">
        <w:trPr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经济支出科目</w:t>
            </w:r>
            <w:r>
              <w:t xml:space="preserve"> 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预算支出内容</w:t>
            </w:r>
            <w:r>
              <w:t xml:space="preserve"> 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资金调整内容</w:t>
            </w:r>
            <w:r>
              <w:t xml:space="preserve"> </w:t>
            </w: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实际支出</w:t>
            </w:r>
            <w:r>
              <w:t xml:space="preserve"> 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资金支出及调整依据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基层政</w:t>
            </w:r>
            <w:r>
              <w:t>权和社区建设项目支出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社区</w:t>
            </w:r>
            <w:r>
              <w:t>工作人员工资福利及办公经费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822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资金指标明细</w:t>
            </w:r>
            <w:r>
              <w:rPr>
                <w:b/>
              </w:rPr>
              <w:t xml:space="preserve"> </w:t>
            </w:r>
          </w:p>
        </w:tc>
      </w:tr>
      <w:tr w:rsidR="00066CC4">
        <w:trPr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下达时间</w:t>
            </w:r>
            <w:r>
              <w:t xml:space="preserve"> 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下达金额（万元）</w:t>
            </w:r>
            <w:r>
              <w:t xml:space="preserve"> 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指标文号</w:t>
            </w:r>
            <w:r>
              <w:t xml:space="preserve"> </w:t>
            </w: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万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万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</w:pPr>
          </w:p>
        </w:tc>
        <w:tc>
          <w:tcPr>
            <w:tcW w:w="4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项目组织实施管理情况</w:t>
            </w:r>
            <w:r>
              <w:t xml:space="preserve"> 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管理制度和办法名称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ind w:firstLineChars="1300" w:firstLine="2730"/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具体工作措施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进一步加强城市社区建设，完善基层群众自治制度，增强城市社区治理和服务能力，维护基层社会稳定，加大社区工作经费投入，确保社区干部工资补贴、社区办公服务等城市社区建设所需经费。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项目调整内容及报批程序和手续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                     </w:t>
            </w: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ind w:firstLineChars="1400" w:firstLine="2940"/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项目完工验收情况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ind w:firstLineChars="1000" w:firstLine="2100"/>
              <w:jc w:val="left"/>
            </w:pPr>
            <w:r>
              <w:rPr>
                <w:rFonts w:hint="eastAsia"/>
              </w:rPr>
              <w:t>合格完成。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绩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效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况</w:t>
            </w:r>
            <w: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项目实际产出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项目实际效益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ind w:firstLineChars="1500" w:firstLine="3150"/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问题与分析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整改落实情况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066CC4">
            <w:pPr>
              <w:jc w:val="left"/>
            </w:pPr>
          </w:p>
          <w:p w:rsidR="00066CC4" w:rsidRDefault="007F76F9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绩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效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价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上年度同类项目的专家评价意见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上年度是否有同类项目：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7F76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是否引入第三方评价机构：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 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066CC4" w:rsidRDefault="007F76F9">
            <w:pPr>
              <w:jc w:val="left"/>
            </w:pPr>
            <w:r>
              <w:t>机构名称：</w:t>
            </w:r>
            <w:r>
              <w:t xml:space="preserve"> 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上年度评价后改进措施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7F76F9">
            <w:pPr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 xml:space="preserve">                                              </w:t>
            </w:r>
            <w:r>
              <w:rPr>
                <w:rFonts w:eastAsia="宋体" w:hint="eastAsia"/>
                <w:kern w:val="0"/>
                <w:sz w:val="20"/>
              </w:rPr>
              <w:t>无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人员安排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7F76F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严格按照省、市有关文件精神，进一步完善制度，规范审批程序，手续完备，档案管理规范。在项目资金发放工作中，建立了符合财务会计制度的社区工作经费资金管理制度，专项管理、拨付规范、发放及时</w:t>
            </w:r>
          </w:p>
          <w:p w:rsidR="00066CC4" w:rsidRDefault="00066CC4">
            <w:pPr>
              <w:rPr>
                <w:rFonts w:eastAsia="宋体"/>
                <w:kern w:val="0"/>
                <w:sz w:val="24"/>
                <w:szCs w:val="24"/>
              </w:rPr>
            </w:pPr>
          </w:p>
          <w:p w:rsidR="00066CC4" w:rsidRDefault="007F76F9">
            <w:pPr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 w:rsidR="00066CC4">
        <w:trPr>
          <w:trHeight w:val="1830"/>
          <w:jc w:val="center"/>
        </w:trPr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widowControl/>
              <w:jc w:val="left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实施步骤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  <w:p w:rsidR="00066CC4" w:rsidRDefault="007F76F9">
            <w:pPr>
              <w:ind w:firstLineChars="1200" w:firstLine="2400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无</w:t>
            </w: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存在问题与建议</w:t>
            </w:r>
            <w:r>
              <w:t xml:space="preserve"> </w:t>
            </w:r>
          </w:p>
        </w:tc>
      </w:tr>
      <w:tr w:rsidR="00066CC4">
        <w:trPr>
          <w:trHeight w:val="548"/>
          <w:jc w:val="center"/>
        </w:trPr>
        <w:tc>
          <w:tcPr>
            <w:tcW w:w="4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t xml:space="preserve"> </w:t>
            </w:r>
          </w:p>
        </w:tc>
        <w:tc>
          <w:tcPr>
            <w:tcW w:w="52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建议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47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2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066CC4">
        <w:trPr>
          <w:trHeight w:val="550"/>
          <w:jc w:val="center"/>
        </w:trPr>
        <w:tc>
          <w:tcPr>
            <w:tcW w:w="100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left"/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绩效评价自评表</w:t>
            </w:r>
            <w:r>
              <w:t xml:space="preserve"> </w:t>
            </w:r>
          </w:p>
        </w:tc>
      </w:tr>
      <w:tr w:rsidR="00066CC4">
        <w:trPr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指标名称</w:t>
            </w:r>
            <w: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权重（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t xml:space="preserve"> 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目标值</w:t>
            </w:r>
            <w:r>
              <w:t xml:space="preserve"> 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自评得分</w:t>
            </w:r>
            <w:r>
              <w:t xml:space="preserve"> 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指标说明</w:t>
            </w:r>
            <w:r>
              <w:t xml:space="preserve"> 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一、投入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（一）项目立项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066CC4" w:rsidRDefault="00066CC4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、项目立项规范性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项目的申请、设立过程是否符合相关要求，用以反映和考核项目立项的规范情况。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100" w:firstLine="240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、绩效目标合理性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项目所设定的绩效目标是否依据充分，是否符合客观实际，用以反映和考核项目绩效目标与项目实施的相符情况。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、绩效指标明确性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依据绩效目标设定的绩效指标是否清晰、细化、可衡量等，用以反映和考核项目绩效目标的明细化情况。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（二）资金落实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8.00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8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、资金到位率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实际到位资金与计划投入资金的比率，用以反映和考核资金落实情况对项目实施的总体保障程度。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200" w:firstLine="480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、到位及时率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及时到位资金与应到位资金的比率，用以反映和考核项目资金落实的及时性程度。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二、过程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30.00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30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（一）业务管理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12.00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12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、管理制度健全性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项目实施单位的业务管理制度是否健全，用以反映和考核业务管理制度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对项目顺利实施的保障情况。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100" w:firstLine="240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、制度执行有效性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项目实施是否符合相关业务管理规定，用以反映和考核业务管理制度的有效执行情况。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、项目质量可控性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项目实施单位是否为达到项目质量要求而采取了必需的措施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用以反映和考核项目实施单位对项目质量的控制情况。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（二）财务管理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18.00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rPr>
                <w:rFonts w:eastAsia="宋体"/>
                <w:kern w:val="0"/>
                <w:sz w:val="20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18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、管理制度健全性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项目实施单位的财务制度是否健全，用以反映和考核财务管理制度对资金规范、安全运行的保障情况。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100" w:firstLine="240"/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、资金使用合规性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10.00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项目资金使用是否符合相关的财务管理制度规定，用以反映和考核项目资金的规范运行情况。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、财务监控有效性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项目实施单位是否为保障资金的安全、规范运行而采取了必要的监控措施，用以反映和考核项目实施单位对资金运行的控制情况。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个性指标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50.00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200" w:firstLine="480"/>
              <w:rPr>
                <w:rFonts w:eastAsia="宋体"/>
                <w:kern w:val="0"/>
                <w:sz w:val="2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50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主要针对项目实际产生的经济效益、社会效益、生态效益、可持续发展及社会满意程度并结合绩效目标设立情况有选择地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进行设置，并将其细化为相应的个性化指标。</w:t>
            </w:r>
          </w:p>
        </w:tc>
      </w:tr>
      <w:tr w:rsidR="00066CC4">
        <w:trPr>
          <w:trHeight w:val="550"/>
          <w:jc w:val="center"/>
        </w:trPr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rPr>
                <w:rFonts w:eastAsia="宋体"/>
                <w:kern w:val="0"/>
                <w:sz w:val="20"/>
              </w:rPr>
            </w:pPr>
            <w:r>
              <w:rPr>
                <w:rFonts w:eastAsia="宋体" w:hint="eastAsia"/>
                <w:kern w:val="0"/>
                <w:sz w:val="20"/>
              </w:rPr>
              <w:t>100</w:t>
            </w:r>
          </w:p>
        </w:tc>
        <w:tc>
          <w:tcPr>
            <w:tcW w:w="3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CC4">
        <w:trPr>
          <w:trHeight w:val="550"/>
          <w:jc w:val="center"/>
        </w:trPr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核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t xml:space="preserve"> </w:t>
            </w:r>
          </w:p>
          <w:p w:rsidR="00066CC4" w:rsidRDefault="007F76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  <w:r>
              <w:t xml:space="preserve"> </w:t>
            </w:r>
          </w:p>
        </w:tc>
        <w:tc>
          <w:tcPr>
            <w:tcW w:w="79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7F76F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主管部门（盖章）：</w:t>
            </w:r>
            <w:r>
              <w:t xml:space="preserve"> </w:t>
            </w: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66CC4" w:rsidRDefault="00066CC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66CC4" w:rsidRDefault="00066CC4">
      <w:pPr>
        <w:rPr>
          <w:rFonts w:ascii="仿宋_GB2312" w:eastAsia="仿宋_GB2312"/>
          <w:color w:val="000000"/>
          <w:sz w:val="30"/>
          <w:szCs w:val="30"/>
        </w:rPr>
      </w:pPr>
    </w:p>
    <w:p w:rsidR="00066CC4" w:rsidRDefault="00066CC4">
      <w:pPr>
        <w:rPr>
          <w:rFonts w:ascii="仿宋_GB2312" w:eastAsia="仿宋_GB2312"/>
          <w:color w:val="000000"/>
          <w:sz w:val="30"/>
          <w:szCs w:val="30"/>
        </w:rPr>
      </w:pPr>
    </w:p>
    <w:p w:rsidR="00066CC4" w:rsidRDefault="007F76F9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</w:t>
      </w:r>
    </w:p>
    <w:p w:rsidR="00066CC4" w:rsidRDefault="007F76F9">
      <w:pPr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44"/>
          <w:szCs w:val="44"/>
        </w:rPr>
        <w:lastRenderedPageBreak/>
        <w:t>财政支出绩效报告</w:t>
      </w:r>
    </w:p>
    <w:p w:rsidR="00066CC4" w:rsidRDefault="007F76F9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一、项目概况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侯家塘街道坐落在雨花区西北部，地处长沙城区“心脏”位置，东起韶山北路，南至劳动西路，西到芙蓉中路，北抵人民中路，总面积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1.78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平方公里，辖区共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十二个社区，分别是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电院社区、水院社区、广济桥社区、湘农桥社区、枫树岸社区、梓园社区、廖家湾社区、麻园湾社区、活力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社区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、韶山路社区、泉塘社区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项目年度预算绩效目标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以服务群众、做群众工作为主要任务，以改革创新为动力，坚持基层导向，围绕服务基层、重视基层、关心基层、支持基层、巩固基层、夯实基层，实现基层组织服务意识显著增强、服务功能显著强化、服务作风显著改进、服务效能显著提升的目标，为雨花区经济社会健康发展提供坚强的组织保证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项目资金用于社区工作经费及人员经费。</w:t>
      </w:r>
    </w:p>
    <w:p w:rsidR="00066CC4" w:rsidRDefault="007F76F9">
      <w:pPr>
        <w:widowControl/>
        <w:spacing w:line="560" w:lineRule="exact"/>
        <w:ind w:firstLineChars="100" w:firstLine="301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项目资金（包括财政资金、自筹资金等）安排落实、总投入等情况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分析。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21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年基层政权和社区建设专项资金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822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万，资金全部按时到位，全部用于基层政权和社区建设支出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822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万。</w:t>
      </w:r>
    </w:p>
    <w:p w:rsidR="00066CC4" w:rsidRDefault="007F76F9">
      <w:pPr>
        <w:widowControl/>
        <w:spacing w:line="560" w:lineRule="exact"/>
        <w:ind w:firstLineChars="100" w:firstLine="301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三、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项目资金（主要是指财政资金）实际使用情况分析。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在制度建设方面，严格按照上级有关文件要求，严格资金管理，切实保障社区工作资金的安全、规范；在资金拨付和发放方面，严格审批程序，确保手续完备。社区工作经费专款专用，专户管理。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21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年街道本级预算社区工作经费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822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万元，资金全部按时到位，全部用于社区建设工作经费。</w:t>
      </w:r>
    </w:p>
    <w:p w:rsidR="00066CC4" w:rsidRDefault="007F76F9">
      <w:pPr>
        <w:widowControl/>
        <w:numPr>
          <w:ilvl w:val="0"/>
          <w:numId w:val="1"/>
        </w:numPr>
        <w:spacing w:line="560" w:lineRule="exact"/>
        <w:ind w:firstLineChars="200" w:firstLine="602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项目资金管理情况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为加强资金使用管理，制定项目资金使用管理制度，经费支出执行按财务制度管理，对项目支出上进行控制。按规定，会计资料做到完整真实，严格执行制度开支范围及开支标准，加强审核，防止弄虚作假，根据真实、有效的凭据办理报销手续，确保资金使用安全、专款专用。</w:t>
      </w:r>
    </w:p>
    <w:p w:rsidR="00066CC4" w:rsidRDefault="007F76F9">
      <w:pPr>
        <w:spacing w:line="560" w:lineRule="exact"/>
        <w:ind w:firstLineChars="200" w:firstLine="602"/>
        <w:outlineLvl w:val="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五、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项目组织实施情况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按照“规范操作，公开透明、方便申请、及时保障”的要求，坚持做好项目的台账制度。使用单位负责项目的统计、使用和监督；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公共服务办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负责项目的审核，向财政所提供该项目支出的相关资料，出具支出核对票据；财政所负责审核项目支出额度，确认其是否有足够的资金保障项目。每年对项目支出情况进行统计。</w:t>
      </w:r>
    </w:p>
    <w:p w:rsidR="00066CC4" w:rsidRDefault="007F76F9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六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、项目绩效情况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（一）项目绩效目标完成情况分析。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项目绩效目标全部完成，总体评价优秀。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（二）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项目经济性分析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项目在实施过程中，严格控制经费支出，实际总支出未超过预算。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（三）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项目效率性分析</w:t>
      </w:r>
    </w:p>
    <w:p w:rsidR="00066CC4" w:rsidRDefault="007F76F9">
      <w:pPr>
        <w:spacing w:line="56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  <w:lang/>
        </w:rPr>
      </w:pPr>
      <w:r>
        <w:rPr>
          <w:rFonts w:eastAsia="仿宋_GB2312" w:hint="eastAsia"/>
          <w:bCs/>
          <w:color w:val="000000"/>
          <w:kern w:val="0"/>
          <w:sz w:val="32"/>
          <w:szCs w:val="32"/>
          <w:lang/>
        </w:rPr>
        <w:t>1</w:t>
      </w:r>
      <w:r>
        <w:rPr>
          <w:rFonts w:eastAsia="仿宋_GB2312" w:hint="eastAsia"/>
          <w:bCs/>
          <w:color w:val="000000"/>
          <w:kern w:val="0"/>
          <w:sz w:val="32"/>
          <w:szCs w:val="32"/>
          <w:lang/>
        </w:rPr>
        <w:t>、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依托地铁商业、区位优势，盘活商圈经济，</w:t>
      </w:r>
      <w:r>
        <w:rPr>
          <w:rFonts w:eastAsia="仿宋_GB2312"/>
          <w:kern w:val="0"/>
          <w:sz w:val="32"/>
          <w:szCs w:val="32"/>
        </w:rPr>
        <w:t>全面贯彻新发展理念，坚定不移推动经济高质量发展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金色家族楼宇引进重点文化创意项目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——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盘小宝亲子中心，成为亲子网红打卡点。引进大家人寿保险股份有限公司湖南分公司、湖南经研电力设计有限公司等优质税源企业，省地质院二级机构等单位先后入驻嘉熙中心楼宇。完成梓园路微改造，畅通省儿童医院交通微循环。坚持留、改、拆、补并举，稳步推进麻园湾社区、原核工业地质局宿舍等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7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个老旧小区改造，拆除历史违章建筑约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1500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平米，实现老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lastRenderedPageBreak/>
        <w:t>旧小区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旧貌换新颜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。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18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个老旧小区加装电梯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37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台，超额完成年度目标。提质改造闲置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6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年的市十五中地下停车场，新增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298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个停车位，极大缓解梓园路行车难问题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，互让共享的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新六尺巷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成为长沙文明典范。韶山路社区连续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8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年举办邻里节活动，成为彰显社区特色、凝聚居民力量、倡导文明风尚的一张名片。湘农桥社区接受国家城调队</w:t>
      </w:r>
      <w:hyperlink r:id="rId5" w:tgtFrame="https://www.baidu.com/_blank" w:history="1">
        <w:r>
          <w:rPr>
            <w:rFonts w:eastAsia="仿宋_GB2312"/>
            <w:bCs/>
            <w:color w:val="000000"/>
            <w:kern w:val="0"/>
            <w:sz w:val="32"/>
            <w:szCs w:val="32"/>
            <w:lang/>
          </w:rPr>
          <w:t>全国文明城市测评入户问卷调查</w:t>
        </w:r>
      </w:hyperlink>
      <w:r>
        <w:rPr>
          <w:rFonts w:eastAsia="仿宋_GB2312"/>
          <w:bCs/>
          <w:color w:val="000000"/>
          <w:kern w:val="0"/>
          <w:sz w:val="32"/>
          <w:szCs w:val="32"/>
          <w:lang/>
        </w:rPr>
        <w:t>。梓园社区廖永展推选为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长沙好人，身边雷锋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，侯家塘社区李玉梅获评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雨花好人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。廖家湾社区成功创建市一类</w:t>
      </w:r>
      <w:r>
        <w:rPr>
          <w:rFonts w:eastAsia="仿宋_GB2312" w:hint="eastAsia"/>
          <w:bCs/>
          <w:color w:val="000000"/>
          <w:kern w:val="0"/>
          <w:sz w:val="32"/>
          <w:szCs w:val="32"/>
          <w:lang/>
        </w:rPr>
        <w:t>涉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台教育基地，与台湾基隆开展线上活动，促进两岸文化交流，继续保持全国文明单位称号（雨花区唯一）；侯家塘街道及韶山路、水院、电院、梓园、侯家塘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5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个社区继续保持市级文明（标兵）单位、文明社区称号，广济桥社区获评湖南省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2021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年最美志愿服务社区，街域文明和谐氛围日益浓厚。</w:t>
      </w:r>
    </w:p>
    <w:p w:rsidR="00066CC4" w:rsidRDefault="007F76F9" w:rsidP="007F76F9">
      <w:pPr>
        <w:widowControl/>
        <w:spacing w:line="560" w:lineRule="exact"/>
        <w:ind w:firstLineChars="200" w:firstLine="644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eastAsia="仿宋_GB2312" w:hint="eastAsia"/>
          <w:bCs/>
          <w:color w:val="000000"/>
          <w:spacing w:val="2"/>
          <w:kern w:val="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pacing w:val="2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积极开展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为民办实事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实践活动</w:t>
      </w:r>
      <w:r>
        <w:rPr>
          <w:rFonts w:eastAsia="仿宋_GB2312"/>
          <w:color w:val="000000"/>
          <w:kern w:val="0"/>
          <w:sz w:val="32"/>
          <w:szCs w:val="32"/>
          <w:lang/>
        </w:rPr>
        <w:t>，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推动化解省包装公司、湘图公司宿舍、水院家园等房屋产权历史遗留问题。推动学前教育优质普惠，侯家塘幼儿园、长塘里幼儿园顺利完成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民转公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，全力落实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双减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政策，重拳整治校外培训机构违规办学行为，长沙市十一中、长塘里小学分别接受中央改革办和长沙基础教育调研。提质升级枫树岸社区家属新村居家养老服务中心，广济桥、电院、侯家塘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3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家社区居家养老服务站和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家街道综合养老服务中心建成运营。</w:t>
      </w:r>
      <w:r>
        <w:rPr>
          <w:rFonts w:eastAsia="仿宋_GB2312"/>
          <w:bCs/>
          <w:color w:val="000000"/>
          <w:kern w:val="0"/>
          <w:sz w:val="32"/>
          <w:szCs w:val="32"/>
          <w:lang w:val="zh-CN"/>
        </w:rPr>
        <w:t>韶山路、广济桥社区老年幸福餐桌项目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提质扩面</w:t>
      </w:r>
      <w:r>
        <w:rPr>
          <w:rFonts w:eastAsia="仿宋_GB2312"/>
          <w:bCs/>
          <w:color w:val="000000"/>
          <w:kern w:val="0"/>
          <w:sz w:val="32"/>
          <w:szCs w:val="32"/>
          <w:lang w:val="zh-CN"/>
        </w:rPr>
        <w:t>，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电院、泉塘、湘农桥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3</w:t>
      </w:r>
      <w:r>
        <w:rPr>
          <w:rFonts w:eastAsia="仿宋_GB2312"/>
          <w:bCs/>
          <w:color w:val="000000"/>
          <w:kern w:val="0"/>
          <w:sz w:val="32"/>
          <w:szCs w:val="32"/>
          <w:lang/>
        </w:rPr>
        <w:t>个智慧社区健身中心即将投入使用</w:t>
      </w:r>
      <w:r>
        <w:rPr>
          <w:rFonts w:eastAsia="仿宋_GB2312"/>
          <w:bCs/>
          <w:color w:val="000000"/>
          <w:kern w:val="0"/>
          <w:sz w:val="32"/>
          <w:szCs w:val="32"/>
          <w:lang w:val="zh-CN"/>
        </w:rPr>
        <w:t>。</w:t>
      </w:r>
    </w:p>
    <w:p w:rsidR="00066CC4" w:rsidRDefault="007F76F9">
      <w:pPr>
        <w:spacing w:line="560" w:lineRule="exact"/>
        <w:ind w:firstLineChars="200" w:firstLine="602"/>
        <w:outlineLvl w:val="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七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主要经验及做法、存在问题和建议。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规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范社区财务管理。从加强和规范社区财务管理入手，加大对社区财务的监管力度，健全财务公开制度和民主理财制度，社区财务收支情况做到公开、透明，强化社区财务管理的规范化、制度化。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社区工作经费要优先保障社区工作人员工资报酬、社区办公经费和其他必要的支出，要严格控制非生产性开支，切实提高社区组织运转经费使用效率。</w:t>
      </w:r>
    </w:p>
    <w:p w:rsidR="00066CC4" w:rsidRDefault="007F76F9">
      <w:pPr>
        <w:spacing w:line="560" w:lineRule="exact"/>
        <w:ind w:left="630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八、</w:t>
      </w:r>
      <w:bookmarkStart w:id="0" w:name="_GoBack"/>
      <w:bookmarkEnd w:id="0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其他需要说明的问题</w:t>
      </w:r>
    </w:p>
    <w:p w:rsidR="00066CC4" w:rsidRDefault="007F76F9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无。</w:t>
      </w:r>
    </w:p>
    <w:sectPr w:rsidR="00066CC4" w:rsidSect="00066CC4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 体">
    <w:altName w:val="宋体"/>
    <w:charset w:val="86"/>
    <w:family w:val="auto"/>
    <w:pitch w:val="default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B22E7"/>
    <w:multiLevelType w:val="singleLevel"/>
    <w:tmpl w:val="892B22E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420"/>
  <w:noPunctuationKerning/>
  <w:characterSpacingControl w:val="compressPunctuation"/>
  <w:compat>
    <w:doNotExpandShiftReturn/>
    <w:useFELayout/>
  </w:compat>
  <w:docVars>
    <w:docVar w:name="commondata" w:val="eyJoZGlkIjoiOTQxNzhlYTZjNDc2MDA3ZGEyYmNlYzY2ZjAwNzIzN2EifQ=="/>
  </w:docVars>
  <w:rsids>
    <w:rsidRoot w:val="007D0A3A"/>
    <w:rsid w:val="0003659C"/>
    <w:rsid w:val="00066CC4"/>
    <w:rsid w:val="00085087"/>
    <w:rsid w:val="000E178F"/>
    <w:rsid w:val="00104365"/>
    <w:rsid w:val="00124C6D"/>
    <w:rsid w:val="001540C7"/>
    <w:rsid w:val="001A6B3F"/>
    <w:rsid w:val="001C39B4"/>
    <w:rsid w:val="002110D8"/>
    <w:rsid w:val="002158BB"/>
    <w:rsid w:val="002279D4"/>
    <w:rsid w:val="00234645"/>
    <w:rsid w:val="0025349B"/>
    <w:rsid w:val="00265E04"/>
    <w:rsid w:val="00286F3F"/>
    <w:rsid w:val="00294FFF"/>
    <w:rsid w:val="002A2981"/>
    <w:rsid w:val="002F2578"/>
    <w:rsid w:val="00311DB4"/>
    <w:rsid w:val="00321F43"/>
    <w:rsid w:val="003540E8"/>
    <w:rsid w:val="003C75B8"/>
    <w:rsid w:val="004206A7"/>
    <w:rsid w:val="004A644B"/>
    <w:rsid w:val="004C5550"/>
    <w:rsid w:val="004E4E60"/>
    <w:rsid w:val="004F3EEF"/>
    <w:rsid w:val="0050304C"/>
    <w:rsid w:val="005125D9"/>
    <w:rsid w:val="00545D54"/>
    <w:rsid w:val="0055664A"/>
    <w:rsid w:val="005667AC"/>
    <w:rsid w:val="00632D51"/>
    <w:rsid w:val="00662202"/>
    <w:rsid w:val="006849DF"/>
    <w:rsid w:val="006C5AD1"/>
    <w:rsid w:val="006C5DC1"/>
    <w:rsid w:val="006D091E"/>
    <w:rsid w:val="00710B9A"/>
    <w:rsid w:val="0077106B"/>
    <w:rsid w:val="0078592E"/>
    <w:rsid w:val="007A386D"/>
    <w:rsid w:val="007A7D26"/>
    <w:rsid w:val="007B1DF8"/>
    <w:rsid w:val="007D0A3A"/>
    <w:rsid w:val="007D475E"/>
    <w:rsid w:val="007F3A4D"/>
    <w:rsid w:val="007F76F9"/>
    <w:rsid w:val="0086478D"/>
    <w:rsid w:val="008945A4"/>
    <w:rsid w:val="008E068B"/>
    <w:rsid w:val="00954653"/>
    <w:rsid w:val="009576A4"/>
    <w:rsid w:val="009628DE"/>
    <w:rsid w:val="009C05EE"/>
    <w:rsid w:val="009E30EF"/>
    <w:rsid w:val="00A13B0B"/>
    <w:rsid w:val="00A60B41"/>
    <w:rsid w:val="00AC0025"/>
    <w:rsid w:val="00B15B8D"/>
    <w:rsid w:val="00B442A5"/>
    <w:rsid w:val="00C125A4"/>
    <w:rsid w:val="00C42D4A"/>
    <w:rsid w:val="00C4441F"/>
    <w:rsid w:val="00D203EB"/>
    <w:rsid w:val="00E1544B"/>
    <w:rsid w:val="00E6264C"/>
    <w:rsid w:val="00E9540C"/>
    <w:rsid w:val="00EF11C3"/>
    <w:rsid w:val="00F2541C"/>
    <w:rsid w:val="00F42FEC"/>
    <w:rsid w:val="00F60B02"/>
    <w:rsid w:val="00F6626E"/>
    <w:rsid w:val="00FD167A"/>
    <w:rsid w:val="015A22A2"/>
    <w:rsid w:val="016D2A04"/>
    <w:rsid w:val="02E2000E"/>
    <w:rsid w:val="04DC7CA5"/>
    <w:rsid w:val="060E41F5"/>
    <w:rsid w:val="06F666AB"/>
    <w:rsid w:val="0C6A2B1D"/>
    <w:rsid w:val="0DD72D80"/>
    <w:rsid w:val="11CF3E05"/>
    <w:rsid w:val="15795274"/>
    <w:rsid w:val="15DA643F"/>
    <w:rsid w:val="18781BAA"/>
    <w:rsid w:val="19F10087"/>
    <w:rsid w:val="1ADB39A1"/>
    <w:rsid w:val="1D51237B"/>
    <w:rsid w:val="1E351A1C"/>
    <w:rsid w:val="223E583F"/>
    <w:rsid w:val="2299757A"/>
    <w:rsid w:val="229B7AE0"/>
    <w:rsid w:val="24B23A68"/>
    <w:rsid w:val="261F4529"/>
    <w:rsid w:val="29F46F37"/>
    <w:rsid w:val="2C463CDB"/>
    <w:rsid w:val="2E9D2151"/>
    <w:rsid w:val="2F7E645D"/>
    <w:rsid w:val="3175007F"/>
    <w:rsid w:val="35096A93"/>
    <w:rsid w:val="35565CA2"/>
    <w:rsid w:val="359669A9"/>
    <w:rsid w:val="359F1DB9"/>
    <w:rsid w:val="37CC5896"/>
    <w:rsid w:val="399E419A"/>
    <w:rsid w:val="3BCE7E14"/>
    <w:rsid w:val="3D8F36CD"/>
    <w:rsid w:val="3E1A709E"/>
    <w:rsid w:val="3E374713"/>
    <w:rsid w:val="3FF33D15"/>
    <w:rsid w:val="416C6F06"/>
    <w:rsid w:val="41FA6185"/>
    <w:rsid w:val="4423351E"/>
    <w:rsid w:val="46EB30A8"/>
    <w:rsid w:val="4D275B22"/>
    <w:rsid w:val="4D8B78C8"/>
    <w:rsid w:val="52855702"/>
    <w:rsid w:val="545E7FE9"/>
    <w:rsid w:val="56927C19"/>
    <w:rsid w:val="5CF520E9"/>
    <w:rsid w:val="62B36DCD"/>
    <w:rsid w:val="64D638C4"/>
    <w:rsid w:val="68482156"/>
    <w:rsid w:val="69FD15FB"/>
    <w:rsid w:val="6A375591"/>
    <w:rsid w:val="6ADE7A3F"/>
    <w:rsid w:val="6C0F36C2"/>
    <w:rsid w:val="6E85534E"/>
    <w:rsid w:val="6E901C55"/>
    <w:rsid w:val="700267DC"/>
    <w:rsid w:val="73292360"/>
    <w:rsid w:val="737D7E0D"/>
    <w:rsid w:val="75742AE4"/>
    <w:rsid w:val="759F0E48"/>
    <w:rsid w:val="75F43CC6"/>
    <w:rsid w:val="785B1BA7"/>
    <w:rsid w:val="796D32C0"/>
    <w:rsid w:val="79DE79CC"/>
    <w:rsid w:val="7AB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footer" w:semiHidden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66CC4"/>
    <w:pPr>
      <w:widowControl w:val="0"/>
      <w:jc w:val="both"/>
    </w:pPr>
    <w:rPr>
      <w:rFonts w:eastAsia="宋 体"/>
      <w:kern w:val="2"/>
      <w:sz w:val="21"/>
    </w:rPr>
  </w:style>
  <w:style w:type="paragraph" w:styleId="20">
    <w:name w:val="heading 2"/>
    <w:basedOn w:val="a"/>
    <w:next w:val="a"/>
    <w:unhideWhenUsed/>
    <w:qFormat/>
    <w:rsid w:val="00066CC4"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066CC4"/>
    <w:pPr>
      <w:ind w:firstLineChars="200" w:firstLine="420"/>
    </w:pPr>
  </w:style>
  <w:style w:type="paragraph" w:styleId="a3">
    <w:name w:val="Body Text Indent"/>
    <w:basedOn w:val="a"/>
    <w:uiPriority w:val="99"/>
    <w:qFormat/>
    <w:rsid w:val="00066CC4"/>
    <w:pPr>
      <w:spacing w:after="120"/>
      <w:ind w:leftChars="200" w:left="420"/>
    </w:pPr>
  </w:style>
  <w:style w:type="paragraph" w:styleId="a4">
    <w:name w:val="footer"/>
    <w:basedOn w:val="a"/>
    <w:semiHidden/>
    <w:rsid w:val="0006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rsid w:val="00066C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066CC4"/>
    <w:pPr>
      <w:jc w:val="left"/>
    </w:pPr>
    <w:rPr>
      <w:kern w:val="0"/>
      <w:sz w:val="24"/>
    </w:rPr>
  </w:style>
  <w:style w:type="character" w:styleId="a7">
    <w:name w:val="Strong"/>
    <w:qFormat/>
    <w:rsid w:val="00066CC4"/>
    <w:rPr>
      <w:b/>
    </w:rPr>
  </w:style>
  <w:style w:type="character" w:styleId="a8">
    <w:name w:val="FollowedHyperlink"/>
    <w:rsid w:val="00066CC4"/>
    <w:rPr>
      <w:color w:val="800080"/>
      <w:u w:val="none"/>
    </w:rPr>
  </w:style>
  <w:style w:type="character" w:styleId="a9">
    <w:name w:val="Hyperlink"/>
    <w:rsid w:val="00066CC4"/>
    <w:rPr>
      <w:color w:val="0000FF"/>
      <w:u w:val="none"/>
    </w:rPr>
  </w:style>
  <w:style w:type="character" w:customStyle="1" w:styleId="voice-voicer-speakerprocesser-position-action-icon">
    <w:name w:val="voice-voicer-speakerprocesser-position-action-icon"/>
    <w:basedOn w:val="a0"/>
    <w:rsid w:val="00066CC4"/>
  </w:style>
  <w:style w:type="character" w:customStyle="1" w:styleId="Char">
    <w:name w:val="页脚 Char"/>
    <w:semiHidden/>
    <w:locked/>
    <w:rsid w:val="00066CC4"/>
    <w:rPr>
      <w:kern w:val="2"/>
      <w:sz w:val="18"/>
      <w:szCs w:val="18"/>
    </w:rPr>
  </w:style>
  <w:style w:type="character" w:customStyle="1" w:styleId="Char0">
    <w:name w:val="页眉 Char"/>
    <w:semiHidden/>
    <w:locked/>
    <w:rsid w:val="00066CC4"/>
    <w:rPr>
      <w:kern w:val="2"/>
      <w:sz w:val="18"/>
      <w:szCs w:val="18"/>
    </w:rPr>
  </w:style>
  <w:style w:type="character" w:customStyle="1" w:styleId="hover25">
    <w:name w:val="hover25"/>
    <w:rsid w:val="00066CC4"/>
    <w:rPr>
      <w:u w:val="single"/>
    </w:rPr>
  </w:style>
  <w:style w:type="paragraph" w:customStyle="1" w:styleId="p0">
    <w:name w:val="p0"/>
    <w:basedOn w:val="a"/>
    <w:rsid w:val="00066CC4"/>
    <w:pPr>
      <w:widowControl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4a288wEjewrspGa1HtxyEA1vhc7hyrnQI6o_mfzbreqWPFh64ufWdSoFLNq1pARTtb0LEgc9Lr8A91Gf9goR84bP3zA5NjCcCW6iRGXPX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774</Words>
  <Characters>4413</Characters>
  <Application>Microsoft Office Word</Application>
  <DocSecurity>0</DocSecurity>
  <Lines>36</Lines>
  <Paragraphs>10</Paragraphs>
  <ScaleCrop>false</ScaleCrop>
  <Company>Sky123.Org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财政支出绩效报告表 </dc:title>
  <dc:creator>Administrator</dc:creator>
  <cp:lastModifiedBy>Administrator</cp:lastModifiedBy>
  <cp:revision>5</cp:revision>
  <cp:lastPrinted>2019-04-17T03:40:00Z</cp:lastPrinted>
  <dcterms:created xsi:type="dcterms:W3CDTF">2020-04-13T08:16:00Z</dcterms:created>
  <dcterms:modified xsi:type="dcterms:W3CDTF">2022-10-19T03:21:00Z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EC36BA1747AD4238A1D5160C1E2B3393</vt:lpwstr>
  </property>
</Properties>
</file>