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w:t>
      </w:r>
      <w:bookmarkStart w:id="0" w:name="_GoBack"/>
      <w:bookmarkEnd w:id="0"/>
      <w:r>
        <w:rPr>
          <w:rFonts w:hint="default" w:ascii="Times New Roman" w:hAnsi="Times New Roman" w:eastAsia="方正小标宋简体" w:cs="Times New Roman"/>
          <w:kern w:val="0"/>
          <w:sz w:val="44"/>
          <w:szCs w:val="44"/>
          <w:lang w:eastAsia="zh-CN"/>
        </w:rPr>
        <w:t>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圭塘街道办事处</w:t>
      </w:r>
    </w:p>
    <w:tbl>
      <w:tblPr>
        <w:tblStyle w:val="3"/>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53</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53</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100%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6.5</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5.9</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rPr>
            </w:pPr>
            <w:r>
              <w:rPr>
                <w:rFonts w:hint="eastAsia" w:cs="Times New Roman"/>
                <w:b w:val="0"/>
                <w:bCs w:val="0"/>
                <w:kern w:val="0"/>
                <w:sz w:val="20"/>
                <w:szCs w:val="20"/>
                <w:lang w:val="en-US" w:eastAsia="zh-CN"/>
              </w:rPr>
              <w:t>5.9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4546</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1423</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3787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36.71</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16.4</w:t>
            </w:r>
            <w:r>
              <w:rPr>
                <w:rFonts w:hint="default" w:cs="Times New Roman"/>
                <w:b w:val="0"/>
                <w:bCs w:val="0"/>
                <w:kern w:val="0"/>
                <w:sz w:val="20"/>
                <w:szCs w:val="20"/>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31.17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27.18</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21.5</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25.2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8</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2</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default" w:cs="Times New Roman"/>
                <w:b w:val="0"/>
                <w:bCs w:val="0"/>
                <w:kern w:val="0"/>
                <w:sz w:val="20"/>
                <w:szCs w:val="20"/>
                <w:lang w:val="en-US" w:eastAsia="zh-CN"/>
              </w:rPr>
              <w:t>　</w:t>
            </w:r>
            <w:r>
              <w:rPr>
                <w:rFonts w:hint="eastAsia" w:cs="Times New Roman"/>
                <w:b w:val="0"/>
                <w:bCs w:val="0"/>
                <w:kern w:val="0"/>
                <w:sz w:val="20"/>
                <w:szCs w:val="20"/>
                <w:lang w:val="en-US" w:eastAsia="zh-CN"/>
              </w:rPr>
              <w:t>0.84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228</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33</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cs="Times New Roman"/>
                <w:b w:val="0"/>
                <w:bCs w:val="0"/>
                <w:kern w:val="0"/>
                <w:sz w:val="20"/>
                <w:szCs w:val="20"/>
                <w:lang w:val="en-US" w:eastAsia="zh-CN"/>
              </w:rPr>
            </w:pPr>
            <w:r>
              <w:rPr>
                <w:rFonts w:hint="default" w:cs="Times New Roman"/>
                <w:b w:val="0"/>
                <w:bCs w:val="0"/>
                <w:kern w:val="0"/>
                <w:sz w:val="20"/>
                <w:szCs w:val="20"/>
                <w:lang w:val="en-US" w:eastAsia="zh-CN"/>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厉行节约不妨从规范“三公经费”开始，压减不必要的公务支出，将更多资金用于民生。　</w:t>
            </w:r>
            <w:r>
              <w:rPr>
                <w:rFonts w:hint="default" w:cs="Times New Roman"/>
                <w:b w:val="0"/>
                <w:bCs w:val="0"/>
                <w:kern w:val="0"/>
                <w:sz w:val="20"/>
                <w:szCs w:val="20"/>
                <w:lang w:val="en-US" w:eastAsia="zh-CN"/>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3"/>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6</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②是否符合部门</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三定</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①符合国家相关法律法规，本</w:t>
            </w:r>
            <w:r>
              <w:rPr>
                <w:rStyle w:val="5"/>
                <w:rFonts w:hint="eastAsia" w:cs="Times New Roman"/>
                <w:sz w:val="20"/>
                <w:szCs w:val="20"/>
                <w:lang w:val="en-US" w:eastAsia="zh-CN" w:bidi="ar"/>
              </w:rPr>
              <w:t>区</w:t>
            </w:r>
            <w:r>
              <w:rPr>
                <w:rStyle w:val="5"/>
                <w:rFonts w:hint="default" w:ascii="Times New Roman" w:hAnsi="Times New Roman" w:cs="Times New Roman"/>
                <w:sz w:val="20"/>
                <w:szCs w:val="20"/>
                <w:lang w:val="en-US" w:eastAsia="zh-CN" w:bidi="ar"/>
              </w:rPr>
              <w:t>国民经济和社会发展规划，计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②与部门（单位）职责密切相关，计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③符合部门制定的发展实施规划，计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②目标明确，细化量化良好，个性指标中量化指标超过</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个，计1分，量化指标为</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个，计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③与年度任务数或计划数相对应，计1分，低于</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个，计0.5分，低于</w:t>
            </w:r>
            <w:r>
              <w:rPr>
                <w:rStyle w:val="6"/>
                <w:rFonts w:hint="default" w:ascii="Times New Roman" w:hAnsi="Times New Roman" w:eastAsia="宋体" w:cs="Times New Roman"/>
                <w:sz w:val="20"/>
                <w:szCs w:val="20"/>
                <w:lang w:val="en-US" w:eastAsia="zh-CN" w:bidi="ar"/>
              </w:rPr>
              <w:t>4</w:t>
            </w:r>
            <w:r>
              <w:rPr>
                <w:rStyle w:val="5"/>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在职人员控制率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（在职人员数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编制数）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在职人员数：部门（单位）实际在职人数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在职人员控制率≦</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分，每超出</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cs="Times New Roman"/>
                <w:color w:val="auto"/>
                <w:sz w:val="20"/>
                <w:szCs w:val="20"/>
                <w:lang w:val="en-US" w:eastAsia="zh-CN" w:bidi="ar"/>
              </w:rPr>
              <w:t>聘用人员实际使用数小于等于编办人社部门批复数，计</w:t>
            </w:r>
            <w:r>
              <w:rPr>
                <w:rStyle w:val="8"/>
                <w:rFonts w:hint="default" w:ascii="Times New Roman" w:hAnsi="Times New Roman" w:eastAsia="宋体" w:cs="Times New Roman"/>
                <w:color w:val="auto"/>
                <w:sz w:val="20"/>
                <w:szCs w:val="20"/>
                <w:lang w:val="en-US" w:eastAsia="zh-CN" w:bidi="ar"/>
              </w:rPr>
              <w:t>2</w:t>
            </w:r>
            <w:r>
              <w:rPr>
                <w:rStyle w:val="7"/>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40</w:t>
            </w:r>
            <w:r>
              <w:rPr>
                <w:rStyle w:val="5"/>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①预算完成率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（预算完成数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②支付序时进度</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（序时执行数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序时指标下达数）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③部门预算项目支出调剂到</w:t>
            </w:r>
            <w:r>
              <w:rPr>
                <w:rStyle w:val="5"/>
                <w:rFonts w:hint="eastAsia" w:cs="Times New Roman"/>
                <w:sz w:val="20"/>
                <w:szCs w:val="20"/>
                <w:highlight w:val="red"/>
                <w:lang w:val="en-US" w:eastAsia="zh-CN" w:bidi="ar"/>
              </w:rPr>
              <w:t>单位</w:t>
            </w:r>
            <w:r>
              <w:rPr>
                <w:rStyle w:val="5"/>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①全年预算完成率</w:t>
            </w:r>
            <w:r>
              <w:rPr>
                <w:rStyle w:val="6"/>
                <w:rFonts w:hint="default" w:ascii="Times New Roman" w:hAnsi="Times New Roman" w:eastAsia="宋体" w:cs="Times New Roman"/>
                <w:sz w:val="20"/>
                <w:szCs w:val="20"/>
                <w:lang w:val="en-US" w:eastAsia="zh-CN" w:bidi="ar"/>
              </w:rPr>
              <w:t>95%</w:t>
            </w:r>
            <w:r>
              <w:rPr>
                <w:rStyle w:val="5"/>
                <w:rFonts w:hint="default" w:ascii="Times New Roman" w:hAnsi="Times New Roman" w:cs="Times New Roman"/>
                <w:sz w:val="20"/>
                <w:szCs w:val="20"/>
                <w:lang w:val="en-US" w:eastAsia="zh-CN" w:bidi="ar"/>
              </w:rPr>
              <w:t>以上计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95-90%</w:t>
            </w:r>
            <w:r>
              <w:rPr>
                <w:rStyle w:val="5"/>
                <w:rFonts w:hint="default" w:ascii="Times New Roman" w:hAnsi="Times New Roman" w:cs="Times New Roman"/>
                <w:sz w:val="20"/>
                <w:szCs w:val="20"/>
                <w:lang w:val="en-US" w:eastAsia="zh-CN" w:bidi="ar"/>
              </w:rPr>
              <w:t>（含），计</w:t>
            </w:r>
            <w:r>
              <w:rPr>
                <w:rStyle w:val="6"/>
                <w:rFonts w:hint="default" w:ascii="Times New Roman" w:hAnsi="Times New Roman" w:eastAsia="宋体" w:cs="Times New Roman"/>
                <w:sz w:val="20"/>
                <w:szCs w:val="20"/>
                <w:lang w:val="en-US" w:eastAsia="zh-CN" w:bidi="ar"/>
              </w:rPr>
              <w:t>1.5</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90-80%</w:t>
            </w:r>
            <w:r>
              <w:rPr>
                <w:rStyle w:val="5"/>
                <w:rFonts w:hint="default" w:ascii="Times New Roman" w:hAnsi="Times New Roman" w:cs="Times New Roman"/>
                <w:sz w:val="20"/>
                <w:szCs w:val="20"/>
                <w:lang w:val="en-US" w:eastAsia="zh-CN" w:bidi="ar"/>
              </w:rPr>
              <w:t>（含），计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分，小于</w:t>
            </w:r>
            <w:r>
              <w:rPr>
                <w:rStyle w:val="6"/>
                <w:rFonts w:hint="default" w:ascii="Times New Roman" w:hAnsi="Times New Roman" w:eastAsia="宋体" w:cs="Times New Roman"/>
                <w:sz w:val="20"/>
                <w:szCs w:val="20"/>
                <w:lang w:val="en-US" w:eastAsia="zh-CN" w:bidi="ar"/>
              </w:rPr>
              <w:t>80%</w:t>
            </w:r>
            <w:r>
              <w:rPr>
                <w:rStyle w:val="5"/>
                <w:rFonts w:hint="default" w:ascii="Times New Roman" w:hAnsi="Times New Roman" w:cs="Times New Roman"/>
                <w:sz w:val="20"/>
                <w:szCs w:val="20"/>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②一、二、三季度末支付序时进度分别达到</w:t>
            </w:r>
            <w:r>
              <w:rPr>
                <w:rStyle w:val="6"/>
                <w:rFonts w:hint="default" w:ascii="Times New Roman" w:hAnsi="Times New Roman" w:eastAsia="宋体" w:cs="Times New Roman"/>
                <w:sz w:val="20"/>
                <w:szCs w:val="20"/>
                <w:lang w:val="en-US" w:eastAsia="zh-CN" w:bidi="ar"/>
              </w:rPr>
              <w:t>20%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50%</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80%</w:t>
            </w:r>
            <w:r>
              <w:rPr>
                <w:rStyle w:val="5"/>
                <w:rFonts w:hint="default" w:ascii="Times New Roman" w:hAnsi="Times New Roman" w:cs="Times New Roman"/>
                <w:sz w:val="20"/>
                <w:szCs w:val="20"/>
                <w:lang w:val="en-US" w:eastAsia="zh-CN" w:bidi="ar"/>
              </w:rPr>
              <w:t>（含）以上计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分，每低</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个百分点扣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③部门预算项目支出调剂到</w:t>
            </w:r>
            <w:r>
              <w:rPr>
                <w:rStyle w:val="5"/>
                <w:rFonts w:hint="eastAsia" w:cs="Times New Roman"/>
                <w:sz w:val="20"/>
                <w:szCs w:val="20"/>
                <w:highlight w:val="red"/>
                <w:lang w:val="en-US" w:eastAsia="zh-CN" w:bidi="ar"/>
              </w:rPr>
              <w:t>单位</w:t>
            </w:r>
            <w:r>
              <w:rPr>
                <w:rStyle w:val="5"/>
                <w:rFonts w:hint="default" w:ascii="Times New Roman" w:hAnsi="Times New Roman" w:cs="Times New Roman"/>
                <w:sz w:val="20"/>
                <w:szCs w:val="20"/>
                <w:lang w:val="en-US" w:eastAsia="zh-CN" w:bidi="ar"/>
              </w:rPr>
              <w:t>小于等于项目支出</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分；大于</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40</w:t>
            </w:r>
            <w:r>
              <w:rPr>
                <w:rStyle w:val="5"/>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预算调整率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（预算调整数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预算调整率</w:t>
            </w:r>
            <w:r>
              <w:rPr>
                <w:rStyle w:val="6"/>
                <w:rFonts w:hint="default" w:ascii="Times New Roman" w:hAnsi="Times New Roman" w:eastAsia="宋体" w:cs="Times New Roman"/>
                <w:sz w:val="20"/>
                <w:szCs w:val="20"/>
                <w:lang w:val="en-US" w:eastAsia="zh-CN" w:bidi="ar"/>
              </w:rPr>
              <w:t>&lt;5%</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5-10%</w:t>
            </w:r>
            <w:r>
              <w:rPr>
                <w:rStyle w:val="5"/>
                <w:rFonts w:hint="default" w:ascii="Times New Roman" w:hAnsi="Times New Roman" w:cs="Times New Roman"/>
                <w:sz w:val="20"/>
                <w:szCs w:val="20"/>
                <w:lang w:val="en-US" w:eastAsia="zh-CN" w:bidi="ar"/>
              </w:rPr>
              <w:t>（含），计</w:t>
            </w:r>
            <w:r>
              <w:rPr>
                <w:rStyle w:val="6"/>
                <w:rFonts w:hint="default" w:ascii="Times New Roman" w:hAnsi="Times New Roman" w:eastAsia="宋体" w:cs="Times New Roman"/>
                <w:sz w:val="20"/>
                <w:szCs w:val="20"/>
                <w:lang w:val="en-US" w:eastAsia="zh-CN" w:bidi="ar"/>
              </w:rPr>
              <w:t>1.5</w:t>
            </w:r>
            <w:r>
              <w:rPr>
                <w:rStyle w:val="5"/>
                <w:rFonts w:hint="default" w:ascii="Times New Roman" w:hAnsi="Times New Roman" w:cs="Times New Roman"/>
                <w:sz w:val="20"/>
                <w:szCs w:val="20"/>
                <w:lang w:val="en-US" w:eastAsia="zh-CN" w:bidi="ar"/>
              </w:rPr>
              <w:t>分；大于</w:t>
            </w:r>
            <w:r>
              <w:rPr>
                <w:rStyle w:val="6"/>
                <w:rFonts w:hint="default" w:ascii="Times New Roman" w:hAnsi="Times New Roman" w:eastAsia="宋体" w:cs="Times New Roman"/>
                <w:sz w:val="20"/>
                <w:szCs w:val="20"/>
                <w:lang w:val="en-US" w:eastAsia="zh-CN" w:bidi="ar"/>
              </w:rPr>
              <w:t>10%</w:t>
            </w:r>
            <w:r>
              <w:rPr>
                <w:rStyle w:val="5"/>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政府</w:t>
            </w:r>
            <w:r>
              <w:rPr>
                <w:rFonts w:hint="default" w:ascii="Times New Roman" w:hAnsi="Times New Roman" w:eastAsia="宋体" w:cs="Times New Roman"/>
                <w:i w:val="0"/>
                <w:color w:val="000000"/>
                <w:kern w:val="0"/>
                <w:sz w:val="20"/>
                <w:szCs w:val="20"/>
                <w:u w:val="none"/>
                <w:lang w:val="en-US" w:eastAsia="zh-CN" w:bidi="ar"/>
              </w:rPr>
              <w:t>文件规定，预算单位年度安排的</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级预算资金</w:t>
            </w:r>
            <w:r>
              <w:rPr>
                <w:rFonts w:hint="default" w:ascii="Times New Roman" w:hAnsi="Times New Roman" w:eastAsia="宋体" w:cs="Times New Roman"/>
                <w:i w:val="0"/>
                <w:color w:val="000000"/>
                <w:kern w:val="0"/>
                <w:sz w:val="20"/>
                <w:szCs w:val="20"/>
                <w:u w:val="none"/>
                <w:lang w:val="en-US" w:eastAsia="zh-CN" w:bidi="ar"/>
              </w:rPr>
              <w:t>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本级资金</w:t>
            </w:r>
            <w:r>
              <w:rPr>
                <w:rFonts w:hint="default" w:ascii="Times New Roman" w:hAnsi="Times New Roman" w:eastAsia="宋体" w:cs="Times New Roman"/>
                <w:i w:val="0"/>
                <w:color w:val="000000"/>
                <w:kern w:val="0"/>
                <w:sz w:val="20"/>
                <w:szCs w:val="20"/>
                <w:u w:val="none"/>
                <w:lang w:val="en-US" w:eastAsia="zh-CN" w:bidi="ar"/>
              </w:rPr>
              <w:t>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eastAsia="宋体" w:cs="Times New Roman"/>
                <w:sz w:val="20"/>
                <w:szCs w:val="20"/>
                <w:lang w:val="en-US" w:eastAsia="zh-CN" w:bidi="ar"/>
              </w:rPr>
            </w:pPr>
            <w:r>
              <w:rPr>
                <w:rStyle w:val="5"/>
                <w:rFonts w:hint="default" w:ascii="Times New Roman" w:hAnsi="Times New Roman" w:cs="Times New Roman"/>
                <w:sz w:val="20"/>
                <w:szCs w:val="20"/>
                <w:lang w:val="en-US" w:eastAsia="zh-CN" w:bidi="ar"/>
              </w:rPr>
              <w:t>经费</w:t>
            </w:r>
            <w:r>
              <w:rPr>
                <w:rStyle w:val="6"/>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控制率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实际支出数</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预算安排数）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三公经费</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控制率</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以下（含）计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分，每超出</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扣</w:t>
            </w:r>
            <w:r>
              <w:rPr>
                <w:rStyle w:val="6"/>
                <w:rFonts w:hint="default" w:ascii="Times New Roman" w:hAnsi="Times New Roman" w:eastAsia="宋体" w:cs="Times New Roman"/>
                <w:sz w:val="20"/>
                <w:szCs w:val="20"/>
                <w:lang w:val="en-US" w:eastAsia="zh-CN" w:bidi="ar"/>
              </w:rPr>
              <w:t>0.15</w:t>
            </w:r>
            <w:r>
              <w:rPr>
                <w:rStyle w:val="5"/>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eastAsia="宋体"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政府采购执行率</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（实际政府采购金额</w:t>
            </w:r>
            <w:r>
              <w:rPr>
                <w:rStyle w:val="6"/>
                <w:rFonts w:hint="default" w:ascii="Times New Roman" w:hAnsi="Times New Roman" w:eastAsia="宋体" w:cs="Times New Roman"/>
                <w:sz w:val="20"/>
                <w:szCs w:val="20"/>
                <w:lang w:val="en-US" w:eastAsia="zh-CN" w:bidi="ar"/>
              </w:rPr>
              <w:t>/</w:t>
            </w:r>
            <w:r>
              <w:rPr>
                <w:rStyle w:val="5"/>
                <w:rFonts w:hint="default" w:ascii="Times New Roman" w:hAnsi="Times New Roman" w:cs="Times New Roman"/>
                <w:sz w:val="20"/>
                <w:szCs w:val="20"/>
                <w:lang w:val="en-US" w:eastAsia="zh-CN" w:bidi="ar"/>
              </w:rPr>
              <w:t>政府采购预算数）</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pacing w:val="-6"/>
                <w:sz w:val="20"/>
                <w:szCs w:val="20"/>
                <w:lang w:val="en-US" w:eastAsia="zh-CN" w:bidi="ar"/>
              </w:rPr>
            </w:pPr>
            <w:r>
              <w:rPr>
                <w:rStyle w:val="5"/>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预算单位严格执行</w:t>
            </w:r>
            <w:r>
              <w:rPr>
                <w:rStyle w:val="5"/>
                <w:rFonts w:hint="eastAsia" w:cs="Times New Roman"/>
                <w:sz w:val="20"/>
                <w:szCs w:val="20"/>
                <w:lang w:val="en-US" w:eastAsia="zh-CN" w:bidi="ar"/>
              </w:rPr>
              <w:t>《中华人民共和国政府采购法》</w:t>
            </w:r>
            <w:r>
              <w:rPr>
                <w:rStyle w:val="5"/>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政府采购执行率</w:t>
            </w:r>
            <w:r>
              <w:rPr>
                <w:rStyle w:val="6"/>
                <w:rFonts w:hint="default" w:ascii="Times New Roman" w:hAnsi="Times New Roman" w:eastAsia="宋体" w:cs="Times New Roman"/>
                <w:sz w:val="20"/>
                <w:szCs w:val="20"/>
                <w:lang w:val="en-US" w:eastAsia="zh-CN" w:bidi="ar"/>
              </w:rPr>
              <w:t>100%</w:t>
            </w:r>
            <w:r>
              <w:rPr>
                <w:rStyle w:val="5"/>
                <w:rFonts w:hint="default" w:ascii="Times New Roman" w:hAnsi="Times New Roman" w:cs="Times New Roman"/>
                <w:sz w:val="20"/>
                <w:szCs w:val="20"/>
                <w:lang w:val="en-US" w:eastAsia="zh-CN" w:bidi="ar"/>
              </w:rPr>
              <w:t>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分，每超过（降低）</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扣</w:t>
            </w:r>
            <w:r>
              <w:rPr>
                <w:rStyle w:val="6"/>
                <w:rFonts w:hint="default" w:ascii="Times New Roman" w:hAnsi="Times New Roman" w:eastAsia="宋体" w:cs="Times New Roman"/>
                <w:sz w:val="20"/>
                <w:szCs w:val="20"/>
                <w:lang w:val="en-US" w:eastAsia="zh-CN" w:bidi="ar"/>
              </w:rPr>
              <w:t>0.1</w:t>
            </w:r>
            <w:r>
              <w:rPr>
                <w:rStyle w:val="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20</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①部门（单位）内控制度、内部财务管理制度和会计核算制度健全，计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②管理制度合法、合规、完整，计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③管理制度得到有效执行，计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①符合国家财经法规和财务管理制度以及有关专项资金管理办法的规定，计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②资金的支付有完整的审批程序和手续，计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③重大项目开支和大额资金使用经过单位党组集体研究决策，计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④符合项目预算批复或合同规定的用途，计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例不符合扣</w:t>
            </w:r>
            <w:r>
              <w:rPr>
                <w:rStyle w:val="6"/>
                <w:rFonts w:hint="default" w:ascii="Times New Roman" w:hAnsi="Times New Roman" w:eastAsia="宋体" w:cs="Times New Roman"/>
                <w:sz w:val="20"/>
                <w:szCs w:val="20"/>
                <w:lang w:val="en-US" w:eastAsia="zh-CN" w:bidi="ar"/>
              </w:rPr>
              <w:t>0.2</w:t>
            </w:r>
            <w:r>
              <w:rPr>
                <w:rStyle w:val="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⑤不存在截留、挤占、挪用、虚列支出等情况，计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例不符合本指标</w:t>
            </w:r>
            <w:r>
              <w:rPr>
                <w:rStyle w:val="6"/>
                <w:rFonts w:hint="default" w:ascii="Times New Roman" w:hAnsi="Times New Roman" w:eastAsia="宋体" w:cs="Times New Roman"/>
                <w:sz w:val="20"/>
                <w:szCs w:val="20"/>
                <w:lang w:val="en-US" w:eastAsia="zh-CN" w:bidi="ar"/>
              </w:rPr>
              <w:t>6</w:t>
            </w:r>
            <w:r>
              <w:rPr>
                <w:rStyle w:val="5"/>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5"/>
                <w:rFonts w:hint="default" w:ascii="Times New Roman" w:hAnsi="Times New Roman" w:cs="Times New Roman"/>
                <w:spacing w:val="-6"/>
                <w:sz w:val="20"/>
                <w:szCs w:val="20"/>
                <w:lang w:val="en-US" w:eastAsia="zh-CN" w:bidi="ar"/>
              </w:rPr>
            </w:pPr>
            <w:r>
              <w:rPr>
                <w:rStyle w:val="5"/>
                <w:rFonts w:hint="default" w:ascii="Times New Roman" w:hAnsi="Times New Roman" w:cs="Times New Roman"/>
                <w:sz w:val="20"/>
                <w:szCs w:val="20"/>
                <w:lang w:val="en-US" w:eastAsia="zh-CN" w:bidi="ar"/>
              </w:rPr>
              <w:t>⑥</w:t>
            </w:r>
            <w:r>
              <w:rPr>
                <w:rStyle w:val="5"/>
                <w:rFonts w:hint="default" w:ascii="Times New Roman" w:hAnsi="Times New Roman" w:cs="Times New Roman"/>
                <w:spacing w:val="-6"/>
                <w:sz w:val="20"/>
                <w:szCs w:val="20"/>
                <w:lang w:val="en-US" w:eastAsia="zh-CN" w:bidi="ar"/>
              </w:rPr>
              <w:t>不存在重复申报项目、虚报冒领资金，计</w:t>
            </w:r>
            <w:r>
              <w:rPr>
                <w:rStyle w:val="6"/>
                <w:rFonts w:hint="default" w:ascii="Times New Roman" w:hAnsi="Times New Roman" w:eastAsia="宋体" w:cs="Times New Roman"/>
                <w:spacing w:val="-6"/>
                <w:sz w:val="20"/>
                <w:szCs w:val="20"/>
                <w:lang w:val="en-US" w:eastAsia="zh-CN" w:bidi="ar"/>
              </w:rPr>
              <w:t>1</w:t>
            </w:r>
            <w:r>
              <w:rPr>
                <w:rStyle w:val="5"/>
                <w:rFonts w:hint="default" w:ascii="Times New Roman" w:hAnsi="Times New Roman" w:cs="Times New Roman"/>
                <w:spacing w:val="-6"/>
                <w:sz w:val="20"/>
                <w:szCs w:val="20"/>
                <w:lang w:val="en-US" w:eastAsia="zh-CN" w:bidi="ar"/>
              </w:rPr>
              <w:t>分，</w:t>
            </w:r>
            <w:r>
              <w:rPr>
                <w:rStyle w:val="6"/>
                <w:rFonts w:hint="default" w:ascii="Times New Roman" w:hAnsi="Times New Roman" w:eastAsia="宋体" w:cs="Times New Roman"/>
                <w:spacing w:val="-6"/>
                <w:sz w:val="20"/>
                <w:szCs w:val="20"/>
                <w:lang w:val="en-US" w:eastAsia="zh-CN" w:bidi="ar"/>
              </w:rPr>
              <w:t>1</w:t>
            </w:r>
            <w:r>
              <w:rPr>
                <w:rStyle w:val="5"/>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40</w:t>
            </w:r>
            <w:r>
              <w:rPr>
                <w:rStyle w:val="5"/>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20</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①、②各计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根据</w:t>
            </w:r>
            <w:r>
              <w:rPr>
                <w:rStyle w:val="5"/>
                <w:rFonts w:hint="eastAsia" w:cs="Times New Roman"/>
                <w:sz w:val="20"/>
                <w:szCs w:val="20"/>
                <w:highlight w:val="red"/>
                <w:lang w:val="en-US" w:eastAsia="zh-CN" w:bidi="ar"/>
              </w:rPr>
              <w:t>区</w:t>
            </w:r>
            <w:r>
              <w:rPr>
                <w:rStyle w:val="5"/>
                <w:rFonts w:hint="default" w:ascii="Times New Roman" w:hAnsi="Times New Roman" w:cs="Times New Roman"/>
                <w:sz w:val="20"/>
                <w:szCs w:val="20"/>
                <w:highlight w:val="red"/>
                <w:lang w:val="en-US" w:eastAsia="zh-CN" w:bidi="ar"/>
              </w:rPr>
              <w:t>财政局</w:t>
            </w:r>
            <w:r>
              <w:rPr>
                <w:rStyle w:val="5"/>
                <w:rFonts w:hint="default" w:ascii="Times New Roman" w:hAnsi="Times New Roman" w:cs="Times New Roman"/>
                <w:sz w:val="20"/>
                <w:szCs w:val="20"/>
                <w:lang w:val="en-US" w:eastAsia="zh-CN" w:bidi="ar"/>
              </w:rPr>
              <w:t>2020年考核结果，评审为优，计</w:t>
            </w:r>
            <w:r>
              <w:rPr>
                <w:rStyle w:val="6"/>
                <w:rFonts w:hint="default" w:ascii="Times New Roman" w:hAnsi="Times New Roman" w:eastAsia="宋体" w:cs="Times New Roman"/>
                <w:sz w:val="20"/>
                <w:szCs w:val="20"/>
                <w:lang w:val="en-US" w:eastAsia="zh-CN" w:bidi="ar"/>
              </w:rPr>
              <w:t>4</w:t>
            </w:r>
            <w:r>
              <w:rPr>
                <w:rStyle w:val="5"/>
                <w:rFonts w:hint="default" w:ascii="Times New Roman" w:hAnsi="Times New Roman" w:cs="Times New Roman"/>
                <w:sz w:val="20"/>
                <w:szCs w:val="20"/>
                <w:lang w:val="en-US" w:eastAsia="zh-CN" w:bidi="ar"/>
              </w:rPr>
              <w:t>分；评审为良，计</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分；评审为中，计</w:t>
            </w:r>
            <w:r>
              <w:rPr>
                <w:rStyle w:val="6"/>
                <w:rFonts w:hint="default" w:ascii="Times New Roman" w:hAnsi="Times New Roman" w:eastAsia="宋体" w:cs="Times New Roman"/>
                <w:sz w:val="20"/>
                <w:szCs w:val="20"/>
                <w:lang w:val="en-US" w:eastAsia="zh-CN" w:bidi="ar"/>
              </w:rPr>
              <w:t>2</w:t>
            </w:r>
            <w:r>
              <w:rPr>
                <w:rStyle w:val="5"/>
                <w:rFonts w:hint="default" w:ascii="Times New Roman" w:hAnsi="Times New Roman" w:cs="Times New Roman"/>
                <w:sz w:val="20"/>
                <w:szCs w:val="20"/>
                <w:lang w:val="en-US" w:eastAsia="zh-CN" w:bidi="ar"/>
              </w:rPr>
              <w:t>分；评审为低，计</w:t>
            </w:r>
            <w:r>
              <w:rPr>
                <w:rStyle w:val="6"/>
                <w:rFonts w:hint="default" w:ascii="Times New Roman" w:hAnsi="Times New Roman" w:eastAsia="宋体" w:cs="Times New Roman"/>
                <w:sz w:val="20"/>
                <w:szCs w:val="20"/>
                <w:lang w:val="en-US" w:eastAsia="zh-CN" w:bidi="ar"/>
              </w:rPr>
              <w:t>1</w:t>
            </w:r>
            <w:r>
              <w:rPr>
                <w:rStyle w:val="5"/>
                <w:rFonts w:hint="default" w:ascii="Times New Roman" w:hAnsi="Times New Roman" w:cs="Times New Roman"/>
                <w:sz w:val="20"/>
                <w:szCs w:val="20"/>
                <w:lang w:val="en-US" w:eastAsia="zh-CN" w:bidi="ar"/>
              </w:rPr>
              <w:t>分；评审为差，计</w:t>
            </w:r>
            <w:r>
              <w:rPr>
                <w:rStyle w:val="6"/>
                <w:rFonts w:hint="default" w:ascii="Times New Roman" w:hAnsi="Times New Roman" w:eastAsia="宋体" w:cs="Times New Roman"/>
                <w:sz w:val="20"/>
                <w:szCs w:val="20"/>
                <w:lang w:val="en-US" w:eastAsia="zh-CN" w:bidi="ar"/>
              </w:rPr>
              <w:t>0</w:t>
            </w:r>
            <w:r>
              <w:rPr>
                <w:rStyle w:val="5"/>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2019年重点评价问题全部整改，计</w:t>
            </w:r>
            <w:r>
              <w:rPr>
                <w:rStyle w:val="6"/>
                <w:rFonts w:hint="default" w:ascii="Times New Roman" w:hAnsi="Times New Roman" w:eastAsia="宋体" w:cs="Times New Roman"/>
                <w:sz w:val="20"/>
                <w:szCs w:val="20"/>
                <w:lang w:val="en-US" w:eastAsia="zh-CN" w:bidi="ar"/>
              </w:rPr>
              <w:t>5</w:t>
            </w:r>
            <w:r>
              <w:rPr>
                <w:rStyle w:val="5"/>
                <w:rFonts w:hint="default" w:ascii="Times New Roman" w:hAnsi="Times New Roman" w:cs="Times New Roman"/>
                <w:sz w:val="20"/>
                <w:szCs w:val="20"/>
                <w:lang w:val="en-US" w:eastAsia="zh-CN" w:bidi="ar"/>
              </w:rPr>
              <w:t>分；2019年重点评价问题部分整改，计</w:t>
            </w:r>
            <w:r>
              <w:rPr>
                <w:rStyle w:val="6"/>
                <w:rFonts w:hint="default" w:ascii="Times New Roman" w:hAnsi="Times New Roman" w:eastAsia="宋体" w:cs="Times New Roman"/>
                <w:sz w:val="20"/>
                <w:szCs w:val="20"/>
                <w:lang w:val="en-US" w:eastAsia="zh-CN" w:bidi="ar"/>
              </w:rPr>
              <w:t>3</w:t>
            </w:r>
            <w:r>
              <w:rPr>
                <w:rStyle w:val="5"/>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w:t>
            </w:r>
            <w:r>
              <w:rPr>
                <w:rStyle w:val="6"/>
                <w:rFonts w:hint="default" w:ascii="Times New Roman" w:hAnsi="Times New Roman" w:eastAsia="宋体" w:cs="Times New Roman"/>
                <w:sz w:val="20"/>
                <w:szCs w:val="20"/>
                <w:lang w:val="en-US" w:eastAsia="zh-CN" w:bidi="ar"/>
              </w:rPr>
              <w:t>5</w:t>
            </w:r>
            <w:r>
              <w:rPr>
                <w:rStyle w:val="5"/>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①已制定合法、合规、完整的资产管理制度，计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②相关资产管理制度得到有效执行，计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③资产管理编制年度预算，计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④资产配置预算实际执行情况未超年度预算（按程序审批除外），计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④资产账务管理是否合规，是否</w:t>
            </w:r>
            <w:r>
              <w:rPr>
                <w:rStyle w:val="5"/>
                <w:rFonts w:hint="eastAsia" w:cs="Times New Roman"/>
                <w:sz w:val="20"/>
                <w:szCs w:val="20"/>
                <w:lang w:val="en-US" w:eastAsia="zh-CN" w:bidi="ar"/>
              </w:rPr>
              <w:t>账</w:t>
            </w:r>
            <w:r>
              <w:rPr>
                <w:rStyle w:val="5"/>
                <w:rFonts w:hint="default" w:ascii="Times New Roman" w:hAnsi="Times New Roman" w:cs="Times New Roman"/>
                <w:sz w:val="20"/>
                <w:szCs w:val="20"/>
                <w:lang w:val="en-US" w:eastAsia="zh-CN" w:bidi="ar"/>
              </w:rPr>
              <w:t>实相符；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6"/>
                <w:rFonts w:hint="default" w:ascii="Times New Roman" w:hAnsi="Times New Roman" w:eastAsia="宋体" w:cs="Times New Roman"/>
                <w:sz w:val="20"/>
                <w:szCs w:val="20"/>
                <w:lang w:val="en-US" w:eastAsia="zh-CN" w:bidi="ar"/>
              </w:rPr>
              <w:t>0.5</w:t>
            </w:r>
            <w:r>
              <w:rPr>
                <w:rStyle w:val="5"/>
                <w:rFonts w:hint="default" w:ascii="Times New Roman" w:hAnsi="Times New Roman" w:cs="Times New Roman"/>
                <w:sz w:val="20"/>
                <w:szCs w:val="20"/>
                <w:lang w:val="en-US" w:eastAsia="zh-CN" w:bidi="ar"/>
              </w:rPr>
              <w:t>分，发现一例不符，扣</w:t>
            </w:r>
            <w:r>
              <w:rPr>
                <w:rStyle w:val="6"/>
                <w:rFonts w:hint="default" w:ascii="Times New Roman" w:hAnsi="Times New Roman" w:eastAsia="宋体" w:cs="Times New Roman"/>
                <w:sz w:val="20"/>
                <w:szCs w:val="20"/>
                <w:lang w:val="en-US" w:eastAsia="zh-CN" w:bidi="ar"/>
              </w:rPr>
              <w:t>0.1</w:t>
            </w:r>
            <w:r>
              <w:rPr>
                <w:rStyle w:val="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5"/>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r>
              <w:rPr>
                <w:rStyle w:val="5"/>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5"/>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100</w:t>
            </w:r>
          </w:p>
        </w:tc>
      </w:tr>
    </w:tbl>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圭塘街道办事处</w:t>
      </w:r>
      <w:r>
        <w:rPr>
          <w:rFonts w:hint="eastAsia" w:ascii="仿宋_GB2312" w:hAnsi="仿宋_GB2312" w:eastAsia="仿宋_GB2312" w:cs="仿宋_GB2312"/>
          <w:b/>
          <w:bCs/>
          <w:sz w:val="44"/>
          <w:szCs w:val="44"/>
        </w:rPr>
        <w:t>部门整体支出预算绩效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9"/>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(一)</w:t>
      </w:r>
      <w:r>
        <w:rPr>
          <w:rFonts w:hint="eastAsia" w:ascii="仿宋_GB2312" w:hAnsi="宋体" w:eastAsia="仿宋_GB2312" w:cs="宋体"/>
          <w:sz w:val="32"/>
          <w:szCs w:val="32"/>
        </w:rPr>
        <w:t>圭塘街道党工委是区委的派出机关，是辖区内各项工作的领导核心；街道办事处是区人民政府的派出机关，依法行使相应的政府管理和服务职能。</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、加强党的建设。</w:t>
      </w:r>
      <w:r>
        <w:rPr>
          <w:rFonts w:hint="eastAsia" w:ascii="仿宋_GB2312" w:hAnsi="宋体" w:eastAsia="仿宋_GB2312" w:cs="宋体"/>
          <w:sz w:val="32"/>
          <w:szCs w:val="32"/>
        </w:rPr>
        <w:t>落实基层党建工作责任制，统筹街道和社区区域化党建，加强非公有制经济组织和社会组织党建工作，实现党的组织和工作全覆盖。</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、统筹区域发展。</w:t>
      </w:r>
      <w:r>
        <w:rPr>
          <w:rFonts w:hint="eastAsia" w:ascii="仿宋_GB2312" w:hAnsi="宋体" w:eastAsia="仿宋_GB2312" w:cs="宋体"/>
          <w:sz w:val="32"/>
          <w:szCs w:val="32"/>
        </w:rPr>
        <w:t>统筹落实辖区发展的重大决策和建设规划，负责优化发展环境、采集企业信息、服务辖区企业、促进项目发展等工作。</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、组织公共服务。</w:t>
      </w:r>
      <w:r>
        <w:rPr>
          <w:rFonts w:hint="eastAsia" w:ascii="仿宋_GB2312" w:hAnsi="宋体" w:eastAsia="仿宋_GB2312" w:cs="宋体"/>
          <w:sz w:val="32"/>
          <w:szCs w:val="32"/>
        </w:rPr>
        <w:t>组织实施与居民生活密切相关的各项公共服务，落实人力资源社会保障、民政、教育、文化、体育、卫生计生等领域相关法规政策。</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、实施公共管理。</w:t>
      </w:r>
      <w:r>
        <w:rPr>
          <w:rFonts w:hint="eastAsia" w:ascii="仿宋_GB2312" w:hAnsi="宋体" w:eastAsia="仿宋_GB2312" w:cs="宋体"/>
          <w:sz w:val="32"/>
          <w:szCs w:val="32"/>
        </w:rPr>
        <w:t>组织领导和综合协调辖区内城市管理、人口管理、文明创建等地区性、综合性社会管理工作。</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、维护公共安全。</w:t>
      </w:r>
      <w:r>
        <w:rPr>
          <w:rFonts w:hint="eastAsia" w:ascii="仿宋_GB2312" w:hAnsi="宋体" w:eastAsia="仿宋_GB2312" w:cs="宋体"/>
          <w:sz w:val="32"/>
          <w:szCs w:val="32"/>
        </w:rPr>
        <w:t>承担辖区内社会治安综合治理、安全生产等有关工作，接待群众来信来访，反映社情民意，化解矛盾纠纷等。</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、监督执法管理。</w:t>
      </w:r>
      <w:r>
        <w:rPr>
          <w:rFonts w:hint="eastAsia" w:ascii="仿宋_GB2312" w:hAnsi="宋体" w:eastAsia="仿宋_GB2312" w:cs="宋体"/>
          <w:sz w:val="32"/>
          <w:szCs w:val="32"/>
        </w:rPr>
        <w:t>对辖区内各类行政执法工作进行统筹协调，组织开展群众监督和社会监督。</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7</w:t>
      </w:r>
      <w:r>
        <w:rPr>
          <w:rFonts w:hint="eastAsia" w:ascii="楷体_GB2312" w:hAnsi="宋体" w:eastAsia="楷体_GB2312" w:cs="宋体"/>
          <w:b/>
          <w:sz w:val="32"/>
          <w:szCs w:val="32"/>
        </w:rPr>
        <w:t>、动员社会参与。</w:t>
      </w:r>
      <w:r>
        <w:rPr>
          <w:rFonts w:hint="eastAsia" w:ascii="仿宋_GB2312" w:hAnsi="宋体" w:eastAsia="仿宋_GB2312" w:cs="宋体"/>
          <w:sz w:val="32"/>
          <w:szCs w:val="32"/>
        </w:rPr>
        <w:t>动员辖区内各类单位、社会组织、社区居民等社会力量参与社区治理，为社区发展服务。</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8</w:t>
      </w:r>
      <w:r>
        <w:rPr>
          <w:rFonts w:hint="eastAsia" w:ascii="楷体_GB2312" w:hAnsi="宋体" w:eastAsia="楷体_GB2312" w:cs="宋体"/>
          <w:b/>
          <w:sz w:val="32"/>
          <w:szCs w:val="32"/>
        </w:rPr>
        <w:t>、保障社区自治。</w:t>
      </w:r>
      <w:r>
        <w:rPr>
          <w:rFonts w:hint="eastAsia" w:ascii="仿宋_GB2312" w:hAnsi="宋体" w:eastAsia="仿宋_GB2312" w:cs="宋体"/>
          <w:sz w:val="32"/>
          <w:szCs w:val="32"/>
        </w:rPr>
        <w:t>指导社区居委会建设，健全社区自治平台，组织驻区单位和社区居民参与社区建设、管理。</w:t>
      </w:r>
    </w:p>
    <w:p>
      <w:pPr>
        <w:pStyle w:val="2"/>
        <w:keepNext w:val="0"/>
        <w:keepLines w:val="0"/>
        <w:pageBreakBefore w:val="0"/>
        <w:widowControl/>
        <w:kinsoku/>
        <w:wordWrap/>
        <w:overflowPunct/>
        <w:topLinePunct w:val="0"/>
        <w:autoSpaceDE/>
        <w:autoSpaceDN/>
        <w:bidi w:val="0"/>
        <w:spacing w:beforeAutospacing="0" w:afterAutospacing="0" w:line="590" w:lineRule="exact"/>
        <w:ind w:firstLine="640" w:firstLineChars="200"/>
        <w:jc w:val="both"/>
        <w:textAlignment w:val="auto"/>
        <w:rPr>
          <w:rFonts w:hint="eastAsia" w:ascii="仿宋_GB2312" w:hAnsi="宋体" w:eastAsia="仿宋_GB2312" w:cs="宋体"/>
          <w:sz w:val="32"/>
          <w:szCs w:val="32"/>
        </w:rPr>
      </w:pPr>
      <w:r>
        <w:rPr>
          <w:rFonts w:ascii="仿宋_GB2312" w:hAnsi="宋体" w:eastAsia="仿宋_GB2312" w:cs="宋体"/>
          <w:sz w:val="32"/>
          <w:szCs w:val="32"/>
        </w:rPr>
        <w:t>201</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年部门预算收入为一般公共预算拨款收入；支出既包括街道办事处机关基本运行的经费，也包括城市管理、公共服务、综合治理、经济发展等项目经费。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宋体" w:eastAsia="仿宋_GB2312" w:cs="宋体"/>
          <w:color w:val="000000"/>
          <w:kern w:val="0"/>
          <w:sz w:val="32"/>
          <w:szCs w:val="32"/>
        </w:rPr>
        <w:t>机构编制共有</w:t>
      </w:r>
      <w:r>
        <w:rPr>
          <w:rFonts w:hint="eastAsia" w:ascii="仿宋_GB2312" w:hAnsi="宋体" w:eastAsia="仿宋_GB2312" w:cs="宋体"/>
          <w:color w:val="000000"/>
          <w:kern w:val="0"/>
          <w:sz w:val="32"/>
          <w:szCs w:val="32"/>
          <w:lang w:val="en-US" w:eastAsia="zh-CN"/>
        </w:rPr>
        <w:t>53</w:t>
      </w:r>
      <w:r>
        <w:rPr>
          <w:rFonts w:hint="eastAsia" w:ascii="仿宋_GB2312" w:hAnsi="宋体" w:eastAsia="仿宋_GB2312" w:cs="宋体"/>
          <w:color w:val="000000"/>
          <w:kern w:val="0"/>
          <w:sz w:val="32"/>
          <w:szCs w:val="32"/>
        </w:rPr>
        <w:t>人，年末实有人数</w:t>
      </w:r>
      <w:r>
        <w:rPr>
          <w:rFonts w:hint="eastAsia" w:ascii="仿宋_GB2312" w:hAnsi="宋体" w:eastAsia="仿宋_GB2312" w:cs="宋体"/>
          <w:color w:val="000000"/>
          <w:kern w:val="0"/>
          <w:sz w:val="32"/>
          <w:szCs w:val="32"/>
          <w:lang w:val="en-US" w:eastAsia="zh-CN"/>
        </w:rPr>
        <w:t>53</w:t>
      </w:r>
      <w:r>
        <w:rPr>
          <w:rFonts w:hint="eastAsia" w:ascii="仿宋_GB2312" w:hAnsi="宋体" w:eastAsia="仿宋_GB2312" w:cs="宋体"/>
          <w:color w:val="000000"/>
          <w:kern w:val="0"/>
          <w:sz w:val="32"/>
          <w:szCs w:val="32"/>
        </w:rPr>
        <w:t>人，编制人数</w:t>
      </w:r>
      <w:r>
        <w:rPr>
          <w:rFonts w:hint="eastAsia" w:ascii="仿宋_GB2312" w:hAnsi="宋体" w:eastAsia="仿宋_GB2312" w:cs="宋体"/>
          <w:color w:val="000000"/>
          <w:kern w:val="0"/>
          <w:sz w:val="32"/>
          <w:szCs w:val="32"/>
          <w:lang w:val="en-US" w:eastAsia="zh-CN"/>
        </w:rPr>
        <w:t>53</w:t>
      </w:r>
      <w:r>
        <w:rPr>
          <w:rFonts w:hint="eastAsia" w:ascii="仿宋_GB2312" w:hAnsi="宋体" w:eastAsia="仿宋_GB2312" w:cs="宋体"/>
          <w:color w:val="000000"/>
          <w:kern w:val="0"/>
          <w:sz w:val="32"/>
          <w:szCs w:val="32"/>
        </w:rPr>
        <w:t>人</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行政编制人数1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人，</w:t>
      </w:r>
      <w:r>
        <w:rPr>
          <w:rFonts w:hint="eastAsia" w:ascii="仿宋_GB2312" w:hAnsi="宋体" w:eastAsia="仿宋_GB2312" w:cs="宋体"/>
          <w:color w:val="000000"/>
          <w:kern w:val="0"/>
          <w:sz w:val="32"/>
          <w:szCs w:val="32"/>
          <w:lang w:eastAsia="zh-CN"/>
        </w:rPr>
        <w:t>工勤编制</w:t>
      </w:r>
      <w:r>
        <w:rPr>
          <w:rFonts w:hint="eastAsia" w:ascii="仿宋_GB2312" w:hAnsi="宋体" w:eastAsia="仿宋_GB2312" w:cs="宋体"/>
          <w:color w:val="000000"/>
          <w:kern w:val="0"/>
          <w:sz w:val="32"/>
          <w:szCs w:val="32"/>
          <w:lang w:val="en-US" w:eastAsia="zh-CN"/>
        </w:rPr>
        <w:t>1人，人才引进2人，</w:t>
      </w:r>
      <w:r>
        <w:rPr>
          <w:rFonts w:hint="eastAsia" w:ascii="仿宋_GB2312" w:hAnsi="宋体" w:eastAsia="仿宋_GB2312" w:cs="宋体"/>
          <w:color w:val="000000"/>
          <w:kern w:val="0"/>
          <w:sz w:val="32"/>
          <w:szCs w:val="32"/>
        </w:rPr>
        <w:t>事业编制人数</w:t>
      </w:r>
      <w:r>
        <w:rPr>
          <w:rFonts w:hint="eastAsia" w:ascii="仿宋_GB2312" w:hAnsi="宋体" w:eastAsia="仿宋_GB2312" w:cs="宋体"/>
          <w:color w:val="000000"/>
          <w:kern w:val="0"/>
          <w:sz w:val="32"/>
          <w:szCs w:val="32"/>
          <w:lang w:val="en-US" w:eastAsia="zh-CN"/>
        </w:rPr>
        <w:t>35</w:t>
      </w:r>
      <w:r>
        <w:rPr>
          <w:rFonts w:hint="eastAsia" w:ascii="仿宋_GB2312" w:hAnsi="宋体" w:eastAsia="仿宋_GB2312" w:cs="宋体"/>
          <w:color w:val="000000"/>
          <w:kern w:val="0"/>
          <w:sz w:val="32"/>
          <w:szCs w:val="32"/>
        </w:rPr>
        <w:t>人，退休人员</w:t>
      </w:r>
      <w:r>
        <w:rPr>
          <w:rFonts w:hint="eastAsia" w:ascii="仿宋_GB2312" w:hAnsi="宋体" w:eastAsia="仿宋_GB2312" w:cs="宋体"/>
          <w:color w:val="000000"/>
          <w:kern w:val="0"/>
          <w:sz w:val="32"/>
          <w:szCs w:val="32"/>
          <w:lang w:val="en-US" w:eastAsia="zh-CN"/>
        </w:rPr>
        <w:t>12</w:t>
      </w:r>
      <w:r>
        <w:rPr>
          <w:rFonts w:hint="eastAsia" w:ascii="仿宋_GB2312" w:hAnsi="宋体" w:eastAsia="仿宋_GB2312" w:cs="宋体"/>
          <w:color w:val="000000"/>
          <w:kern w:val="0"/>
          <w:sz w:val="32"/>
          <w:szCs w:val="32"/>
        </w:rPr>
        <w:t>人，政府雇员</w:t>
      </w:r>
      <w:r>
        <w:rPr>
          <w:rFonts w:hint="eastAsia" w:ascii="仿宋_GB2312" w:hAnsi="宋体" w:eastAsia="仿宋_GB2312" w:cs="宋体"/>
          <w:color w:val="000000"/>
          <w:kern w:val="0"/>
          <w:sz w:val="32"/>
          <w:szCs w:val="32"/>
          <w:lang w:val="en-US" w:eastAsia="zh-CN"/>
        </w:rPr>
        <w:t>37</w:t>
      </w:r>
      <w:r>
        <w:rPr>
          <w:rFonts w:hint="eastAsia" w:ascii="仿宋_GB2312" w:hAnsi="宋体" w:eastAsia="仿宋_GB2312" w:cs="宋体"/>
          <w:color w:val="000000"/>
          <w:kern w:val="0"/>
          <w:sz w:val="32"/>
          <w:szCs w:val="32"/>
        </w:rPr>
        <w:t>人，根据公车运行的相关要求，共有公务用车2辆。</w:t>
      </w: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2020年度，本单位年度决算收入为6621</w:t>
      </w:r>
      <w:r>
        <w:rPr>
          <w:rFonts w:hint="default" w:ascii="仿宋_GB2312" w:hAnsi="宋体" w:eastAsia="仿宋_GB2312" w:cs="宋体"/>
          <w:color w:val="000000"/>
          <w:kern w:val="0"/>
          <w:sz w:val="32"/>
          <w:szCs w:val="32"/>
          <w:lang w:val="en-US" w:eastAsia="zh-CN"/>
        </w:rPr>
        <w:t>万元，其中财政拨款（补助）收入</w:t>
      </w:r>
      <w:r>
        <w:rPr>
          <w:rFonts w:hint="eastAsia" w:ascii="仿宋_GB2312" w:hAnsi="宋体" w:eastAsia="仿宋_GB2312" w:cs="宋体"/>
          <w:color w:val="000000"/>
          <w:kern w:val="0"/>
          <w:sz w:val="32"/>
          <w:szCs w:val="32"/>
          <w:lang w:val="en-US" w:eastAsia="zh-CN"/>
        </w:rPr>
        <w:t>6621</w:t>
      </w:r>
      <w:r>
        <w:rPr>
          <w:rFonts w:hint="default" w:ascii="仿宋_GB2312" w:hAnsi="宋体" w:eastAsia="仿宋_GB2312" w:cs="宋体"/>
          <w:color w:val="000000"/>
          <w:kern w:val="0"/>
          <w:sz w:val="32"/>
          <w:szCs w:val="32"/>
          <w:lang w:val="en-US" w:eastAsia="zh-CN"/>
        </w:rPr>
        <w:t>万元，</w:t>
      </w:r>
      <w:r>
        <w:rPr>
          <w:rFonts w:hint="eastAsia" w:ascii="仿宋_GB2312" w:hAnsi="宋体" w:eastAsia="仿宋_GB2312" w:cs="宋体"/>
          <w:color w:val="000000"/>
          <w:kern w:val="0"/>
          <w:sz w:val="32"/>
          <w:szCs w:val="32"/>
          <w:lang w:val="en-US" w:eastAsia="zh-CN"/>
        </w:rPr>
        <w:t>决算</w:t>
      </w:r>
      <w:r>
        <w:rPr>
          <w:rFonts w:hint="default" w:ascii="仿宋_GB2312" w:hAnsi="宋体" w:eastAsia="仿宋_GB2312" w:cs="宋体"/>
          <w:color w:val="000000"/>
          <w:kern w:val="0"/>
          <w:sz w:val="32"/>
          <w:szCs w:val="32"/>
          <w:lang w:val="en-US" w:eastAsia="zh-CN"/>
        </w:rPr>
        <w:t>支出为</w:t>
      </w:r>
      <w:r>
        <w:rPr>
          <w:rFonts w:hint="eastAsia" w:ascii="仿宋_GB2312" w:hAnsi="宋体" w:eastAsia="仿宋_GB2312" w:cs="宋体"/>
          <w:color w:val="000000"/>
          <w:kern w:val="0"/>
          <w:sz w:val="32"/>
          <w:szCs w:val="32"/>
          <w:lang w:val="en-US" w:eastAsia="zh-CN"/>
        </w:rPr>
        <w:t>6343</w:t>
      </w:r>
      <w:r>
        <w:rPr>
          <w:rFonts w:hint="default" w:ascii="仿宋_GB2312" w:hAnsi="宋体" w:eastAsia="仿宋_GB2312" w:cs="宋体"/>
          <w:color w:val="000000"/>
          <w:kern w:val="0"/>
          <w:sz w:val="32"/>
          <w:szCs w:val="32"/>
          <w:lang w:val="en-US" w:eastAsia="zh-CN"/>
        </w:rPr>
        <w:t>万元，其中基本支出为</w:t>
      </w:r>
      <w:r>
        <w:rPr>
          <w:rFonts w:hint="eastAsia" w:ascii="仿宋_GB2312" w:hAnsi="宋体" w:eastAsia="仿宋_GB2312" w:cs="宋体"/>
          <w:color w:val="000000"/>
          <w:kern w:val="0"/>
          <w:sz w:val="32"/>
          <w:szCs w:val="32"/>
          <w:lang w:val="en-US" w:eastAsia="zh-CN"/>
        </w:rPr>
        <w:t>2555</w:t>
      </w:r>
      <w:r>
        <w:rPr>
          <w:rFonts w:hint="default" w:ascii="仿宋_GB2312" w:hAnsi="宋体" w:eastAsia="仿宋_GB2312" w:cs="宋体"/>
          <w:color w:val="000000"/>
          <w:kern w:val="0"/>
          <w:sz w:val="32"/>
          <w:szCs w:val="32"/>
          <w:lang w:val="en-US" w:eastAsia="zh-CN"/>
        </w:rPr>
        <w:t>万元，项目支出为</w:t>
      </w:r>
      <w:r>
        <w:rPr>
          <w:rFonts w:hint="eastAsia" w:ascii="仿宋_GB2312" w:hAnsi="宋体" w:eastAsia="仿宋_GB2312" w:cs="宋体"/>
          <w:color w:val="000000"/>
          <w:kern w:val="0"/>
          <w:sz w:val="32"/>
          <w:szCs w:val="32"/>
          <w:lang w:val="en-US" w:eastAsia="zh-CN"/>
        </w:rPr>
        <w:t>3787</w:t>
      </w:r>
      <w:r>
        <w:rPr>
          <w:rFonts w:hint="default" w:ascii="仿宋_GB2312" w:hAnsi="宋体" w:eastAsia="仿宋_GB2312" w:cs="宋体"/>
          <w:color w:val="000000"/>
          <w:kern w:val="0"/>
          <w:sz w:val="32"/>
          <w:szCs w:val="32"/>
          <w:lang w:val="en-US" w:eastAsia="zh-CN"/>
        </w:rPr>
        <w:t>万元。主要内容分为四大部分：（1）用于落实区委、区政府确定的重大事项工作，推动区域经济，扶持产业发展等工作开支；（</w:t>
      </w:r>
      <w:r>
        <w:rPr>
          <w:rFonts w:hint="eastAsia" w:ascii="仿宋_GB2312" w:hAnsi="宋体" w:eastAsia="仿宋_GB2312" w:cs="宋体"/>
          <w:color w:val="000000"/>
          <w:kern w:val="0"/>
          <w:sz w:val="32"/>
          <w:szCs w:val="32"/>
          <w:lang w:val="en-US" w:eastAsia="zh-CN"/>
        </w:rPr>
        <w:t>2</w:t>
      </w:r>
      <w:r>
        <w:rPr>
          <w:rFonts w:hint="default" w:ascii="仿宋_GB2312" w:hAnsi="宋体" w:eastAsia="仿宋_GB2312" w:cs="宋体"/>
          <w:color w:val="000000"/>
          <w:kern w:val="0"/>
          <w:sz w:val="32"/>
          <w:szCs w:val="32"/>
          <w:lang w:val="en-US" w:eastAsia="zh-CN"/>
        </w:rPr>
        <w:t>）安排重大项目前期费、重点工程工作开支、项目招投标工作开支；（</w:t>
      </w:r>
      <w:r>
        <w:rPr>
          <w:rFonts w:hint="eastAsia" w:ascii="仿宋_GB2312" w:hAnsi="宋体" w:eastAsia="仿宋_GB2312" w:cs="宋体"/>
          <w:color w:val="000000"/>
          <w:kern w:val="0"/>
          <w:sz w:val="32"/>
          <w:szCs w:val="32"/>
          <w:lang w:val="en-US" w:eastAsia="zh-CN"/>
        </w:rPr>
        <w:t>3</w:t>
      </w:r>
      <w:r>
        <w:rPr>
          <w:rFonts w:hint="default" w:ascii="仿宋_GB2312" w:hAnsi="宋体" w:eastAsia="仿宋_GB2312" w:cs="宋体"/>
          <w:color w:val="000000"/>
          <w:kern w:val="0"/>
          <w:sz w:val="32"/>
          <w:szCs w:val="32"/>
          <w:lang w:val="en-US" w:eastAsia="zh-CN"/>
        </w:rPr>
        <w:t>）全区两型社会建设综合配套改革工作，组织协调全区能源战略、开发、项目建设等工作开支；（</w:t>
      </w:r>
      <w:r>
        <w:rPr>
          <w:rFonts w:hint="eastAsia" w:ascii="仿宋_GB2312" w:hAnsi="宋体" w:eastAsia="仿宋_GB2312" w:cs="宋体"/>
          <w:color w:val="000000"/>
          <w:kern w:val="0"/>
          <w:sz w:val="32"/>
          <w:szCs w:val="32"/>
          <w:lang w:val="en-US" w:eastAsia="zh-CN"/>
        </w:rPr>
        <w:t>4</w:t>
      </w:r>
      <w:r>
        <w:rPr>
          <w:rFonts w:hint="default" w:ascii="仿宋_GB2312" w:hAnsi="宋体" w:eastAsia="仿宋_GB2312" w:cs="宋体"/>
          <w:color w:val="000000"/>
          <w:kern w:val="0"/>
          <w:sz w:val="32"/>
          <w:szCs w:val="32"/>
          <w:lang w:val="en-US" w:eastAsia="zh-CN"/>
        </w:rPr>
        <w:t>）安排社会民生等应急性民生项目工作开支。</w:t>
      </w:r>
    </w:p>
    <w:p>
      <w:pPr>
        <w:pStyle w:val="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p>
    <w:p>
      <w:pPr>
        <w:pStyle w:val="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p>
    <w:p>
      <w:pPr>
        <w:pStyle w:val="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p>
    <w:p>
      <w:pPr>
        <w:pStyle w:val="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0"/>
          <w:szCs w:val="30"/>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eastAsia" w:ascii="仿宋_GB2312" w:eastAsia="仿宋_GB2312"/>
          <w:sz w:val="30"/>
          <w:szCs w:val="30"/>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2020年本单位基本支出2555万，其中：人员经费2152万，日常公用经费403万，主要保障本单位机构正常运转、完成日常工作任务而发生的各项支出，包括用于在职和退休人员基本工资、津补贴等人员经费及办公费、印刷费、水电费、培训费、会议费、党建经费、工会经费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2、“三公”经费使用情况。加大对“三公”经费管理，推进厉行节约反对浪费工作的制度化、规范化、程序化，确保“三公”经费各项要求落到实处。2020</w:t>
      </w:r>
      <w:r>
        <w:rPr>
          <w:rFonts w:hint="default" w:ascii="仿宋_GB2312" w:eastAsia="仿宋_GB2312"/>
          <w:sz w:val="30"/>
          <w:szCs w:val="30"/>
          <w:lang w:val="en-US" w:eastAsia="zh-CN"/>
        </w:rPr>
        <w:t>年度“三公”经费预算安排为</w:t>
      </w:r>
      <w:r>
        <w:rPr>
          <w:rFonts w:hint="eastAsia" w:ascii="仿宋_GB2312" w:eastAsia="仿宋_GB2312"/>
          <w:sz w:val="30"/>
          <w:szCs w:val="30"/>
          <w:lang w:val="en-US" w:eastAsia="zh-CN"/>
        </w:rPr>
        <w:t>5.9</w:t>
      </w:r>
      <w:r>
        <w:rPr>
          <w:rFonts w:hint="default" w:ascii="仿宋_GB2312" w:eastAsia="仿宋_GB2312"/>
          <w:sz w:val="30"/>
          <w:szCs w:val="30"/>
          <w:lang w:val="en-US" w:eastAsia="zh-CN"/>
        </w:rPr>
        <w:t>万元，实际支出</w:t>
      </w:r>
      <w:r>
        <w:rPr>
          <w:rFonts w:hint="eastAsia" w:ascii="仿宋_GB2312" w:eastAsia="仿宋_GB2312"/>
          <w:sz w:val="30"/>
          <w:szCs w:val="30"/>
          <w:lang w:val="en-US" w:eastAsia="zh-CN"/>
        </w:rPr>
        <w:t>5.9</w:t>
      </w:r>
      <w:r>
        <w:rPr>
          <w:rFonts w:hint="default" w:ascii="仿宋_GB2312" w:eastAsia="仿宋_GB2312"/>
          <w:sz w:val="30"/>
          <w:szCs w:val="30"/>
          <w:lang w:val="en-US" w:eastAsia="zh-CN"/>
        </w:rPr>
        <w:t>万元，其中：公务接待费</w:t>
      </w:r>
      <w:r>
        <w:rPr>
          <w:rFonts w:hint="eastAsia" w:ascii="仿宋_GB2312" w:eastAsia="仿宋_GB2312"/>
          <w:sz w:val="30"/>
          <w:szCs w:val="30"/>
          <w:lang w:val="en-US" w:eastAsia="zh-CN"/>
        </w:rPr>
        <w:t>无</w:t>
      </w:r>
      <w:r>
        <w:rPr>
          <w:rFonts w:hint="default" w:ascii="仿宋_GB2312" w:eastAsia="仿宋_GB2312"/>
          <w:sz w:val="30"/>
          <w:szCs w:val="30"/>
          <w:lang w:val="en-US" w:eastAsia="zh-CN"/>
        </w:rPr>
        <w:t>；公务用车运行维护费</w:t>
      </w:r>
      <w:r>
        <w:rPr>
          <w:rFonts w:hint="eastAsia" w:ascii="仿宋_GB2312" w:eastAsia="仿宋_GB2312"/>
          <w:sz w:val="30"/>
          <w:szCs w:val="30"/>
          <w:lang w:val="en-US" w:eastAsia="zh-CN"/>
        </w:rPr>
        <w:t>5.9</w:t>
      </w:r>
      <w:r>
        <w:rPr>
          <w:rFonts w:hint="default" w:ascii="仿宋_GB2312" w:eastAsia="仿宋_GB2312"/>
          <w:sz w:val="30"/>
          <w:szCs w:val="30"/>
          <w:lang w:val="en-US" w:eastAsia="zh-CN"/>
        </w:rPr>
        <w:t>万元，主要用于公务用车燃油、维修、保险，洗车等方面支出；无因公出（国）境费，比去年度决算数</w:t>
      </w:r>
      <w:r>
        <w:rPr>
          <w:rFonts w:hint="eastAsia" w:ascii="仿宋_GB2312" w:eastAsia="仿宋_GB2312"/>
          <w:sz w:val="30"/>
          <w:szCs w:val="30"/>
          <w:lang w:val="en-US" w:eastAsia="zh-CN"/>
        </w:rPr>
        <w:t>6.5</w:t>
      </w:r>
      <w:r>
        <w:rPr>
          <w:rFonts w:hint="default" w:ascii="仿宋_GB2312" w:eastAsia="仿宋_GB2312"/>
          <w:sz w:val="30"/>
          <w:szCs w:val="30"/>
          <w:lang w:val="en-US" w:eastAsia="zh-CN"/>
        </w:rPr>
        <w:t>万元</w:t>
      </w:r>
      <w:r>
        <w:rPr>
          <w:rFonts w:hint="eastAsia" w:ascii="仿宋_GB2312" w:eastAsia="仿宋_GB2312"/>
          <w:sz w:val="30"/>
          <w:szCs w:val="30"/>
          <w:lang w:val="en-US" w:eastAsia="zh-CN"/>
        </w:rPr>
        <w:t>减少0.6万</w:t>
      </w:r>
      <w:r>
        <w:rPr>
          <w:rFonts w:hint="default" w:ascii="仿宋_GB2312" w:eastAsia="仿宋_GB2312"/>
          <w:sz w:val="30"/>
          <w:szCs w:val="30"/>
          <w:lang w:val="en-US" w:eastAsia="zh-CN"/>
        </w:rPr>
        <w:t>。主要原因</w:t>
      </w:r>
      <w:r>
        <w:rPr>
          <w:rFonts w:hint="eastAsia" w:ascii="仿宋_GB2312" w:eastAsia="仿宋_GB2312"/>
          <w:sz w:val="30"/>
          <w:szCs w:val="30"/>
          <w:lang w:val="en-US" w:eastAsia="zh-CN"/>
        </w:rPr>
        <w:t>厉行节约，减少开支。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（二）专项支出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1、2020年本单位预算安排专项资金6621万（包含一般公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共服务3533万、公共安全50万、社会保障和就业2069万、卫生健康192万、城乡社区498万。实际到位资金6621万，实际支出资金6621万。</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91" w:leftChars="0" w:firstLine="600" w:firstLineChars="2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实际支出资金6621万，其中，一般公共服务支出3533万，用于人员基本支出、军队转业干部安置支出；公共安全50万，用于治安管理等费用；社会保障和就业支出2069万，用于两保人员、巡防队员基本开支、下拨社区经费等费用；卫生健康费用192万，用于基本公共卫生服务支出62.5万；城乡社区498万，用于社区专项经费和城管经费开支。</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91"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项目资金管理情况分析，主要包括管理制度、办法的制订及执行情况。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严格按年初的预算安排支出进度，超预算或计划的费用不予审批和报销。确需追加的经费必须经过党政会集体讨论研究，办理预算经费追加手续后方可报账。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jc w:val="both"/>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报销的票据必须合法并注明用途，必须有经手人、证明人和财经审批人签字。个人借款，必须详细说明原因和还款日期，主管领导确认签字后报批</w:t>
      </w:r>
      <w:r>
        <w:rPr>
          <w:rFonts w:hint="eastAsia" w:ascii="仿宋_GB2312" w:eastAsia="仿宋_GB2312"/>
          <w:sz w:val="30"/>
          <w:szCs w:val="30"/>
          <w:lang w:eastAsia="zh-CN"/>
        </w:rPr>
        <w:t>；</w:t>
      </w:r>
      <w:r>
        <w:rPr>
          <w:rFonts w:hint="eastAsia" w:ascii="仿宋_GB2312" w:eastAsia="仿宋_GB2312"/>
          <w:sz w:val="30"/>
          <w:szCs w:val="30"/>
        </w:rPr>
        <w:t>不允许坐支、挪用现金和白条报账，不得超限额保留现金</w:t>
      </w:r>
      <w:r>
        <w:rPr>
          <w:rFonts w:hint="eastAsia" w:ascii="仿宋_GB2312" w:eastAsia="仿宋_GB2312"/>
          <w:sz w:val="30"/>
          <w:szCs w:val="30"/>
          <w:lang w:eastAsia="zh-CN"/>
        </w:rPr>
        <w:t>；</w:t>
      </w:r>
      <w:r>
        <w:rPr>
          <w:rFonts w:hint="eastAsia" w:ascii="仿宋_GB2312" w:eastAsia="仿宋_GB2312"/>
          <w:sz w:val="30"/>
          <w:szCs w:val="30"/>
        </w:rPr>
        <w:t>严禁私设小金库。不得通过各种方式套取现金，设立账外账</w:t>
      </w:r>
      <w:r>
        <w:rPr>
          <w:rFonts w:hint="eastAsia" w:ascii="仿宋_GB2312" w:eastAsia="仿宋_GB2312"/>
          <w:sz w:val="30"/>
          <w:szCs w:val="30"/>
          <w:lang w:eastAsia="zh-CN"/>
        </w:rPr>
        <w:t>；</w:t>
      </w:r>
      <w:r>
        <w:rPr>
          <w:rFonts w:hint="eastAsia" w:ascii="仿宋_GB2312" w:eastAsia="仿宋_GB2312"/>
          <w:sz w:val="30"/>
          <w:szCs w:val="30"/>
        </w:rPr>
        <w:t>各项收费必须使用财政部门领取的票据。票据由专人负责保管、正确使用、及时缴销。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200" w:firstLine="600" w:firstLineChars="200"/>
        <w:jc w:val="both"/>
        <w:textAlignment w:val="auto"/>
        <w:rPr>
          <w:rFonts w:hint="default" w:ascii="Times New Roman" w:hAnsi="Times New Roman" w:eastAsia="仿宋_GB2312" w:cs="Times New Roman"/>
          <w:sz w:val="32"/>
          <w:szCs w:val="32"/>
        </w:rPr>
      </w:pPr>
      <w:r>
        <w:rPr>
          <w:rFonts w:hint="eastAsia" w:ascii="仿宋_GB2312" w:eastAsia="仿宋_GB2312"/>
          <w:sz w:val="30"/>
          <w:szCs w:val="30"/>
          <w:lang w:eastAsia="zh-CN"/>
        </w:rPr>
        <w:t>严格管理，专款专用。本单位在</w:t>
      </w:r>
      <w:r>
        <w:rPr>
          <w:rFonts w:hint="eastAsia" w:ascii="仿宋_GB2312" w:eastAsia="仿宋_GB2312"/>
          <w:sz w:val="30"/>
          <w:szCs w:val="30"/>
          <w:lang w:val="en-US" w:eastAsia="zh-CN"/>
        </w:rPr>
        <w:t>2020年专项资金管理上面，严格按照规定使用资金，专款专用，无挤占和挪用专项资金，认真做到按资金按进度发放，未滞留、延压项目资金。在报账过程中，严格按照会计制度执行，报账员把报账的类容金额全部登记造册，对项目资金，严格按照专款专用的原则，按照专用资金进行拨付。对发现问题及时更改、纠正，认真处理，强化管理，有效杜绝财政专项资金在分配使用中违纪现象发生，保证财政资金使用安全。</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（一）专项组织情况分析，主要包括项目招投标、调整、 竣工验收等情况。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本单位对财政专项资金的分配、使用和管理按照专款专用、独立核算；统一支付、严格把关；跟踪问效、责任追究的原则进行管理。每个项目严格统一执行项目招投标和竣工验收,</w:t>
      </w:r>
      <w:r>
        <w:rPr>
          <w:rFonts w:hint="default" w:ascii="仿宋_GB2312" w:eastAsia="仿宋_GB2312"/>
          <w:sz w:val="30"/>
          <w:szCs w:val="30"/>
          <w:lang w:val="en-US" w:eastAsia="zh-CN"/>
        </w:rPr>
        <w:t>按照政府采购规定申报采购计划，实施过程中对资金投向及年度资金调度安排、固定资产购置（建设）实行全过程管理，确保如期完成</w:t>
      </w:r>
      <w:r>
        <w:rPr>
          <w:rFonts w:hint="eastAsia" w:ascii="仿宋_GB2312" w:eastAsia="仿宋_GB2312"/>
          <w:sz w:val="30"/>
          <w:szCs w:val="30"/>
          <w:lang w:val="en-US" w:eastAsia="zh-CN"/>
        </w:rPr>
        <w:t>。</w:t>
      </w:r>
      <w:r>
        <w:rPr>
          <w:rFonts w:hint="default" w:ascii="仿宋_GB2312" w:eastAsia="仿宋_GB2312"/>
          <w:sz w:val="30"/>
          <w:szCs w:val="30"/>
          <w:lang w:val="en-US" w:eastAsia="zh-CN"/>
        </w:rPr>
        <w:t>严格执行预算，对项目资金管理制定了管理办法，规范资金审批和支付程序，提高资金的使用效率。认真开展专项资金绩效管理，在资金分配中的项目申报、评审和安排，均按规定严格执行，各项重点工程资金安排都保证及时到位，每一笔收支都做到有依据、有凭证、有程序、有责任。建立专项资金内审制度，通过审计，及时发现问题，提出整改意见，增强自纠能力，确保专项资金依法管理与使用。没有发生专项资金的挤占、挪用、截流等违规现象</w:t>
      </w:r>
      <w:r>
        <w:rPr>
          <w:rFonts w:hint="eastAsia" w:ascii="仿宋_GB2312" w:eastAsia="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textAlignment w:val="auto"/>
        <w:rPr>
          <w:rFonts w:hint="eastAsia"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 xml:space="preserve">专项管理情况分析，主要包括项目管理制度建设、 日常检查监督管理等情况。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sz w:val="30"/>
          <w:szCs w:val="30"/>
        </w:rPr>
      </w:pPr>
      <w:r>
        <w:rPr>
          <w:rFonts w:hint="default" w:ascii="仿宋_GB2312" w:eastAsia="仿宋_GB2312"/>
          <w:sz w:val="30"/>
          <w:szCs w:val="30"/>
          <w:lang w:val="en-US" w:eastAsia="zh-CN"/>
        </w:rPr>
        <w:t>一是建立健全了办公费、差旅费、培训费等财务管理制度，强化财务约束，严格控制一般性支出，坚持会议费、“三公”经费等支出预算管理，杜绝无预算、超预算支出行为，并定期开展监督检查，推进厉行节约信息公开；二是提高预算管理水平，强化预算管理意识，增强部门预算编制的科学性；三是推进预算绩效管理，制定了预算绩效管理实施方案，提高财政资金使用效益；四是强化财务规范化管理，抓好内控体系和财务信息系统建设，加强对重点专项资金的监管。</w:t>
      </w:r>
    </w:p>
    <w:p>
      <w:pPr>
        <w:pStyle w:val="9"/>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lang w:eastAsia="zh-CN"/>
        </w:rPr>
      </w:pPr>
      <w:r>
        <w:rPr>
          <w:rFonts w:hint="eastAsia" w:ascii="仿宋_GB2312" w:hAnsi="宋体" w:eastAsia="仿宋_GB2312" w:cs="宋体"/>
          <w:color w:val="auto"/>
          <w:kern w:val="0"/>
          <w:sz w:val="32"/>
          <w:szCs w:val="32"/>
          <w:lang w:val="en-US" w:eastAsia="zh-CN" w:bidi="ar-SA"/>
        </w:rPr>
        <w:t>2020年固定资产增加33万元，主要包括通用设备、办公电脑、办公桌椅等固定资产等家具一系列办公需要物品。</w:t>
      </w:r>
      <w:r>
        <w:rPr>
          <w:rFonts w:hint="eastAsia" w:ascii="仿宋_GB2312" w:hAnsi="宋体" w:eastAsia="仿宋_GB2312" w:cs="宋体"/>
          <w:kern w:val="0"/>
          <w:sz w:val="32"/>
          <w:szCs w:val="32"/>
        </w:rPr>
        <w:t>流动资产总额为</w:t>
      </w:r>
      <w:r>
        <w:rPr>
          <w:rFonts w:hint="eastAsia" w:ascii="仿宋_GB2312" w:hAnsi="宋体" w:eastAsia="仿宋_GB2312" w:cs="宋体"/>
          <w:kern w:val="0"/>
          <w:sz w:val="32"/>
          <w:szCs w:val="32"/>
          <w:lang w:val="en-US" w:eastAsia="zh-CN"/>
        </w:rPr>
        <w:t>7141</w:t>
      </w:r>
      <w:r>
        <w:rPr>
          <w:rFonts w:hint="eastAsia" w:ascii="仿宋_GB2312" w:hAnsi="宋体" w:eastAsia="仿宋_GB2312" w:cs="宋体"/>
          <w:kern w:val="0"/>
          <w:sz w:val="32"/>
          <w:szCs w:val="32"/>
        </w:rPr>
        <w:t>万元，主要包括预付账款和其他应收款。无形资产无。</w:t>
      </w:r>
      <w:r>
        <w:rPr>
          <w:rFonts w:hint="eastAsia" w:ascii="仿宋_GB2312" w:eastAsia="仿宋_GB2312"/>
          <w:sz w:val="32"/>
          <w:szCs w:val="32"/>
        </w:rPr>
        <w:t>本年度，我单位无处置固定资产。</w:t>
      </w:r>
      <w:r>
        <w:rPr>
          <w:rFonts w:hint="eastAsia" w:ascii="仿宋_GB2312" w:eastAsia="仿宋_GB2312"/>
          <w:sz w:val="32"/>
          <w:szCs w:val="32"/>
          <w:lang w:eastAsia="zh-CN"/>
        </w:rPr>
        <w:t>本单位对固定资产管理要求：</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楷体_GB2312" w:hAnsi="Calibri" w:eastAsia="楷体_GB2312"/>
          <w:b/>
          <w:sz w:val="32"/>
          <w:szCs w:val="32"/>
        </w:rPr>
        <w:t>增强监管意识，认真落实资产管理责任。</w:t>
      </w:r>
      <w:r>
        <w:rPr>
          <w:rFonts w:hint="eastAsia" w:ascii="仿宋_GB2312" w:eastAsia="仿宋_GB2312"/>
          <w:sz w:val="32"/>
          <w:szCs w:val="32"/>
        </w:rPr>
        <w:t>充分认识到管好用好国有资产的重要性，把国有资产管理作为一项重要内容，列入本单位工作目标。明确单位主要领导为全面责任人、分管领导为主要责任人、使用部门负责人为直接责任人的三级管理责任制。应根据资产的不同类别，规定相应管理部门及责任人，并与部门责任人和直接责任人签订资产管理协议，定期考核责任履行情况。固定资产的责任人是资产管理部门，一要建立资产使用登记制度，明确使用人；二要建立资产定期盘点制度，关心资产的存量状况。</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　　</w:t>
      </w:r>
      <w:r>
        <w:rPr>
          <w:rFonts w:hint="eastAsia" w:ascii="楷体_GB2312" w:hAnsi="Calibri" w:eastAsia="楷体_GB2312"/>
          <w:b/>
          <w:sz w:val="32"/>
          <w:szCs w:val="32"/>
          <w:lang w:val="en-US" w:eastAsia="zh-CN"/>
        </w:rPr>
        <w:t>2、</w:t>
      </w:r>
      <w:r>
        <w:rPr>
          <w:rFonts w:hint="eastAsia" w:ascii="楷体_GB2312" w:hAnsi="Calibri" w:eastAsia="楷体_GB2312"/>
          <w:b/>
          <w:sz w:val="32"/>
          <w:szCs w:val="32"/>
        </w:rPr>
        <w:t>健全内控制度，规范内部管理行为。</w:t>
      </w:r>
      <w:r>
        <w:rPr>
          <w:rFonts w:hint="eastAsia" w:ascii="仿宋_GB2312" w:eastAsia="仿宋_GB2312"/>
          <w:sz w:val="32"/>
          <w:szCs w:val="32"/>
        </w:rPr>
        <w:t>各行政事业单位应建立健全内部监督和约束机制，尤其在固定资产管理、采购等方面，要加强内部控制，分离不相容岗位，严格支出审批、资产处置、采购及付款等环节的审批手续。对内控制度执行情况要由专门的机构或人员定期或不定期地进行检查。充分发挥单位内部</w:t>
      </w:r>
      <w:r>
        <w:fldChar w:fldCharType="begin"/>
      </w:r>
      <w:r>
        <w:instrText xml:space="preserve"> HYPERLINK "http://www.iaudit.cn/" \t "http://www.iaudit.cn/Item/_blank" </w:instrText>
      </w:r>
      <w:r>
        <w:fldChar w:fldCharType="separate"/>
      </w:r>
      <w:r>
        <w:rPr>
          <w:rFonts w:hint="eastAsia" w:ascii="仿宋_GB2312" w:eastAsia="仿宋_GB2312"/>
          <w:sz w:val="32"/>
          <w:szCs w:val="32"/>
        </w:rPr>
        <w:t>审计</w:t>
      </w:r>
      <w:r>
        <w:rPr>
          <w:rFonts w:hint="eastAsia" w:ascii="仿宋_GB2312" w:eastAsia="仿宋_GB2312"/>
          <w:sz w:val="32"/>
          <w:szCs w:val="32"/>
        </w:rPr>
        <w:fldChar w:fldCharType="end"/>
      </w:r>
      <w:r>
        <w:rPr>
          <w:rFonts w:hint="eastAsia" w:ascii="仿宋_GB2312" w:eastAsia="仿宋_GB2312"/>
          <w:sz w:val="32"/>
          <w:szCs w:val="32"/>
        </w:rPr>
        <w:t>和财务监督在资产管理中的作用，发现问题，严格追究相关人员责任，从而把国有资产管理纳入制度化、规范化的轨道。</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　　</w:t>
      </w:r>
      <w:r>
        <w:rPr>
          <w:rFonts w:hint="eastAsia" w:ascii="仿宋_GB2312" w:eastAsia="仿宋_GB2312"/>
          <w:sz w:val="32"/>
          <w:szCs w:val="32"/>
          <w:lang w:val="en-US" w:eastAsia="zh-CN"/>
        </w:rPr>
        <w:t>3、</w:t>
      </w:r>
      <w:r>
        <w:rPr>
          <w:rFonts w:hint="eastAsia" w:ascii="楷体_GB2312" w:hAnsi="Calibri" w:eastAsia="楷体_GB2312"/>
          <w:b/>
          <w:sz w:val="32"/>
          <w:szCs w:val="32"/>
        </w:rPr>
        <w:t>加强资产管理信息系统管理。</w:t>
      </w:r>
      <w:r>
        <w:rPr>
          <w:rFonts w:hint="eastAsia" w:ascii="仿宋_GB2312" w:eastAsia="仿宋_GB2312"/>
          <w:sz w:val="32"/>
          <w:szCs w:val="32"/>
        </w:rPr>
        <w:t>目前，各单位固定资产的管理进入自动化、科学化、规范化的新纪元，均已建立了固定资产管理系统，并已接入到财政资产管理信息系统网络。一是要把固定资产的</w:t>
      </w:r>
      <w:r>
        <w:rPr>
          <w:rFonts w:hint="eastAsia" w:ascii="仿宋_GB2312" w:eastAsia="仿宋_GB2312"/>
          <w:sz w:val="32"/>
          <w:szCs w:val="32"/>
          <w:lang w:eastAsia="zh-CN"/>
        </w:rPr>
        <w:t>台账</w:t>
      </w:r>
      <w:r>
        <w:rPr>
          <w:rFonts w:hint="eastAsia" w:ascii="仿宋_GB2312" w:eastAsia="仿宋_GB2312"/>
          <w:sz w:val="32"/>
          <w:szCs w:val="32"/>
        </w:rPr>
        <w:t>管理纳入到单位日常工作监管范围，要指定专人负责；二是要充分运用软件的信息功能，通过查询系统、报表输出、使用部门、存放地点、登记日期等单项信息查询，使单位及时掌握固定资产的动向及使用情况。三是要实现固定资产总账、明细账与资产管理信息系统的一致，固定资产如有变动，要及时登记相关账薄和信息系统，确保信息的统一。</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0"/>
          <w:szCs w:val="30"/>
        </w:rPr>
      </w:pPr>
      <w:r>
        <w:rPr>
          <w:rFonts w:hint="eastAsia" w:ascii="仿宋_GB2312" w:eastAsia="仿宋_GB2312"/>
          <w:sz w:val="32"/>
          <w:szCs w:val="32"/>
        </w:rPr>
        <w:t>　</w:t>
      </w:r>
      <w:r>
        <w:rPr>
          <w:rFonts w:hint="eastAsia" w:ascii="仿宋_GB2312" w:eastAsia="仿宋_GB2312"/>
          <w:sz w:val="32"/>
          <w:szCs w:val="32"/>
          <w:lang w:val="en-US" w:eastAsia="zh-CN"/>
        </w:rPr>
        <w:t>4、</w:t>
      </w:r>
      <w:r>
        <w:rPr>
          <w:rFonts w:hint="eastAsia" w:ascii="楷体_GB2312" w:hAnsi="Calibri" w:eastAsia="楷体_GB2312"/>
          <w:b/>
          <w:sz w:val="32"/>
          <w:szCs w:val="32"/>
        </w:rPr>
        <w:t>建立固定资产管理清查核对制度</w:t>
      </w:r>
      <w:r>
        <w:rPr>
          <w:rFonts w:hint="eastAsia" w:ascii="仿宋_GB2312" w:eastAsia="仿宋_GB2312"/>
          <w:sz w:val="32"/>
          <w:szCs w:val="32"/>
        </w:rPr>
        <w:t>。财会部门、资产管理部门与资产使用部门之间要加强信息沟通，每一年，共同组织人员对单位固定资产进行清查盘点，摸清家底，资产盘盈或盘亏按管理权限上报审批或审核备案，做到帐证、账实、账账相符，达到</w:t>
      </w:r>
      <w:r>
        <w:rPr>
          <w:rFonts w:ascii="仿宋_GB2312" w:eastAsia="仿宋_GB2312"/>
          <w:sz w:val="32"/>
          <w:szCs w:val="32"/>
        </w:rPr>
        <w:t>“</w:t>
      </w:r>
      <w:r>
        <w:rPr>
          <w:rFonts w:hint="eastAsia" w:ascii="仿宋_GB2312" w:eastAsia="仿宋_GB2312"/>
          <w:sz w:val="32"/>
          <w:szCs w:val="32"/>
        </w:rPr>
        <w:t>以查促管</w:t>
      </w:r>
      <w:r>
        <w:rPr>
          <w:rFonts w:ascii="仿宋_GB2312" w:eastAsia="仿宋_GB2312"/>
          <w:sz w:val="32"/>
          <w:szCs w:val="32"/>
        </w:rPr>
        <w:t>”</w:t>
      </w:r>
      <w:r>
        <w:rPr>
          <w:rFonts w:hint="eastAsia" w:ascii="仿宋_GB2312" w:eastAsia="仿宋_GB2312"/>
          <w:sz w:val="32"/>
          <w:szCs w:val="32"/>
        </w:rPr>
        <w:t>目的。</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、下一步改进措施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b/>
          <w:sz w:val="30"/>
          <w:szCs w:val="30"/>
        </w:rPr>
      </w:pPr>
      <w:r>
        <w:rPr>
          <w:rFonts w:hint="eastAsia" w:eastAsia="仿宋_GB2312"/>
          <w:sz w:val="32"/>
          <w:szCs w:val="32"/>
          <w:lang w:val="en-US" w:eastAsia="zh-CN"/>
        </w:rPr>
        <w:t>2020</w:t>
      </w:r>
      <w:r>
        <w:rPr>
          <w:rFonts w:hint="eastAsia" w:eastAsia="仿宋_GB2312"/>
          <w:sz w:val="32"/>
          <w:szCs w:val="32"/>
        </w:rPr>
        <w:t>年度，我街将对全街各项工作进行梳理，对相关经费需求进行全面预算，力争做到各项工作均有预算，各项预算开支有节有序。</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绩效自评结果拟应用和公开情况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 xml:space="preserve">  街道每年决算政务信息公开绩效自评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其他需要说明的情况</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7EAC1"/>
    <w:multiLevelType w:val="singleLevel"/>
    <w:tmpl w:val="D737EAC1"/>
    <w:lvl w:ilvl="0" w:tentative="0">
      <w:start w:val="1"/>
      <w:numFmt w:val="decimal"/>
      <w:suff w:val="nothing"/>
      <w:lvlText w:val="%1、"/>
      <w:lvlJc w:val="left"/>
    </w:lvl>
  </w:abstractNum>
  <w:abstractNum w:abstractNumId="1">
    <w:nsid w:val="03F90871"/>
    <w:multiLevelType w:val="singleLevel"/>
    <w:tmpl w:val="03F90871"/>
    <w:lvl w:ilvl="0" w:tentative="0">
      <w:start w:val="1"/>
      <w:numFmt w:val="chineseCounting"/>
      <w:suff w:val="nothing"/>
      <w:lvlText w:val="%1、"/>
      <w:lvlJc w:val="left"/>
      <w:rPr>
        <w:rFonts w:hint="eastAsia"/>
      </w:rPr>
    </w:lvl>
  </w:abstractNum>
  <w:abstractNum w:abstractNumId="2">
    <w:nsid w:val="4EA27550"/>
    <w:multiLevelType w:val="singleLevel"/>
    <w:tmpl w:val="4EA27550"/>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337B345B"/>
    <w:rsid w:val="03E34BA5"/>
    <w:rsid w:val="1085480A"/>
    <w:rsid w:val="2A736F37"/>
    <w:rsid w:val="2C0D77EC"/>
    <w:rsid w:val="337B345B"/>
    <w:rsid w:val="56016D3D"/>
    <w:rsid w:val="7C48413B"/>
    <w:rsid w:val="7C6E2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customStyle="1" w:styleId="5">
    <w:name w:val="font41"/>
    <w:basedOn w:val="4"/>
    <w:qFormat/>
    <w:uiPriority w:val="0"/>
    <w:rPr>
      <w:rFonts w:hint="eastAsia" w:ascii="宋体" w:hAnsi="宋体" w:eastAsia="宋体" w:cs="宋体"/>
      <w:color w:val="000000"/>
      <w:sz w:val="18"/>
      <w:szCs w:val="18"/>
      <w:u w:val="none"/>
    </w:rPr>
  </w:style>
  <w:style w:type="character" w:customStyle="1" w:styleId="6">
    <w:name w:val="font31"/>
    <w:basedOn w:val="4"/>
    <w:qFormat/>
    <w:uiPriority w:val="0"/>
    <w:rPr>
      <w:rFonts w:hint="default" w:ascii="Times New Roman" w:hAnsi="Times New Roman" w:cs="Times New Roman"/>
      <w:color w:val="000000"/>
      <w:sz w:val="18"/>
      <w:szCs w:val="18"/>
      <w:u w:val="none"/>
    </w:rPr>
  </w:style>
  <w:style w:type="character" w:customStyle="1" w:styleId="7">
    <w:name w:val="font21"/>
    <w:basedOn w:val="4"/>
    <w:qFormat/>
    <w:uiPriority w:val="0"/>
    <w:rPr>
      <w:rFonts w:hint="eastAsia" w:ascii="宋体" w:hAnsi="宋体" w:eastAsia="宋体" w:cs="宋体"/>
      <w:color w:val="FF0000"/>
      <w:sz w:val="18"/>
      <w:szCs w:val="18"/>
      <w:u w:val="none"/>
    </w:rPr>
  </w:style>
  <w:style w:type="character" w:customStyle="1" w:styleId="8">
    <w:name w:val="font11"/>
    <w:basedOn w:val="4"/>
    <w:qFormat/>
    <w:uiPriority w:val="0"/>
    <w:rPr>
      <w:rFonts w:hint="default" w:ascii="Times New Roman" w:hAnsi="Times New Roman" w:cs="Times New Roman"/>
      <w:color w:val="FF0000"/>
      <w:sz w:val="18"/>
      <w:szCs w:val="18"/>
      <w:u w:val="none"/>
    </w:rPr>
  </w:style>
  <w:style w:type="paragraph" w:styleId="9">
    <w:name w:val="List Paragraph"/>
    <w:basedOn w:val="1"/>
    <w:qFormat/>
    <w:uiPriority w:val="99"/>
    <w:pPr>
      <w:ind w:firstLine="420" w:firstLineChars="200"/>
    </w:pPr>
    <w:rPr>
      <w:rFonts w:ascii="Calibri" w:hAnsi="Calibri" w:eastAsia="宋体" w:cs="Times New Roman"/>
      <w:szCs w:val="22"/>
    </w:rPr>
  </w:style>
  <w:style w:type="paragraph" w:customStyle="1" w:styleId="10">
    <w:name w:val="列出段落1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7737</Words>
  <Characters>8081</Characters>
  <Lines>0</Lines>
  <Paragraphs>0</Paragraphs>
  <TotalTime>78</TotalTime>
  <ScaleCrop>false</ScaleCrop>
  <LinksUpToDate>false</LinksUpToDate>
  <CharactersWithSpaces>8203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2021-03-26T06:03:00Z</dcterms:created>
  <dc:creator>ZHONGXQ</dc:creator>
  <cp:lastModifiedBy>Administrator</cp:lastModifiedBy>
  <cp:lastPrinted>2021-03-31T01:49:00Z</cp:lastPrinted>
  <dcterms:modified xsi:type="dcterms:W3CDTF">2023-04-17T06:18:19Z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DF16E8E86ADF441DB7914077919E6B4D_13</vt:lpwstr>
  </property>
</Properties>
</file>