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2020年度雨花区东塘街道办事处部门整体支出预算绩效自评报告</w:t>
      </w:r>
    </w:p>
    <w:p>
      <w:pPr>
        <w:pStyle w:val="8"/>
        <w:widowControl/>
        <w:spacing w:line="520" w:lineRule="exact"/>
        <w:ind w:firstLine="640"/>
        <w:rPr>
          <w:rFonts w:ascii="仿宋_GB2312" w:hAnsi="仿宋_GB2312" w:eastAsia="仿宋_GB2312" w:cs="仿宋_GB2312"/>
          <w:b/>
          <w:bCs/>
          <w:sz w:val="32"/>
          <w:szCs w:val="32"/>
        </w:rPr>
      </w:pPr>
    </w:p>
    <w:p>
      <w:pPr>
        <w:pStyle w:val="8"/>
        <w:widowControl/>
        <w:spacing w:line="600" w:lineRule="exact"/>
        <w:ind w:firstLine="64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一、部门、单位基本情况</w:t>
      </w:r>
    </w:p>
    <w:p>
      <w:pPr>
        <w:pStyle w:val="3"/>
        <w:shd w:val="clear" w:color="auto" w:fill="FFFFFF"/>
        <w:spacing w:before="0" w:beforeAutospacing="0" w:after="0" w:afterAutospacing="0" w:line="6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二、部门整体支出管理及使用情况</w:t>
      </w:r>
    </w:p>
    <w:p>
      <w:pPr>
        <w:pStyle w:val="8"/>
        <w:widowControl/>
        <w:spacing w:line="600" w:lineRule="exact"/>
        <w:ind w:left="640" w:firstLine="0" w:firstLineChars="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（一）基本支出情况</w:t>
      </w:r>
    </w:p>
    <w:p>
      <w:pPr>
        <w:pStyle w:val="8"/>
        <w:widowControl/>
        <w:spacing w:line="600" w:lineRule="exact"/>
        <w:ind w:left="640" w:firstLine="0" w:firstLineChars="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（二）项目支出情况</w:t>
      </w:r>
    </w:p>
    <w:p>
      <w:pPr>
        <w:spacing w:after="0" w:line="600" w:lineRule="exact"/>
        <w:ind w:firstLine="645"/>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三、部门整体支出绩效情况</w:t>
      </w:r>
    </w:p>
    <w:p>
      <w:pPr>
        <w:pStyle w:val="8"/>
        <w:widowControl/>
        <w:spacing w:line="600" w:lineRule="exact"/>
        <w:ind w:left="640" w:firstLine="0" w:firstLineChars="0"/>
        <w:jc w:val="left"/>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四、存在的问题及原因分析</w:t>
      </w:r>
    </w:p>
    <w:p>
      <w:pPr>
        <w:spacing w:after="0" w:line="600" w:lineRule="exact"/>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bCs/>
          <w:sz w:val="32"/>
          <w:szCs w:val="32"/>
        </w:rPr>
        <w:t>五、下一步改进措施</w:t>
      </w:r>
    </w:p>
    <w:p>
      <w:pPr>
        <w:spacing w:after="0" w:line="600" w:lineRule="exact"/>
        <w:ind w:firstLine="640" w:firstLineChars="20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六、绩效自评结果拟应用和公开情况</w:t>
      </w:r>
    </w:p>
    <w:p>
      <w:pPr>
        <w:spacing w:after="0" w:line="600" w:lineRule="exact"/>
        <w:ind w:firstLine="640" w:firstLineChars="200"/>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七、其他需要说明的情况</w:t>
      </w: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rPr>
          <w:rFonts w:asciiTheme="minorEastAsia" w:hAnsiTheme="minorEastAsia" w:eastAsiaTheme="minorEastAsia"/>
        </w:rPr>
      </w:pP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单位名称（盖章）：长沙市雨花区东塘街道办事处</w:t>
      </w:r>
    </w:p>
    <w:p>
      <w:p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主要负责人（签字）：</w:t>
      </w:r>
    </w:p>
    <w:p>
      <w:pPr>
        <w:jc w:val="center"/>
        <w:rPr>
          <w:rFonts w:eastAsia="黑体"/>
          <w:sz w:val="32"/>
          <w:szCs w:val="32"/>
        </w:rPr>
      </w:pPr>
      <w:r>
        <w:rPr>
          <w:rFonts w:hint="eastAsia" w:asciiTheme="minorEastAsia" w:hAnsiTheme="minorEastAsia" w:eastAsiaTheme="minorEastAsia"/>
          <w:sz w:val="32"/>
          <w:szCs w:val="32"/>
        </w:rPr>
        <w:t>2021年3月</w:t>
      </w:r>
    </w:p>
    <w:p>
      <w:pPr>
        <w:spacing w:after="0" w:line="520" w:lineRule="exact"/>
        <w:jc w:val="center"/>
        <w:rPr>
          <w:b/>
          <w:sz w:val="32"/>
          <w:szCs w:val="32"/>
        </w:rPr>
      </w:pPr>
      <w:r>
        <w:rPr>
          <w:rFonts w:hint="eastAsia"/>
          <w:b/>
          <w:sz w:val="32"/>
          <w:szCs w:val="32"/>
        </w:rPr>
        <w:t xml:space="preserve">部门整体支出绩效报告 </w:t>
      </w:r>
    </w:p>
    <w:p>
      <w:pPr>
        <w:spacing w:after="0" w:line="520" w:lineRule="exact"/>
        <w:ind w:firstLine="750" w:firstLineChars="250"/>
        <w:rPr>
          <w:sz w:val="30"/>
          <w:szCs w:val="30"/>
        </w:rPr>
      </w:pPr>
    </w:p>
    <w:p>
      <w:pPr>
        <w:spacing w:after="0" w:line="520" w:lineRule="exact"/>
        <w:ind w:firstLine="753" w:firstLineChars="250"/>
        <w:rPr>
          <w:rFonts w:ascii="仿宋_GB2312" w:eastAsia="仿宋_GB2312"/>
          <w:b/>
          <w:sz w:val="30"/>
          <w:szCs w:val="30"/>
        </w:rPr>
      </w:pPr>
      <w:r>
        <w:rPr>
          <w:rFonts w:hint="eastAsia" w:ascii="仿宋_GB2312" w:eastAsia="仿宋_GB2312"/>
          <w:b/>
          <w:sz w:val="30"/>
          <w:szCs w:val="30"/>
        </w:rPr>
        <w:t xml:space="preserve">一、部门概况 </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（一）职能职责</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长沙市雨花区东塘街道办事处是长沙市雨花区人民政府的派出机关,为正科级。依法行使政府管理和服务职能。主要职责是：</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2、统筹区域发展。统筹落实市、区关于辖区发展的重大决策和建设规划,负责优化发展环境、采集企业信息、服务辖区企业、促进项目发展等工作。</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3、组织公共服务。组织实施与居民生活密切相关的各项公共服务事项,落实人力资源社会保障、民政、教育、文化、体育、卫生健康等领域相关法规政策。</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4、实施公共管理。负责辖区内城市管理等综合性管理工作,承担组织领导和综合协调职能。</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5、维护公共安全。承担辖区内社会治安综合治理、应急管理等有关工作,接待群众来信来访,反映社情民意,化解矛盾纠纷等。</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6、监督执法管理。对辖区内各类行政执法工作进行统筹协调,组织开展群众监督和社会监督。</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7、动员社会参与。动员辖区内各类单位、社会组织、社区居民等社会力量参与社会治理,为街道发展服务。</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8、保障社区自治。指导社区居委会建设,健全社区自治平台,组织驻区单位和社区居民参与社区建设、管理。</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9、完成上级党委、人民政府交办的其他任务。</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10、职能转变。一是取消城区街道招商引资、协税护税职能,将街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（二）机构设置情况</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东塘街道内设党政综合办公室、基层党建办公室、城市管理办公室（区域建设服务办公室）、公共服务办公室(行政审批服务办公室、优化营商环境服务办公室)、公共安全办公室。街道按有关规定或章程设置纪检监察、人大工委、人民武装等机构和工会、共青团、妇联等组织，并明确由街道党政领导分管。</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内设公益一类事业单位街道政务服务中心（街道党群服务中心）和街道网格化综合服务中心。另外，派驻机构的设置、职责和编制事项另行规定。街道财政所（“三资”监管服务中心、审计站）机构编制事项维持不变。街道人力资源和社会保障服务站、社会救助工作站维持原有管理体制不变。</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街道共有编制53人，实际在职在编人员44人，人才引进1人，挂编学生2人，转业士官1人，两保及雇员38人，退休干部19人。根据公车运行的相关要求，共有2辆公务用车。</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（三）部门预算单位构成</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本街道预算只有本级，没有其他二级预算单位，因此，纳入2020年东塘街道预算编制范围的只有东塘街道本级。</w:t>
      </w:r>
    </w:p>
    <w:p>
      <w:pPr>
        <w:pStyle w:val="3"/>
        <w:shd w:val="clear" w:color="auto" w:fill="FFFFFF"/>
        <w:spacing w:before="0" w:beforeAutospacing="0" w:after="0" w:afterAutospacing="0" w:line="520" w:lineRule="exact"/>
        <w:ind w:firstLine="600" w:firstLineChars="200"/>
        <w:rPr>
          <w:rFonts w:eastAsia="黑体"/>
          <w:sz w:val="30"/>
          <w:szCs w:val="30"/>
        </w:rPr>
      </w:pPr>
      <w:r>
        <w:rPr>
          <w:rFonts w:hint="eastAsia" w:eastAsia="黑体"/>
          <w:sz w:val="30"/>
          <w:szCs w:val="30"/>
        </w:rPr>
        <w:t>二、部门整体支出管理及使用情况</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2020年</w:t>
      </w:r>
      <w:r>
        <w:rPr>
          <w:rFonts w:ascii="仿宋" w:hAnsi="仿宋" w:eastAsia="仿宋" w:cs="宋体"/>
          <w:sz w:val="30"/>
          <w:szCs w:val="30"/>
        </w:rPr>
        <w:t>度</w:t>
      </w:r>
      <w:r>
        <w:rPr>
          <w:rFonts w:hint="eastAsia" w:ascii="仿宋" w:hAnsi="仿宋" w:eastAsia="仿宋" w:cs="宋体"/>
          <w:sz w:val="30"/>
          <w:szCs w:val="30"/>
        </w:rPr>
        <w:t>收入为4659.59万元，均为财政拨款收入。其中基本支出拨款收入1785.05万元，占38.31 %；项目支出拨款收入2874.54万元，占61.69%。支出决算数为4633.29万元，其中基本支出决算数1785.05万元，占38.53%；项目支出决算数2848.24万元，占61.47%。</w:t>
      </w:r>
    </w:p>
    <w:p>
      <w:pPr>
        <w:spacing w:after="0" w:line="520" w:lineRule="exact"/>
        <w:ind w:firstLine="600" w:firstLineChars="200"/>
        <w:rPr>
          <w:rFonts w:ascii="仿宋" w:hAnsi="仿宋" w:eastAsia="仿宋" w:cs="宋体"/>
          <w:sz w:val="30"/>
          <w:szCs w:val="30"/>
        </w:rPr>
      </w:pPr>
      <w:r>
        <w:rPr>
          <w:rFonts w:hint="eastAsia" w:ascii="仿宋" w:hAnsi="仿宋" w:eastAsia="仿宋" w:cs="宋体"/>
          <w:sz w:val="30"/>
          <w:szCs w:val="30"/>
        </w:rPr>
        <w:t>本年度结转和结余资金为26.3万元，其中基本支出拨款结转0万元；项目支出拨款结转26.3万元。</w:t>
      </w:r>
    </w:p>
    <w:p>
      <w:pPr>
        <w:spacing w:after="0" w:line="520" w:lineRule="exact"/>
        <w:ind w:firstLine="602" w:firstLineChars="200"/>
        <w:rPr>
          <w:rFonts w:ascii="仿宋" w:hAnsi="仿宋" w:eastAsia="仿宋"/>
          <w:b/>
          <w:sz w:val="30"/>
          <w:szCs w:val="30"/>
        </w:rPr>
      </w:pPr>
      <w:r>
        <w:rPr>
          <w:rFonts w:hint="eastAsia" w:ascii="仿宋" w:hAnsi="仿宋" w:eastAsia="仿宋"/>
          <w:b/>
          <w:sz w:val="30"/>
          <w:szCs w:val="30"/>
        </w:rPr>
        <w:t>（一）基本支出</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2020年度基本支出决算数1785.05 万元，占支出总额38.53%；主要包含2020年度人员工资福利支出1634.9万元、商品</w:t>
      </w:r>
      <w:r>
        <w:rPr>
          <w:rFonts w:ascii="仿宋" w:hAnsi="仿宋" w:eastAsia="仿宋"/>
          <w:sz w:val="30"/>
          <w:szCs w:val="30"/>
        </w:rPr>
        <w:t>和服务</w:t>
      </w:r>
      <w:r>
        <w:rPr>
          <w:rFonts w:hint="eastAsia" w:ascii="仿宋" w:hAnsi="仿宋" w:eastAsia="仿宋"/>
          <w:sz w:val="30"/>
          <w:szCs w:val="30"/>
        </w:rPr>
        <w:t>支出150.15万元。</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其中“三公”经费支出情况：公务车运行与维护费支出预算数5.94万元，决算数5.98万元，</w:t>
      </w:r>
      <w:r>
        <w:rPr>
          <w:rFonts w:ascii="仿宋" w:hAnsi="仿宋" w:eastAsia="仿宋"/>
          <w:sz w:val="30"/>
          <w:szCs w:val="30"/>
        </w:rPr>
        <w:t>原因</w:t>
      </w:r>
      <w:r>
        <w:rPr>
          <w:rFonts w:hint="eastAsia" w:ascii="仿宋" w:hAnsi="仿宋" w:eastAsia="仿宋"/>
          <w:sz w:val="30"/>
          <w:szCs w:val="30"/>
        </w:rPr>
        <w:t>是</w:t>
      </w:r>
      <w:r>
        <w:rPr>
          <w:rFonts w:ascii="仿宋" w:hAnsi="仿宋" w:eastAsia="仿宋"/>
          <w:sz w:val="30"/>
          <w:szCs w:val="30"/>
        </w:rPr>
        <w:t>公务</w:t>
      </w:r>
      <w:r>
        <w:rPr>
          <w:rFonts w:hint="eastAsia" w:ascii="仿宋" w:hAnsi="仿宋" w:eastAsia="仿宋"/>
          <w:sz w:val="30"/>
          <w:szCs w:val="30"/>
        </w:rPr>
        <w:t>车辆使用年限太久导致</w:t>
      </w:r>
      <w:r>
        <w:rPr>
          <w:rFonts w:ascii="仿宋" w:hAnsi="仿宋" w:eastAsia="仿宋"/>
          <w:sz w:val="30"/>
          <w:szCs w:val="30"/>
        </w:rPr>
        <w:t>维修费用</w:t>
      </w:r>
      <w:r>
        <w:rPr>
          <w:rFonts w:hint="eastAsia" w:ascii="仿宋" w:hAnsi="仿宋" w:eastAsia="仿宋"/>
          <w:sz w:val="30"/>
          <w:szCs w:val="30"/>
        </w:rPr>
        <w:t>有所增加；公务接待支出预算数0万元，决算数0万元，</w:t>
      </w:r>
      <w:r>
        <w:rPr>
          <w:rFonts w:ascii="仿宋" w:hAnsi="仿宋" w:eastAsia="仿宋"/>
          <w:sz w:val="30"/>
          <w:szCs w:val="30"/>
        </w:rPr>
        <w:t>原因是根据同城不接待的</w:t>
      </w:r>
      <w:r>
        <w:rPr>
          <w:rFonts w:hint="eastAsia" w:ascii="仿宋" w:hAnsi="仿宋" w:eastAsia="仿宋"/>
          <w:sz w:val="30"/>
          <w:szCs w:val="30"/>
        </w:rPr>
        <w:t>政策，</w:t>
      </w:r>
      <w:r>
        <w:rPr>
          <w:rFonts w:ascii="仿宋" w:hAnsi="仿宋" w:eastAsia="仿宋"/>
          <w:sz w:val="30"/>
          <w:szCs w:val="30"/>
        </w:rPr>
        <w:t>所以公务接待费为</w:t>
      </w:r>
      <w:r>
        <w:rPr>
          <w:rFonts w:hint="eastAsia" w:ascii="仿宋" w:hAnsi="仿宋" w:eastAsia="仿宋"/>
          <w:sz w:val="30"/>
          <w:szCs w:val="30"/>
        </w:rPr>
        <w:t>零；因公出国出境预算数0万元，决算数0万元。</w:t>
      </w:r>
    </w:p>
    <w:p>
      <w:pPr>
        <w:spacing w:after="0" w:line="520" w:lineRule="exact"/>
        <w:ind w:firstLine="602" w:firstLineChars="200"/>
        <w:rPr>
          <w:rFonts w:ascii="仿宋" w:hAnsi="仿宋" w:eastAsia="仿宋"/>
          <w:b/>
          <w:sz w:val="30"/>
          <w:szCs w:val="30"/>
        </w:rPr>
      </w:pPr>
      <w:r>
        <w:rPr>
          <w:rFonts w:hint="eastAsia" w:ascii="仿宋" w:hAnsi="仿宋" w:eastAsia="仿宋"/>
          <w:b/>
          <w:sz w:val="30"/>
          <w:szCs w:val="30"/>
        </w:rPr>
        <w:t>（二）项目支出</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1、项目支出决算数2848.24万元，占总支出的61.47%。</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2、专项资金（主要指财政资金）实际使用情况如下：</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一般公</w:t>
      </w:r>
      <w:r>
        <w:rPr>
          <w:rFonts w:ascii="仿宋" w:hAnsi="仿宋" w:eastAsia="仿宋"/>
          <w:sz w:val="30"/>
          <w:szCs w:val="30"/>
        </w:rPr>
        <w:t>共服务支出</w:t>
      </w:r>
      <w:r>
        <w:rPr>
          <w:rFonts w:hint="eastAsia" w:ascii="仿宋" w:hAnsi="仿宋" w:eastAsia="仿宋"/>
          <w:sz w:val="30"/>
          <w:szCs w:val="30"/>
        </w:rPr>
        <w:t>342.1万元</w:t>
      </w:r>
      <w:r>
        <w:rPr>
          <w:rFonts w:ascii="仿宋" w:hAnsi="仿宋" w:eastAsia="仿宋"/>
          <w:sz w:val="30"/>
          <w:szCs w:val="30"/>
        </w:rPr>
        <w:t>，实际使用</w:t>
      </w:r>
      <w:r>
        <w:rPr>
          <w:rFonts w:hint="eastAsia" w:ascii="仿宋" w:hAnsi="仿宋" w:eastAsia="仿宋"/>
          <w:sz w:val="30"/>
          <w:szCs w:val="30"/>
        </w:rPr>
        <w:t>342.1万元。</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公</w:t>
      </w:r>
      <w:r>
        <w:rPr>
          <w:rFonts w:ascii="仿宋" w:hAnsi="仿宋" w:eastAsia="仿宋"/>
          <w:sz w:val="30"/>
          <w:szCs w:val="30"/>
        </w:rPr>
        <w:t>共安全支出</w:t>
      </w:r>
      <w:r>
        <w:rPr>
          <w:rFonts w:hint="eastAsia" w:ascii="仿宋" w:hAnsi="仿宋" w:eastAsia="仿宋"/>
          <w:sz w:val="30"/>
          <w:szCs w:val="30"/>
        </w:rPr>
        <w:t>122万元</w:t>
      </w:r>
      <w:r>
        <w:rPr>
          <w:rFonts w:ascii="仿宋" w:hAnsi="仿宋" w:eastAsia="仿宋"/>
          <w:sz w:val="30"/>
          <w:szCs w:val="30"/>
        </w:rPr>
        <w:t>，实际使用</w:t>
      </w:r>
      <w:r>
        <w:rPr>
          <w:rFonts w:hint="eastAsia" w:ascii="仿宋" w:hAnsi="仿宋" w:eastAsia="仿宋"/>
          <w:sz w:val="30"/>
          <w:szCs w:val="30"/>
        </w:rPr>
        <w:t>122万元</w:t>
      </w:r>
      <w:r>
        <w:rPr>
          <w:rFonts w:ascii="仿宋" w:hAnsi="仿宋" w:eastAsia="仿宋"/>
          <w:sz w:val="30"/>
          <w:szCs w:val="30"/>
        </w:rPr>
        <w:t>。</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文化旅游体育与传媒支出50万元，实际使用50万元。</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社会</w:t>
      </w:r>
      <w:r>
        <w:rPr>
          <w:rFonts w:ascii="仿宋" w:hAnsi="仿宋" w:eastAsia="仿宋"/>
          <w:sz w:val="30"/>
          <w:szCs w:val="30"/>
        </w:rPr>
        <w:t>保障和就业支出</w:t>
      </w:r>
      <w:r>
        <w:rPr>
          <w:rFonts w:hint="eastAsia" w:ascii="仿宋" w:hAnsi="仿宋" w:eastAsia="仿宋"/>
          <w:sz w:val="30"/>
          <w:szCs w:val="30"/>
        </w:rPr>
        <w:t>1772.21万元</w:t>
      </w:r>
      <w:r>
        <w:rPr>
          <w:rFonts w:ascii="仿宋" w:hAnsi="仿宋" w:eastAsia="仿宋"/>
          <w:sz w:val="30"/>
          <w:szCs w:val="30"/>
        </w:rPr>
        <w:t>，实际使用</w:t>
      </w:r>
      <w:r>
        <w:rPr>
          <w:rFonts w:hint="eastAsia" w:ascii="仿宋" w:hAnsi="仿宋" w:eastAsia="仿宋"/>
          <w:sz w:val="30"/>
          <w:szCs w:val="30"/>
        </w:rPr>
        <w:t>1696.25万元</w:t>
      </w:r>
      <w:r>
        <w:rPr>
          <w:rFonts w:ascii="仿宋" w:hAnsi="仿宋" w:eastAsia="仿宋"/>
          <w:sz w:val="30"/>
          <w:szCs w:val="30"/>
        </w:rPr>
        <w:t>。</w:t>
      </w:r>
    </w:p>
    <w:p>
      <w:pPr>
        <w:spacing w:after="0" w:line="520" w:lineRule="exact"/>
        <w:ind w:firstLine="600" w:firstLineChars="200"/>
        <w:rPr>
          <w:rFonts w:ascii="仿宋" w:hAnsi="仿宋" w:eastAsia="仿宋"/>
          <w:sz w:val="30"/>
          <w:szCs w:val="30"/>
        </w:rPr>
      </w:pPr>
      <w:r>
        <w:rPr>
          <w:rFonts w:ascii="仿宋" w:hAnsi="仿宋" w:eastAsia="仿宋"/>
          <w:sz w:val="30"/>
          <w:szCs w:val="30"/>
        </w:rPr>
        <w:t>卫生与</w:t>
      </w:r>
      <w:r>
        <w:rPr>
          <w:rFonts w:hint="eastAsia" w:ascii="仿宋" w:hAnsi="仿宋" w:eastAsia="仿宋"/>
          <w:sz w:val="30"/>
          <w:szCs w:val="30"/>
        </w:rPr>
        <w:t>健康支</w:t>
      </w:r>
      <w:r>
        <w:rPr>
          <w:rFonts w:ascii="仿宋" w:hAnsi="仿宋" w:eastAsia="仿宋"/>
          <w:sz w:val="30"/>
          <w:szCs w:val="30"/>
        </w:rPr>
        <w:t>出</w:t>
      </w:r>
      <w:r>
        <w:rPr>
          <w:rFonts w:hint="eastAsia" w:ascii="仿宋" w:hAnsi="仿宋" w:eastAsia="仿宋"/>
          <w:sz w:val="30"/>
          <w:szCs w:val="30"/>
        </w:rPr>
        <w:t>125.51万元</w:t>
      </w:r>
      <w:r>
        <w:rPr>
          <w:rFonts w:ascii="仿宋" w:hAnsi="仿宋" w:eastAsia="仿宋"/>
          <w:sz w:val="30"/>
          <w:szCs w:val="30"/>
        </w:rPr>
        <w:t>，实际使用</w:t>
      </w:r>
      <w:r>
        <w:rPr>
          <w:rFonts w:hint="eastAsia" w:ascii="仿宋" w:hAnsi="仿宋" w:eastAsia="仿宋"/>
          <w:sz w:val="30"/>
          <w:szCs w:val="30"/>
        </w:rPr>
        <w:t>125.51万元</w:t>
      </w:r>
      <w:r>
        <w:rPr>
          <w:rFonts w:ascii="仿宋" w:hAnsi="仿宋" w:eastAsia="仿宋"/>
          <w:sz w:val="30"/>
          <w:szCs w:val="30"/>
        </w:rPr>
        <w:t>。</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城乡</w:t>
      </w:r>
      <w:r>
        <w:rPr>
          <w:rFonts w:ascii="仿宋" w:hAnsi="仿宋" w:eastAsia="仿宋"/>
          <w:sz w:val="30"/>
          <w:szCs w:val="30"/>
        </w:rPr>
        <w:t>社区支出</w:t>
      </w:r>
      <w:r>
        <w:rPr>
          <w:rFonts w:hint="eastAsia" w:ascii="仿宋" w:hAnsi="仿宋" w:eastAsia="仿宋"/>
          <w:sz w:val="30"/>
          <w:szCs w:val="30"/>
        </w:rPr>
        <w:t>332.38万元</w:t>
      </w:r>
      <w:r>
        <w:rPr>
          <w:rFonts w:ascii="仿宋" w:hAnsi="仿宋" w:eastAsia="仿宋"/>
          <w:sz w:val="30"/>
          <w:szCs w:val="30"/>
        </w:rPr>
        <w:t>，实际使用</w:t>
      </w:r>
      <w:r>
        <w:rPr>
          <w:rFonts w:hint="eastAsia" w:ascii="仿宋" w:hAnsi="仿宋" w:eastAsia="仿宋"/>
          <w:sz w:val="30"/>
          <w:szCs w:val="30"/>
        </w:rPr>
        <w:t>332.38万元</w:t>
      </w:r>
      <w:r>
        <w:rPr>
          <w:rFonts w:ascii="仿宋" w:hAnsi="仿宋" w:eastAsia="仿宋"/>
          <w:sz w:val="30"/>
          <w:szCs w:val="30"/>
        </w:rPr>
        <w:t>。</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节能环保支出180万元，实际使用180万元。</w:t>
      </w:r>
    </w:p>
    <w:p>
      <w:pPr>
        <w:pStyle w:val="3"/>
        <w:spacing w:before="0" w:beforeAutospacing="0" w:after="0" w:afterAutospacing="0" w:line="520" w:lineRule="exact"/>
        <w:rPr>
          <w:rFonts w:ascii="仿宋" w:hAnsi="仿宋" w:eastAsia="仿宋" w:cs="Times New Roman"/>
          <w:color w:val="222222"/>
          <w:sz w:val="30"/>
          <w:szCs w:val="30"/>
        </w:rPr>
      </w:pPr>
      <w:r>
        <w:rPr>
          <w:rFonts w:ascii="仿宋" w:hAnsi="仿宋" w:eastAsia="仿宋" w:cs="Times New Roman"/>
          <w:color w:val="222222"/>
          <w:sz w:val="30"/>
          <w:szCs w:val="30"/>
        </w:rPr>
        <w:t>　　本单位在</w:t>
      </w:r>
      <w:r>
        <w:rPr>
          <w:rFonts w:hint="eastAsia" w:ascii="仿宋" w:hAnsi="仿宋" w:eastAsia="仿宋" w:cs="Times New Roman"/>
          <w:color w:val="222222"/>
          <w:sz w:val="30"/>
          <w:szCs w:val="30"/>
        </w:rPr>
        <w:t>2020</w:t>
      </w:r>
      <w:r>
        <w:rPr>
          <w:rFonts w:ascii="仿宋" w:hAnsi="仿宋" w:eastAsia="仿宋" w:cs="Times New Roman"/>
          <w:color w:val="222222"/>
          <w:sz w:val="30"/>
          <w:szCs w:val="30"/>
        </w:rPr>
        <w:t>年专项资金管理上面，严格按照规定使用资金，专款专用，无挤占和挪用专项资金，认真做到按资金按进度使用，未滞留、延压项目资金。在报账过程中，严格按照会计制度执行，报账员逐笔登记专项资金台账，严格按照专款专用、优先使用的原则，按照专用资金进行拨付。对发现问题及时更改、纠正，认真处理，强化管理，有效杜绝财政专项资金在分配使用中违纪现象发生，保证财政资金使用安全。</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本单位专项资金使用时均按相关要求、相关制度进行，得到了有效监管。</w:t>
      </w:r>
    </w:p>
    <w:p>
      <w:pPr>
        <w:spacing w:after="0" w:line="520" w:lineRule="exact"/>
        <w:ind w:firstLine="600" w:firstLineChars="200"/>
        <w:rPr>
          <w:rFonts w:ascii="黑体" w:hAnsi="黑体" w:eastAsia="黑体"/>
          <w:sz w:val="30"/>
          <w:szCs w:val="30"/>
        </w:rPr>
      </w:pPr>
      <w:r>
        <w:rPr>
          <w:rFonts w:hint="eastAsia" w:ascii="黑体" w:hAnsi="黑体" w:eastAsia="黑体"/>
          <w:sz w:val="30"/>
          <w:szCs w:val="30"/>
        </w:rPr>
        <w:t>三、部门整体支出绩效情况</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2020年，根据街道年初确定的工作目标，狠抓增收节支，深化财政改革，落实积极财政政策，强化管理，加强预算收支管理，不断建立健全内部管理制度，全力以赴做好“稳增长、调结构、促改革、惠民生”等各项工作，在区域经济增速放缓的不利环境下，克难攻坚，为经济社会健康发展提供有力保障。根据2020年度部门整体支出状况的概述和分析，部门整体支出绩效情况如下：</w:t>
      </w:r>
    </w:p>
    <w:p>
      <w:pPr>
        <w:spacing w:after="0" w:line="520" w:lineRule="exact"/>
        <w:ind w:firstLine="300" w:firstLineChars="100"/>
        <w:rPr>
          <w:rFonts w:ascii="仿宋" w:hAnsi="仿宋" w:eastAsia="仿宋"/>
          <w:sz w:val="30"/>
          <w:szCs w:val="30"/>
        </w:rPr>
      </w:pPr>
      <w:r>
        <w:rPr>
          <w:rFonts w:hint="eastAsia" w:ascii="仿宋" w:hAnsi="仿宋" w:eastAsia="仿宋"/>
          <w:sz w:val="30"/>
          <w:szCs w:val="30"/>
        </w:rPr>
        <w:t>（一）经济效益评价</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1、本年预算配置控制较好。财政供养人员控制在预算编制以内，编制内在职人员控制率小于100%。</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2、预算执行方面。支出总额控制在预算总额以内，本年部门预算未进行预算相关事项的调整；我街道在取得财政局的年度预算批复时，随批复一同进行了预算下达。</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3、预算管理方面，制度执行总体较为有效，仍需进一步强化；资金使用管理需进一步加强。</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4、资产管理方面，建立了资产管理制度，定期进行了盘点和资产清查。</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（二）效率性评价和有效性评价</w:t>
      </w:r>
    </w:p>
    <w:p>
      <w:pPr>
        <w:spacing w:after="0" w:line="520" w:lineRule="exact"/>
        <w:ind w:firstLine="600" w:firstLineChars="200"/>
        <w:rPr>
          <w:rFonts w:ascii="仿宋" w:hAnsi="仿宋" w:eastAsia="仿宋"/>
          <w:sz w:val="30"/>
          <w:szCs w:val="30"/>
        </w:rPr>
      </w:pPr>
      <w:r>
        <w:rPr>
          <w:rFonts w:hint="eastAsia" w:ascii="仿宋" w:hAnsi="仿宋" w:eastAsia="仿宋"/>
          <w:sz w:val="30"/>
          <w:szCs w:val="30"/>
        </w:rPr>
        <w:t>我街道预算安排的基本支出保障了正常的工作运转，在执行上是严格遵守各项财经纪律的。在资金的管理和使用上，严守法律底线、纪律底线、道德底线。</w:t>
      </w:r>
    </w:p>
    <w:p>
      <w:pPr>
        <w:spacing w:after="0" w:line="520" w:lineRule="exact"/>
        <w:ind w:firstLine="450" w:firstLineChars="150"/>
        <w:rPr>
          <w:rFonts w:ascii="仿宋" w:hAnsi="仿宋" w:eastAsia="仿宋"/>
          <w:sz w:val="30"/>
          <w:szCs w:val="30"/>
        </w:rPr>
      </w:pPr>
      <w:r>
        <w:rPr>
          <w:rFonts w:hint="eastAsia" w:ascii="仿宋" w:hAnsi="仿宋" w:eastAsia="仿宋"/>
          <w:sz w:val="30"/>
          <w:szCs w:val="30"/>
        </w:rPr>
        <w:t>（三）社会公众满意度评价</w:t>
      </w:r>
    </w:p>
    <w:p>
      <w:pPr>
        <w:spacing w:after="0"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2020年，东塘街道紧扣“聚焦发展，奋力攻坚”工作主题，围绕“六争六比”攻坚活动，齐抓疫情防控和经济社会发展，全力保障和改善民生，社会公众满意度高。</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1、规范管理，党建工作量化创新。</w:t>
      </w:r>
      <w:r>
        <w:rPr>
          <w:rFonts w:hint="eastAsia" w:ascii="仿宋" w:hAnsi="仿宋" w:eastAsia="仿宋" w:cs="仿宋_GB2312"/>
          <w:sz w:val="30"/>
          <w:szCs w:val="30"/>
        </w:rPr>
        <w:t>创新推进“一社区一品牌”工作。打造社区“红色网格服务联盟”，全面推动“三零”社区建设。做实做细“双报到”“双报告”工作，深化新雨社区“5280”党员服务自助餐项目，加强省人大社区“小区管家”建设，构建党建引领小区治理模式。创新党员分类管理方式，将社区党员划分为社工党员等6大类，并设立“六员四岗”进行管理。组织开设基层治理能力培训班，现已开设7期，培训对象达420人次。全面推进两新组织“两个覆盖”工作，积极探索楼宇党建“12345”工作法，创新推行“楼长制”，打造鑫融国际“融”模式和商会大厦“六色名片”等楼宇党建品牌。</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2、攻坚克难，经济建设稳步推进。</w:t>
      </w:r>
      <w:r>
        <w:rPr>
          <w:rFonts w:hint="eastAsia" w:ascii="仿宋" w:hAnsi="仿宋" w:eastAsia="仿宋" w:cs="仿宋_GB2312"/>
          <w:sz w:val="30"/>
          <w:szCs w:val="30"/>
        </w:rPr>
        <w:t>全社会固定资产投资1-9月已完成10.8亿，预计本年完成15亿；社会消费品零售额1-9月已完成634605千元，同比下降19%，预计本年完成884605千元；其他营利性服务业1-9月已完成1396939千元，同比增长11.7%，预计本年完成1891353千元。截至目前，新认定高新技术企业8家，新增及引进重点软件和信息类企业67家，完成招商去库存面积19210平方米，转化异地税源企业22家。高质量推进第七次全国人口普查工作。积极参加百日竞赛活动、夜间经济活动，帮助企业复工复产、复商复市。全力抓项目建设，帮助新里程国贸中心、新里程广场、金色蓝庭、中富航银座项目解决夜间渣土运输、总部公司落户等问题。</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3、措施得力，社会秩序和谐稳定。</w:t>
      </w:r>
      <w:r>
        <w:rPr>
          <w:rFonts w:hint="eastAsia" w:ascii="仿宋" w:hAnsi="仿宋" w:eastAsia="仿宋" w:cs="仿宋_GB2312"/>
          <w:sz w:val="30"/>
          <w:szCs w:val="30"/>
        </w:rPr>
        <w:t>大力推行平安建设,发送平安信息累计超过5万余条，张贴宣传海报2000余张,发放宣传手册3万余份。注重去存量、控增量、防变量，成功化解疫情防控期间华银园小区舆论风险及涉疫诉求减免租“大都市地下商业街”“东塘百货交易大楼”纠纷，并因化解群众性矛盾获赠居民锦旗2幅。全街去年12月至今年10月底共调解矛盾纠纷198起，调解成功率100%。夯实社区法律顾问工作，2020年提供法律咨询200余次，开展法治宣传活动13次，参与调解20次。圆满完成两会</w:t>
      </w:r>
      <w:r>
        <w:rPr>
          <w:rFonts w:hint="eastAsia" w:ascii="仿宋" w:hAnsi="仿宋" w:eastAsia="仿宋" w:cs="仿宋_GB2312"/>
          <w:sz w:val="30"/>
          <w:szCs w:val="30"/>
          <w:lang w:eastAsia="zh-CN"/>
        </w:rPr>
        <w:t>、</w:t>
      </w:r>
      <w:r>
        <w:rPr>
          <w:rFonts w:hint="eastAsia" w:ascii="仿宋" w:hAnsi="仿宋" w:eastAsia="仿宋" w:cs="仿宋_GB2312"/>
          <w:sz w:val="30"/>
          <w:szCs w:val="30"/>
        </w:rPr>
        <w:t>“国庆”</w:t>
      </w:r>
      <w:r>
        <w:rPr>
          <w:rFonts w:hint="eastAsia" w:ascii="仿宋" w:hAnsi="仿宋" w:eastAsia="仿宋" w:cs="仿宋_GB2312"/>
          <w:sz w:val="30"/>
          <w:szCs w:val="30"/>
          <w:lang w:eastAsia="zh-CN"/>
        </w:rPr>
        <w:t>、</w:t>
      </w:r>
      <w:r>
        <w:rPr>
          <w:rFonts w:hint="eastAsia" w:ascii="仿宋" w:hAnsi="仿宋" w:eastAsia="仿宋" w:cs="仿宋_GB2312"/>
          <w:sz w:val="30"/>
          <w:szCs w:val="30"/>
        </w:rPr>
        <w:t>十九届五中全会等特护期工作，截至目前无一例进京到省赴市来区非访事件。深入推进扫黑除恶专项斗争，完成区扫黑办线索移交核实办理3件。</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4、重点突出，民生事业齐头并进。</w:t>
      </w:r>
      <w:r>
        <w:rPr>
          <w:rFonts w:hint="eastAsia" w:ascii="仿宋" w:hAnsi="仿宋" w:eastAsia="仿宋" w:cs="仿宋_GB2312"/>
          <w:sz w:val="30"/>
          <w:szCs w:val="30"/>
        </w:rPr>
        <w:t>打</w:t>
      </w:r>
      <w:bookmarkStart w:id="0" w:name="_GoBack"/>
      <w:bookmarkEnd w:id="0"/>
      <w:r>
        <w:rPr>
          <w:rFonts w:hint="eastAsia" w:ascii="仿宋" w:hAnsi="仿宋" w:eastAsia="仿宋" w:cs="仿宋_GB2312"/>
          <w:sz w:val="30"/>
          <w:szCs w:val="30"/>
        </w:rPr>
        <w:t xml:space="preserve">造“一门式受理、一门式办结”的便民服务模式。新增芙蓉南路社区助餐点，做实政院社区老年幸福餐桌试点项目及全街推广工作，破解老年人就餐问题。完成省人大机关宿舍楼和工人文化宫宿舍楼的老旧小区改造。协调完成芙蓉中路文化步道建设；督促东塘社区综合文化服务中心项目建设。打造浦沅社区家庭医生工作室，完善“15分钟健康服务圈”。有序实施59个惠民资金项目，现大部分项目已完工验收。购买社会组织服务项目8个，协助金牌帮女郎工作室完成“东塘街道社区文化课堂项目”的落地。    </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5、标本兼治，辖区环境展现新貌。</w:t>
      </w:r>
      <w:r>
        <w:rPr>
          <w:rFonts w:hint="eastAsia" w:ascii="仿宋" w:hAnsi="仿宋" w:eastAsia="仿宋" w:cs="仿宋_GB2312"/>
          <w:sz w:val="30"/>
          <w:szCs w:val="30"/>
        </w:rPr>
        <w:t>采取日常精细维护与定期集中整治相结合的方式，积极开展路面大清洗、卫生大清扫、垃圾大清运的“三清”活动。在牛婆塘小区和六都小区开展“每户每天一袋厨余垃圾”源头分类溯源试点，率先在全区完成社区垃圾分类全覆盖，率先构建厨余垃圾收运体系，全街厨余垃圾分类收运占比达到15%以上，在全区一直排名前列。2020年，街道实现“零负面清单”“零重复类投诉案卷”，综合指数内街排名第一。构建街道－社区网格（10个）－单元网格（46个）-微网格（115个）四级网格化管理体系，自4月27日正式上线运行以来，累计上报工单案件11859条，结案率99.72%。</w:t>
      </w:r>
    </w:p>
    <w:p>
      <w:pPr>
        <w:spacing w:after="0" w:line="520" w:lineRule="exact"/>
        <w:ind w:firstLine="602" w:firstLineChars="200"/>
        <w:rPr>
          <w:rFonts w:ascii="仿宋" w:hAnsi="仿宋" w:eastAsia="仿宋" w:cs="仿宋_GB2312"/>
          <w:sz w:val="30"/>
          <w:szCs w:val="30"/>
        </w:rPr>
      </w:pPr>
      <w:r>
        <w:rPr>
          <w:rFonts w:hint="eastAsia" w:ascii="仿宋" w:hAnsi="仿宋" w:eastAsia="仿宋" w:cs="楷体_GB2312"/>
          <w:b/>
          <w:bCs/>
          <w:sz w:val="30"/>
          <w:szCs w:val="30"/>
        </w:rPr>
        <w:t>6、严把关口，疫情防控扎实有效。</w:t>
      </w:r>
      <w:r>
        <w:rPr>
          <w:rFonts w:hint="eastAsia" w:ascii="仿宋" w:hAnsi="仿宋" w:eastAsia="仿宋" w:cs="仿宋_GB2312"/>
          <w:sz w:val="30"/>
          <w:szCs w:val="30"/>
        </w:rPr>
        <w:t>第一时间落实湖南一级应急响应，发动党员群众筑牢疫情防控墙。累计摸排湖北籍入湘和湘籍入鄂返湘人数为646人，其中武汉来湘、返湘170人；境外归国人员（包括港澳台）累计214人，其中139人已在入境地完成隔离返长，均已按要求录入新冠肺炎防控信息系统，所有人都已进行核酸检测，并将重点人群纳入四包一管理。辖区确诊病例7例，密接6人，目前都已痊愈，疫情没有蔓延。</w:t>
      </w:r>
    </w:p>
    <w:p>
      <w:pPr>
        <w:spacing w:after="0" w:line="520" w:lineRule="exact"/>
        <w:rPr>
          <w:rFonts w:ascii="黑体" w:hAnsi="黑体" w:eastAsia="黑体"/>
          <w:sz w:val="30"/>
          <w:szCs w:val="30"/>
        </w:rPr>
      </w:pPr>
      <w:r>
        <w:rPr>
          <w:rFonts w:ascii="黑体" w:hAnsi="黑体" w:eastAsia="黑体" w:cs="宋体"/>
          <w:color w:val="333333"/>
          <w:sz w:val="30"/>
          <w:szCs w:val="30"/>
        </w:rPr>
        <w:t>　　</w:t>
      </w:r>
      <w:r>
        <w:rPr>
          <w:rFonts w:hint="eastAsia" w:ascii="黑体" w:hAnsi="黑体" w:eastAsia="黑体"/>
          <w:sz w:val="30"/>
          <w:szCs w:val="30"/>
        </w:rPr>
        <w:t>四、存在的主要问题及原因分析</w:t>
      </w:r>
    </w:p>
    <w:p>
      <w:pPr>
        <w:pStyle w:val="3"/>
        <w:spacing w:before="0" w:beforeAutospacing="0" w:after="0" w:afterAutospacing="0" w:line="520" w:lineRule="exact"/>
        <w:ind w:firstLine="600" w:firstLineChars="200"/>
        <w:rPr>
          <w:rFonts w:ascii="仿宋" w:hAnsi="仿宋" w:eastAsia="仿宋"/>
          <w:color w:val="222222"/>
          <w:sz w:val="30"/>
          <w:szCs w:val="30"/>
        </w:rPr>
      </w:pPr>
      <w:r>
        <w:rPr>
          <w:rFonts w:hint="eastAsia" w:ascii="仿宋" w:hAnsi="仿宋" w:eastAsia="仿宋"/>
          <w:sz w:val="30"/>
          <w:szCs w:val="30"/>
        </w:rPr>
        <w:t>2020年度我街道各项工作有序开展，在资金监管方面还存在一定的滞后。主要原因在于街道零星事项多，各项职责职能变化较大，工作任务繁重，监管对象覆盖面广，在进行2020年度预算时，尚无法完全预计2020年度各项工作任务及其经费需求。</w:t>
      </w:r>
    </w:p>
    <w:p>
      <w:pPr>
        <w:spacing w:after="0" w:line="520" w:lineRule="exact"/>
        <w:ind w:firstLine="600" w:firstLineChars="200"/>
        <w:rPr>
          <w:rFonts w:ascii="黑体" w:hAnsi="黑体" w:eastAsia="黑体"/>
          <w:sz w:val="30"/>
          <w:szCs w:val="30"/>
        </w:rPr>
      </w:pPr>
      <w:r>
        <w:rPr>
          <w:rFonts w:hint="eastAsia" w:ascii="黑体" w:hAnsi="黑体" w:eastAsia="黑体"/>
          <w:sz w:val="30"/>
          <w:szCs w:val="30"/>
        </w:rPr>
        <w:t>五、下一步改进措施</w:t>
      </w:r>
    </w:p>
    <w:p>
      <w:pPr>
        <w:spacing w:after="0" w:line="520" w:lineRule="exact"/>
        <w:ind w:firstLine="600" w:firstLineChars="200"/>
        <w:rPr>
          <w:rFonts w:ascii="仿宋" w:hAnsi="仿宋" w:eastAsia="仿宋" w:cs="宋体"/>
          <w:color w:val="333333"/>
          <w:sz w:val="30"/>
          <w:szCs w:val="30"/>
        </w:rPr>
      </w:pPr>
      <w:r>
        <w:rPr>
          <w:rFonts w:ascii="仿宋" w:hAnsi="仿宋" w:eastAsia="仿宋" w:cs="宋体"/>
          <w:color w:val="333333"/>
          <w:sz w:val="30"/>
          <w:szCs w:val="30"/>
        </w:rPr>
        <w:t>1</w:t>
      </w:r>
      <w:r>
        <w:rPr>
          <w:rFonts w:hint="eastAsia" w:ascii="仿宋" w:hAnsi="仿宋" w:eastAsia="仿宋" w:cs="宋体"/>
          <w:color w:val="333333"/>
          <w:sz w:val="30"/>
          <w:szCs w:val="30"/>
        </w:rPr>
        <w:t>、</w:t>
      </w:r>
      <w:r>
        <w:rPr>
          <w:rFonts w:ascii="仿宋" w:hAnsi="仿宋" w:eastAsia="仿宋" w:cs="宋体"/>
          <w:color w:val="333333"/>
          <w:sz w:val="30"/>
          <w:szCs w:val="30"/>
        </w:rPr>
        <w:t>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部门预算“二上二下”方式，提高预算的合理性和准确性。</w:t>
      </w:r>
    </w:p>
    <w:p>
      <w:pPr>
        <w:spacing w:after="0" w:line="520" w:lineRule="exact"/>
        <w:rPr>
          <w:rFonts w:ascii="仿宋" w:hAnsi="仿宋" w:eastAsia="仿宋" w:cs="宋体"/>
          <w:color w:val="333333"/>
          <w:sz w:val="30"/>
          <w:szCs w:val="30"/>
        </w:rPr>
      </w:pPr>
      <w:r>
        <w:rPr>
          <w:rFonts w:ascii="仿宋" w:hAnsi="仿宋" w:eastAsia="仿宋" w:cs="宋体"/>
          <w:color w:val="333333"/>
          <w:sz w:val="30"/>
          <w:szCs w:val="30"/>
        </w:rPr>
        <w:t>　　2</w:t>
      </w:r>
      <w:r>
        <w:rPr>
          <w:rFonts w:hint="eastAsia" w:ascii="仿宋" w:hAnsi="仿宋" w:eastAsia="仿宋" w:cs="宋体"/>
          <w:color w:val="333333"/>
          <w:sz w:val="30"/>
          <w:szCs w:val="30"/>
        </w:rPr>
        <w:t>、</w:t>
      </w:r>
      <w:r>
        <w:rPr>
          <w:rFonts w:ascii="仿宋" w:hAnsi="仿宋" w:eastAsia="仿宋" w:cs="宋体"/>
          <w:color w:val="333333"/>
          <w:sz w:val="30"/>
          <w:szCs w:val="30"/>
        </w:rPr>
        <w:t>加强财务管理，严格财务审核。在费用报账支付时，按照预算规定的费用项目和用途进行资金使用审核、列报支付、财务核算，杜绝超支现象的发生。</w:t>
      </w:r>
    </w:p>
    <w:p>
      <w:pPr>
        <w:spacing w:after="0" w:line="520" w:lineRule="exact"/>
        <w:ind w:firstLine="585"/>
        <w:rPr>
          <w:rFonts w:ascii="仿宋" w:hAnsi="仿宋" w:eastAsia="仿宋" w:cs="宋体"/>
          <w:color w:val="333333"/>
          <w:sz w:val="30"/>
          <w:szCs w:val="30"/>
        </w:rPr>
      </w:pPr>
      <w:r>
        <w:rPr>
          <w:rFonts w:ascii="仿宋" w:hAnsi="仿宋" w:eastAsia="仿宋" w:cs="宋体"/>
          <w:color w:val="333333"/>
          <w:sz w:val="30"/>
          <w:szCs w:val="30"/>
        </w:rPr>
        <w:t>3</w:t>
      </w:r>
      <w:r>
        <w:rPr>
          <w:rFonts w:hint="eastAsia" w:ascii="仿宋" w:hAnsi="仿宋" w:eastAsia="仿宋" w:cs="宋体"/>
          <w:color w:val="333333"/>
          <w:sz w:val="30"/>
          <w:szCs w:val="30"/>
        </w:rPr>
        <w:t>、</w:t>
      </w:r>
      <w:r>
        <w:rPr>
          <w:rFonts w:ascii="仿宋" w:hAnsi="仿宋" w:eastAsia="仿宋" w:cs="宋体"/>
          <w:color w:val="333333"/>
          <w:sz w:val="30"/>
          <w:szCs w:val="30"/>
        </w:rPr>
        <w:t>持续抓好“三公”经费控制管理。严格控制“三公”经费的规模和比例，把关“三公”经费支出的审核、审批，进一步细化“三公”经费的管理，合理压缩“三公”经费支出。</w:t>
      </w:r>
    </w:p>
    <w:p>
      <w:pPr>
        <w:spacing w:after="0" w:line="520" w:lineRule="exact"/>
        <w:ind w:firstLine="585"/>
        <w:rPr>
          <w:rFonts w:ascii="仿宋" w:hAnsi="仿宋" w:eastAsia="仿宋" w:cs="宋体"/>
          <w:color w:val="333333"/>
          <w:sz w:val="30"/>
          <w:szCs w:val="30"/>
        </w:rPr>
      </w:pPr>
      <w:r>
        <w:rPr>
          <w:rFonts w:ascii="仿宋" w:hAnsi="仿宋" w:eastAsia="仿宋" w:cs="宋体"/>
          <w:color w:val="333333"/>
          <w:sz w:val="30"/>
          <w:szCs w:val="30"/>
        </w:rPr>
        <w:t>4</w:t>
      </w:r>
      <w:r>
        <w:rPr>
          <w:rFonts w:hint="eastAsia" w:ascii="仿宋" w:hAnsi="仿宋" w:eastAsia="仿宋" w:cs="宋体"/>
          <w:color w:val="333333"/>
          <w:sz w:val="30"/>
          <w:szCs w:val="30"/>
        </w:rPr>
        <w:t>、</w:t>
      </w:r>
      <w:r>
        <w:rPr>
          <w:rFonts w:ascii="仿宋" w:hAnsi="仿宋" w:eastAsia="仿宋" w:cs="宋体"/>
          <w:color w:val="333333"/>
          <w:sz w:val="30"/>
          <w:szCs w:val="30"/>
        </w:rPr>
        <w:t>加强项目开展进度的跟踪，开展项目绩效评价，确保项目绩效目标的完成。</w:t>
      </w:r>
    </w:p>
    <w:p>
      <w:pPr>
        <w:spacing w:after="0" w:line="520" w:lineRule="exact"/>
        <w:ind w:firstLine="600" w:firstLineChars="200"/>
        <w:rPr>
          <w:rFonts w:ascii="黑体" w:hAnsi="黑体" w:eastAsia="黑体" w:cs="仿宋_GB2312"/>
          <w:bCs/>
          <w:sz w:val="30"/>
          <w:szCs w:val="30"/>
        </w:rPr>
      </w:pPr>
      <w:r>
        <w:rPr>
          <w:rFonts w:hint="eastAsia" w:ascii="黑体" w:hAnsi="黑体" w:eastAsia="黑体" w:cs="仿宋_GB2312"/>
          <w:bCs/>
          <w:sz w:val="30"/>
          <w:szCs w:val="30"/>
        </w:rPr>
        <w:t>六、绩效自评结果拟应用和公开情况</w:t>
      </w:r>
    </w:p>
    <w:p>
      <w:pPr>
        <w:spacing w:after="0"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我单位适时对绩效自评结果进行抽查并加强抽查结果应用，绩效自评结果将作为以后年度项目立项和经费支持的重要依据。对绩效自评结果与实际情况出入较大或绩效较差的项目下一年度的预算从紧从严，同时按照区财政局的统一要求，对绩效评价情况予以公开。</w:t>
      </w:r>
    </w:p>
    <w:p>
      <w:pPr>
        <w:spacing w:after="0" w:line="520" w:lineRule="exact"/>
        <w:ind w:firstLine="600" w:firstLineChars="200"/>
        <w:rPr>
          <w:rFonts w:ascii="黑体" w:hAnsi="黑体" w:eastAsia="黑体" w:cs="仿宋_GB2312"/>
          <w:bCs/>
          <w:sz w:val="30"/>
          <w:szCs w:val="30"/>
        </w:rPr>
      </w:pPr>
      <w:r>
        <w:rPr>
          <w:rFonts w:hint="eastAsia" w:ascii="黑体" w:hAnsi="黑体" w:eastAsia="黑体" w:cs="仿宋_GB2312"/>
          <w:bCs/>
          <w:sz w:val="30"/>
          <w:szCs w:val="30"/>
        </w:rPr>
        <w:t>七、其他需要说明的情况</w:t>
      </w:r>
    </w:p>
    <w:p>
      <w:pPr>
        <w:spacing w:after="0" w:line="52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无</w:t>
      </w:r>
    </w:p>
    <w:p>
      <w:pPr>
        <w:spacing w:after="0" w:line="520" w:lineRule="exact"/>
        <w:ind w:firstLine="585"/>
        <w:rPr>
          <w:rFonts w:ascii="仿宋" w:hAnsi="仿宋" w:eastAsia="仿宋"/>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173"/>
        <w:tab w:val="clear" w:pos="4153"/>
      </w:tabs>
      <w:ind w:left="7380" w:hanging="7380" w:hangingChars="4100"/>
      <w:rPr>
        <w:sz w:val="28"/>
        <w:szCs w:val="28"/>
      </w:rPr>
    </w:pPr>
    <w:r>
      <w:t xml:space="preserve">   </w:t>
    </w:r>
    <w:r>
      <w:rPr>
        <w:rFonts w:hint="eastAsia"/>
      </w:rPr>
      <w:t xml:space="preserve">                                                                       </w:t>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hiMDc3ZTJkNzc0OTUyNjE0YzAwNDY5Y2E4YTgifQ=="/>
  </w:docVars>
  <w:rsids>
    <w:rsidRoot w:val="00D31D50"/>
    <w:rsid w:val="00010973"/>
    <w:rsid w:val="00061AE7"/>
    <w:rsid w:val="000A3CE2"/>
    <w:rsid w:val="0011051B"/>
    <w:rsid w:val="00144D41"/>
    <w:rsid w:val="00254F2A"/>
    <w:rsid w:val="002641E2"/>
    <w:rsid w:val="00323B43"/>
    <w:rsid w:val="00376663"/>
    <w:rsid w:val="003D37D8"/>
    <w:rsid w:val="003D4EA5"/>
    <w:rsid w:val="004171E3"/>
    <w:rsid w:val="00422D73"/>
    <w:rsid w:val="00426133"/>
    <w:rsid w:val="004358AB"/>
    <w:rsid w:val="004379D7"/>
    <w:rsid w:val="00454A81"/>
    <w:rsid w:val="0049292A"/>
    <w:rsid w:val="004965F8"/>
    <w:rsid w:val="004D0165"/>
    <w:rsid w:val="00555374"/>
    <w:rsid w:val="005E4940"/>
    <w:rsid w:val="00746566"/>
    <w:rsid w:val="007545FD"/>
    <w:rsid w:val="00874696"/>
    <w:rsid w:val="008B7726"/>
    <w:rsid w:val="008D3ACF"/>
    <w:rsid w:val="008F123B"/>
    <w:rsid w:val="00931538"/>
    <w:rsid w:val="0096219B"/>
    <w:rsid w:val="00973E0D"/>
    <w:rsid w:val="009A48F5"/>
    <w:rsid w:val="009D4D95"/>
    <w:rsid w:val="00A400F9"/>
    <w:rsid w:val="00A80C30"/>
    <w:rsid w:val="00A87E3B"/>
    <w:rsid w:val="00B82CEB"/>
    <w:rsid w:val="00C3659E"/>
    <w:rsid w:val="00C51072"/>
    <w:rsid w:val="00C800D7"/>
    <w:rsid w:val="00C95637"/>
    <w:rsid w:val="00CA3A85"/>
    <w:rsid w:val="00CC06D6"/>
    <w:rsid w:val="00D15B66"/>
    <w:rsid w:val="00D31D50"/>
    <w:rsid w:val="00D70CD3"/>
    <w:rsid w:val="00DB5E56"/>
    <w:rsid w:val="00DF4CEC"/>
    <w:rsid w:val="00DF5C25"/>
    <w:rsid w:val="00E9083B"/>
    <w:rsid w:val="6ACA3ADE"/>
    <w:rsid w:val="6B13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widowControl w:val="0"/>
      <w:tabs>
        <w:tab w:val="center" w:pos="4153"/>
        <w:tab w:val="right" w:pos="8306"/>
      </w:tabs>
      <w:adjustRightInd/>
      <w:spacing w:after="0"/>
    </w:pPr>
    <w:rPr>
      <w:rFonts w:asciiTheme="minorHAnsi" w:hAnsiTheme="minorHAnsi"/>
      <w:kern w:val="2"/>
      <w:sz w:val="18"/>
      <w:szCs w:val="18"/>
    </w:rPr>
  </w:style>
  <w:style w:type="paragraph" w:styleId="3">
    <w:name w:val="Normal (Web)"/>
    <w:basedOn w:val="1"/>
    <w:unhideWhenUsed/>
    <w:uiPriority w:val="0"/>
    <w:pPr>
      <w:adjustRightInd/>
      <w:snapToGrid/>
      <w:spacing w:before="100" w:beforeAutospacing="1" w:after="100" w:afterAutospacing="1"/>
    </w:pPr>
    <w:rPr>
      <w:rFonts w:ascii="宋体" w:hAnsi="宋体" w:eastAsia="宋体" w:cs="宋体"/>
      <w:sz w:val="24"/>
      <w:szCs w:val="24"/>
    </w:rPr>
  </w:style>
  <w:style w:type="character" w:customStyle="1" w:styleId="6">
    <w:name w:val="页脚 Char"/>
    <w:basedOn w:val="5"/>
    <w:link w:val="2"/>
    <w:uiPriority w:val="0"/>
    <w:rPr>
      <w:kern w:val="2"/>
      <w:sz w:val="18"/>
      <w:szCs w:val="18"/>
    </w:rPr>
  </w:style>
  <w:style w:type="character" w:customStyle="1" w:styleId="7">
    <w:name w:val="页脚 Char1"/>
    <w:basedOn w:val="5"/>
    <w:link w:val="2"/>
    <w:semiHidden/>
    <w:uiPriority w:val="99"/>
    <w:rPr>
      <w:rFonts w:ascii="Tahoma" w:hAnsi="Tahoma"/>
      <w:sz w:val="18"/>
      <w:szCs w:val="18"/>
    </w:rPr>
  </w:style>
  <w:style w:type="paragraph" w:styleId="8">
    <w:name w:val="List Paragraph"/>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9">
    <w:name w:val="font4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default" w:ascii="Times New Roman" w:hAnsi="Times New Roman" w:cs="Times New Roman"/>
      <w:color w:val="000000"/>
      <w:sz w:val="18"/>
      <w:szCs w:val="18"/>
      <w:u w:val="none"/>
    </w:rPr>
  </w:style>
  <w:style w:type="character" w:customStyle="1" w:styleId="11">
    <w:name w:val="font21"/>
    <w:basedOn w:val="5"/>
    <w:qFormat/>
    <w:uiPriority w:val="0"/>
    <w:rPr>
      <w:rFonts w:hint="eastAsia" w:ascii="宋体" w:hAnsi="宋体" w:eastAsia="宋体" w:cs="宋体"/>
      <w:color w:val="FF0000"/>
      <w:sz w:val="18"/>
      <w:szCs w:val="18"/>
      <w:u w:val="none"/>
    </w:rPr>
  </w:style>
  <w:style w:type="character" w:customStyle="1" w:styleId="12">
    <w:name w:val="font11"/>
    <w:basedOn w:val="5"/>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4751</Words>
  <Characters>5046</Characters>
  <Lines>36</Lines>
  <Paragraphs>10</Paragraphs>
  <TotalTime>107</TotalTime>
  <ScaleCrop>false</ScaleCrop>
  <LinksUpToDate>false</LinksUpToDate>
  <CharactersWithSpaces>5060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伍静芳</cp:lastModifiedBy>
  <dcterms:modified xsi:type="dcterms:W3CDTF">2024-03-15T06:42:03Z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DF0824DDC12A47988531B5D1CC197639</vt:lpwstr>
  </property>
</Properties>
</file>