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黑体" w:hAnsi="黑体" w:eastAsia="黑体" w:cs="黑体"/>
          <w:b w:val="0"/>
          <w:bCs w:val="0"/>
          <w:sz w:val="44"/>
          <w:szCs w:val="44"/>
        </w:rPr>
      </w:pPr>
      <w:r>
        <w:rPr>
          <w:rFonts w:hint="eastAsia" w:ascii="黑体" w:hAnsi="黑体" w:eastAsia="黑体" w:cs="黑体"/>
          <w:b w:val="0"/>
          <w:bCs w:val="0"/>
          <w:sz w:val="36"/>
          <w:szCs w:val="36"/>
          <w:lang w:val="en-US" w:eastAsia="zh-CN"/>
        </w:rPr>
        <w:t>2020</w:t>
      </w:r>
      <w:r>
        <w:rPr>
          <w:rFonts w:hint="eastAsia" w:ascii="黑体" w:hAnsi="黑体" w:eastAsia="黑体" w:cs="黑体"/>
          <w:b w:val="0"/>
          <w:bCs w:val="0"/>
          <w:sz w:val="36"/>
          <w:szCs w:val="36"/>
        </w:rPr>
        <w:t>年度</w:t>
      </w:r>
      <w:r>
        <w:rPr>
          <w:rFonts w:hint="eastAsia" w:ascii="黑体" w:hAnsi="黑体" w:eastAsia="黑体" w:cs="黑体"/>
          <w:b w:val="0"/>
          <w:bCs w:val="0"/>
          <w:sz w:val="36"/>
          <w:szCs w:val="36"/>
          <w:lang w:eastAsia="zh-CN"/>
        </w:rPr>
        <w:t>长沙市雨花现代电子商务物流管理委员会</w:t>
      </w:r>
      <w:r>
        <w:rPr>
          <w:rFonts w:hint="eastAsia" w:ascii="黑体" w:hAnsi="黑体" w:eastAsia="黑体" w:cs="黑体"/>
          <w:b w:val="0"/>
          <w:bCs w:val="0"/>
          <w:sz w:val="36"/>
          <w:szCs w:val="36"/>
        </w:rPr>
        <w:t>部门整体支出预算绩效自评报告</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r>
        <w:rPr>
          <w:rFonts w:hint="eastAsia" w:ascii="黑体" w:hAnsi="黑体" w:eastAsia="黑体" w:cs="黑体"/>
          <w:b w:val="0"/>
          <w:bCs w:val="0"/>
          <w:sz w:val="36"/>
          <w:szCs w:val="36"/>
          <w:lang w:eastAsia="zh-CN"/>
        </w:rPr>
        <w:t>长沙市雨花现代电子商务物流管理委员会</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填报单位：</w:t>
      </w:r>
      <w:r>
        <w:rPr>
          <w:rFonts w:hint="eastAsia" w:ascii="仿宋" w:hAnsi="仿宋" w:eastAsia="仿宋" w:cs="仿宋"/>
          <w:sz w:val="28"/>
          <w:szCs w:val="28"/>
          <w:lang w:eastAsia="zh-CN"/>
        </w:rPr>
        <w:t>长沙市</w:t>
      </w:r>
      <w:r>
        <w:rPr>
          <w:rFonts w:hint="eastAsia" w:ascii="仿宋" w:hAnsi="仿宋" w:eastAsia="仿宋" w:cs="仿宋"/>
          <w:sz w:val="28"/>
          <w:szCs w:val="28"/>
        </w:rPr>
        <w:t>雨花现代电子商务物流管理委员会</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15</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3.8</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3.3</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3.3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800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425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413</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800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425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413</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23.06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26.02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25.25</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rPr>
              <w:t>　</w:t>
            </w:r>
            <w:r>
              <w:rPr>
                <w:rFonts w:hint="eastAsia" w:cs="Times New Roman"/>
                <w:b w:val="0"/>
                <w:bCs w:val="0"/>
                <w:color w:val="auto"/>
                <w:kern w:val="0"/>
                <w:sz w:val="20"/>
                <w:szCs w:val="20"/>
                <w:lang w:val="en-US" w:eastAsia="zh-CN"/>
              </w:rPr>
              <w:t>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6.9</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5.51</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rPr>
              <w:t>　</w:t>
            </w:r>
            <w:r>
              <w:rPr>
                <w:rFonts w:hint="eastAsia" w:cs="Times New Roman"/>
                <w:b w:val="0"/>
                <w:bCs w:val="0"/>
                <w:color w:val="auto"/>
                <w:kern w:val="0"/>
                <w:sz w:val="20"/>
                <w:szCs w:val="20"/>
                <w:lang w:val="en-US" w:eastAsia="zh-CN"/>
              </w:rPr>
              <w:t>0.9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3</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2.4</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lang w:val="en-US" w:eastAsia="zh-CN"/>
              </w:rPr>
            </w:pPr>
            <w:r>
              <w:rPr>
                <w:rFonts w:hint="default" w:ascii="Times New Roman" w:hAnsi="Times New Roman" w:eastAsia="宋体" w:cs="Times New Roman"/>
                <w:b w:val="0"/>
                <w:bCs w:val="0"/>
                <w:color w:val="auto"/>
                <w:kern w:val="0"/>
                <w:sz w:val="20"/>
                <w:szCs w:val="20"/>
              </w:rPr>
              <w:t>　</w:t>
            </w:r>
            <w:r>
              <w:rPr>
                <w:rFonts w:hint="eastAsia" w:cs="Times New Roman"/>
                <w:b w:val="0"/>
                <w:bCs w:val="0"/>
                <w:color w:val="auto"/>
                <w:kern w:val="0"/>
                <w:sz w:val="20"/>
                <w:szCs w:val="20"/>
                <w:lang w:val="en-US" w:eastAsia="zh-CN"/>
              </w:rPr>
              <w:t>1.6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0.8</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0.6</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eastAsia="zh-CN"/>
              </w:rPr>
              <w:t>严格按照中央八项规定和厉行节约的原则执行。</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72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71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72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投入</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（10分）</w:t>
            </w:r>
          </w:p>
        </w:tc>
        <w:tc>
          <w:tcPr>
            <w:tcW w:w="71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目标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设定</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6</w:t>
            </w:r>
            <w:r>
              <w:rPr>
                <w:rStyle w:val="8"/>
                <w:rFonts w:hint="default" w:ascii="Times New Roman" w:hAnsi="Times New Roman" w:cs="Times New Roman"/>
                <w:sz w:val="20"/>
                <w:szCs w:val="20"/>
                <w:lang w:val="en-US" w:eastAsia="zh-CN" w:bidi="ar"/>
              </w:rPr>
              <w:t>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绩效目标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合理性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①是否符合国家法律法规、国民经济和社会发展总体规划；</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②是否符合部门</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三定</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方案确定的职责；</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③是否符合部门制定的发展实施规划。</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①符合国家相关法律法规，本</w:t>
            </w:r>
            <w:r>
              <w:rPr>
                <w:rStyle w:val="8"/>
                <w:rFonts w:hint="eastAsia" w:cs="Times New Roman"/>
                <w:sz w:val="20"/>
                <w:szCs w:val="20"/>
                <w:lang w:val="en-US" w:eastAsia="zh-CN" w:bidi="ar"/>
              </w:rPr>
              <w:t>区</w:t>
            </w:r>
            <w:r>
              <w:rPr>
                <w:rStyle w:val="8"/>
                <w:rFonts w:hint="default" w:ascii="Times New Roman" w:hAnsi="Times New Roman" w:cs="Times New Roman"/>
                <w:sz w:val="20"/>
                <w:szCs w:val="20"/>
                <w:lang w:val="en-US" w:eastAsia="zh-CN" w:bidi="ar"/>
              </w:rPr>
              <w:t>国民经济和社会发展规划，计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②与部门（单位）职责密切相关，计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③符合部门制定的发展实施规划，计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lang w:val="en-US" w:eastAsia="zh-CN"/>
              </w:rPr>
            </w:pPr>
            <w:r>
              <w:rPr>
                <w:rFonts w:hint="eastAsia"/>
                <w:lang w:val="en-US" w:eastAsia="zh-CN"/>
              </w:rPr>
              <w:t>2</w:t>
            </w:r>
          </w:p>
          <w:p>
            <w:pPr>
              <w:pStyle w:val="2"/>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72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绩效指标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明确性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①是否将部门整体的绩效目标细化分解为具体的工作任务；</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②是否通过清晰、可衡量的指标值予以体现。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③是否与部门年度的任务数或计划数相对应；</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④是否与本年度部门预算资金相匹配。</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①有目标，计1分，否则不得分；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②目标明确，细化量化良好，个性指标中量化指标超过</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个，计1分，量化指标为</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个以下不得分；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③与年度任务数或计划数相对应，计1分，低于</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个，计0.5分，低于</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个不得分；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④目标与资金匹配良好，逻辑关系明确，计1分，否则不得分。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72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1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配置</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在职人员控制率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（在职人员数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编制数）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聘用人员控制率≦人社和编办共同批复的人数；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在职人员数：部门（单位）实际在职人数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以财政部门确定的部门决算编制口径为准。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编制数：机构编制部门核定批复的部门（单位）的人员编制数。</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在职人员控制率≦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分，每超出</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color w:val="auto"/>
                <w:sz w:val="20"/>
                <w:szCs w:val="20"/>
                <w:lang w:val="en-US" w:eastAsia="zh-CN" w:bidi="ar"/>
              </w:rPr>
              <w:t>聘用人员实际使用数小于等于编办人社部门批复数，计</w:t>
            </w:r>
            <w:r>
              <w:rPr>
                <w:rStyle w:val="11"/>
                <w:rFonts w:hint="default" w:ascii="Times New Roman" w:hAnsi="Times New Roman" w:eastAsia="宋体" w:cs="Times New Roman"/>
                <w:color w:val="auto"/>
                <w:sz w:val="20"/>
                <w:szCs w:val="20"/>
                <w:lang w:val="en-US" w:eastAsia="zh-CN" w:bidi="ar"/>
              </w:rPr>
              <w:t>2</w:t>
            </w:r>
            <w:r>
              <w:rPr>
                <w:rStyle w:val="10"/>
                <w:rFonts w:hint="default" w:ascii="Times New Roman" w:hAnsi="Times New Roman" w:cs="Times New Roman"/>
                <w:color w:val="auto"/>
                <w:sz w:val="20"/>
                <w:szCs w:val="20"/>
                <w:lang w:val="en-US" w:eastAsia="zh-CN" w:bidi="ar"/>
              </w:rPr>
              <w:t>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72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71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执行率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①预算完成率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（预算完成数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预算完成数：部门（单位）本年度实际完成的预算数。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预算数：财政部门批复的本年度部门（单位）预算数及追加的项目预算数。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②支付序时进度</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（序时执行数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序时指标下达数）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③部门预算项目支出调剂到</w:t>
            </w:r>
            <w:r>
              <w:rPr>
                <w:rStyle w:val="8"/>
                <w:rFonts w:hint="eastAsia" w:ascii="Times New Roman" w:hAnsi="Times New Roman" w:cs="Times New Roman"/>
                <w:sz w:val="20"/>
                <w:szCs w:val="20"/>
                <w:lang w:val="en-US" w:eastAsia="zh-CN" w:bidi="ar"/>
              </w:rPr>
              <w:t>单位</w:t>
            </w:r>
            <w:r>
              <w:rPr>
                <w:rStyle w:val="8"/>
                <w:rFonts w:hint="default" w:ascii="Times New Roman" w:hAnsi="Times New Roman" w:cs="Times New Roman"/>
                <w:sz w:val="20"/>
                <w:szCs w:val="20"/>
                <w:lang w:val="en-US" w:eastAsia="zh-CN" w:bidi="ar"/>
              </w:rPr>
              <w:t>。</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①全年预算完成率</w:t>
            </w:r>
            <w:r>
              <w:rPr>
                <w:rStyle w:val="9"/>
                <w:rFonts w:hint="default" w:ascii="Times New Roman" w:hAnsi="Times New Roman" w:eastAsia="宋体" w:cs="Times New Roman"/>
                <w:sz w:val="20"/>
                <w:szCs w:val="20"/>
                <w:lang w:val="en-US" w:eastAsia="zh-CN" w:bidi="ar"/>
              </w:rPr>
              <w:t>95%</w:t>
            </w:r>
            <w:r>
              <w:rPr>
                <w:rStyle w:val="8"/>
                <w:rFonts w:hint="default" w:ascii="Times New Roman" w:hAnsi="Times New Roman" w:cs="Times New Roman"/>
                <w:sz w:val="20"/>
                <w:szCs w:val="20"/>
                <w:lang w:val="en-US" w:eastAsia="zh-CN" w:bidi="ar"/>
              </w:rPr>
              <w:t>以上计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95-90%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1.5</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90-80%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分，小于</w:t>
            </w:r>
            <w:r>
              <w:rPr>
                <w:rStyle w:val="9"/>
                <w:rFonts w:hint="default" w:ascii="Times New Roman" w:hAnsi="Times New Roman" w:eastAsia="宋体" w:cs="Times New Roman"/>
                <w:sz w:val="20"/>
                <w:szCs w:val="20"/>
                <w:lang w:val="en-US" w:eastAsia="zh-CN" w:bidi="ar"/>
              </w:rPr>
              <w:t>80%</w:t>
            </w:r>
            <w:r>
              <w:rPr>
                <w:rStyle w:val="8"/>
                <w:rFonts w:hint="default" w:ascii="Times New Roman" w:hAnsi="Times New Roman" w:cs="Times New Roman"/>
                <w:sz w:val="20"/>
                <w:szCs w:val="20"/>
                <w:lang w:val="en-US" w:eastAsia="zh-CN" w:bidi="ar"/>
              </w:rPr>
              <w:t>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②一、二、三季度末支付序时进度分别达到</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50%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80%</w:t>
            </w:r>
            <w:r>
              <w:rPr>
                <w:rStyle w:val="8"/>
                <w:rFonts w:hint="default" w:ascii="Times New Roman" w:hAnsi="Times New Roman" w:cs="Times New Roman"/>
                <w:sz w:val="20"/>
                <w:szCs w:val="20"/>
                <w:lang w:val="en-US" w:eastAsia="zh-CN" w:bidi="ar"/>
              </w:rPr>
              <w:t>（含）以上计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分，每低</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个百分点扣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③部门预算项目支出调剂到</w:t>
            </w:r>
            <w:r>
              <w:rPr>
                <w:rStyle w:val="8"/>
                <w:rFonts w:hint="eastAsia" w:ascii="Times New Roman" w:hAnsi="Times New Roman" w:cs="Times New Roman"/>
                <w:sz w:val="20"/>
                <w:szCs w:val="20"/>
                <w:lang w:val="en-US" w:eastAsia="zh-CN" w:bidi="ar"/>
              </w:rPr>
              <w:t>单位</w:t>
            </w:r>
            <w:r>
              <w:rPr>
                <w:rStyle w:val="8"/>
                <w:rFonts w:hint="default" w:ascii="Times New Roman" w:hAnsi="Times New Roman" w:cs="Times New Roman"/>
                <w:sz w:val="20"/>
                <w:szCs w:val="20"/>
                <w:lang w:val="en-US" w:eastAsia="zh-CN" w:bidi="ar"/>
              </w:rPr>
              <w:t>小于等于项目支出</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分；大于</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，不计分；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72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71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调整率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预算调整率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（预算调整数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预算调整率</w:t>
            </w:r>
            <w:r>
              <w:rPr>
                <w:rStyle w:val="9"/>
                <w:rFonts w:hint="default" w:ascii="Times New Roman" w:hAnsi="Times New Roman" w:eastAsia="宋体" w:cs="Times New Roman"/>
                <w:sz w:val="20"/>
                <w:szCs w:val="20"/>
                <w:lang w:val="en-US" w:eastAsia="zh-CN" w:bidi="ar"/>
              </w:rPr>
              <w:t>&lt;5%</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5-10%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1.5</w:t>
            </w:r>
            <w:r>
              <w:rPr>
                <w:rStyle w:val="8"/>
                <w:rFonts w:hint="default" w:ascii="Times New Roman" w:hAnsi="Times New Roman" w:cs="Times New Roman"/>
                <w:sz w:val="20"/>
                <w:szCs w:val="20"/>
                <w:lang w:val="en-US" w:eastAsia="zh-CN" w:bidi="ar"/>
              </w:rPr>
              <w:t>分；大于</w:t>
            </w:r>
            <w:r>
              <w:rPr>
                <w:rStyle w:val="9"/>
                <w:rFonts w:hint="default" w:ascii="Times New Roman" w:hAnsi="Times New Roman" w:eastAsia="宋体" w:cs="Times New Roman"/>
                <w:sz w:val="20"/>
                <w:szCs w:val="20"/>
                <w:lang w:val="en-US" w:eastAsia="zh-CN" w:bidi="ar"/>
              </w:rPr>
              <w:t>10%</w:t>
            </w:r>
            <w:r>
              <w:rPr>
                <w:rStyle w:val="8"/>
                <w:rFonts w:hint="default" w:ascii="Times New Roman" w:hAnsi="Times New Roman" w:cs="Times New Roman"/>
                <w:sz w:val="20"/>
                <w:szCs w:val="20"/>
                <w:lang w:val="en-US" w:eastAsia="zh-CN" w:bidi="ar"/>
              </w:rPr>
              <w:t>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Style w:val="8"/>
                <w:rFonts w:hint="eastAsia" w:ascii="Times New Roman" w:hAnsi="Times New Roman" w:cs="Times New Roman"/>
                <w:sz w:val="20"/>
                <w:szCs w:val="20"/>
                <w:lang w:val="en-US" w:eastAsia="zh-CN" w:bidi="ar"/>
              </w:rPr>
              <w:t>区</w:t>
            </w:r>
            <w:r>
              <w:rPr>
                <w:rStyle w:val="8"/>
                <w:rFonts w:hint="default" w:ascii="Times New Roman" w:hAnsi="Times New Roman" w:cs="Times New Roman"/>
                <w:sz w:val="20"/>
                <w:szCs w:val="20"/>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ascii="Times New Roman" w:hAnsi="Times New Roman" w:eastAsia="宋体"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级预算资金不能结转。</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eastAsia="宋体"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本级资金无结转，计2分；有结转，不计分；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72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eastAsia="宋体" w:cs="Times New Roman"/>
                <w:sz w:val="20"/>
                <w:szCs w:val="20"/>
                <w:lang w:val="en-US" w:eastAsia="zh-CN" w:bidi="ar"/>
              </w:rPr>
            </w:pPr>
            <w:r>
              <w:rPr>
                <w:rStyle w:val="8"/>
                <w:rFonts w:hint="default" w:ascii="Times New Roman" w:hAnsi="Times New Roman" w:cs="Times New Roman"/>
                <w:sz w:val="20"/>
                <w:szCs w:val="20"/>
                <w:lang w:val="en-US" w:eastAsia="zh-CN" w:bidi="ar"/>
              </w:rPr>
              <w:t>经费</w:t>
            </w:r>
            <w:r>
              <w:rPr>
                <w:rStyle w:val="9"/>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控制率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实际支出数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预算安排数）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。不超当年预算，不超上年决算。</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控制率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以下（含）计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分，每超出</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0.15</w:t>
            </w:r>
            <w:r>
              <w:rPr>
                <w:rStyle w:val="8"/>
                <w:rFonts w:hint="default" w:ascii="Times New Roman" w:hAnsi="Times New Roman" w:cs="Times New Roman"/>
                <w:sz w:val="20"/>
                <w:szCs w:val="20"/>
                <w:lang w:val="en-US" w:eastAsia="zh-CN" w:bidi="ar"/>
              </w:rPr>
              <w:t>分，扣完为止。</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eastAsia="宋体" w:cs="Times New Roman"/>
                <w:sz w:val="20"/>
                <w:szCs w:val="20"/>
                <w:lang w:val="en-US" w:eastAsia="zh-CN" w:bidi="ar"/>
              </w:rPr>
            </w:pPr>
            <w:r>
              <w:rPr>
                <w:rStyle w:val="9"/>
                <w:rFonts w:hint="eastAsia" w:ascii="Times New Roman" w:hAnsi="Times New Roman"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政府采购执行率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（实际政府采购金额</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政府采购预算数）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预算单位严格执行《中华人民共和国政府采购法》，无规避政府采购或化整为零进行政府采购的行为。所有项目必须依法采购，履行验收手续。</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政府采购执行率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分，每超过（降低）</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0.1</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所有项目依法采购，无规避政府采购或化整为零进行政府采购的行为，并履行验</w:t>
            </w:r>
            <w:bookmarkStart w:id="0" w:name="_GoBack"/>
            <w:bookmarkEnd w:id="0"/>
            <w:r>
              <w:rPr>
                <w:rStyle w:val="8"/>
                <w:rFonts w:hint="default" w:ascii="Times New Roman" w:hAnsi="Times New Roman" w:cs="Times New Roman"/>
                <w:sz w:val="20"/>
                <w:szCs w:val="20"/>
                <w:lang w:val="en-US" w:eastAsia="zh-CN" w:bidi="ar"/>
              </w:rPr>
              <w:t>收手续计1分，否则不得分。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1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管理制度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①部门（单位）内控制度、内部财务管理制度和会计核算制度是否健全；</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②相关管理制度是否合法、合规、完整；</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③相关管理制度是否得到有效执行。</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①部门（单位）内控制度、内部财务管理制度和会计核算制度健全，计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②管理制度合法、合规、完整，计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③管理制度得到有效执行，计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资金使用</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合规性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①是否符合国家财经法规和财务管理制度以及有关专项资金管理办法的规定；</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②资金的支付是否有完整的审批程序和手续；</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③重大项目开支和大额资金使用是否经单位党组集体研究决策；</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④是否符合项目预算批复或合同规定的用途；</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⑤是否存在截留、挤占、挪用、虚列支出等情况；</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⑥是否存在重复申报项目、虚报冒领资金。</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①符合国家财经法规和财务管理制度以及有关专项资金管理办法的规定，计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②资金的支付有完整的审批程序和手续，计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③重大项目开支和大额资金使用经过单位党组集体研究决策，计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④符合项目预算批复或合同规定的用途，计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⑤不存在截留、挤占、挪用、虚列支出等情况，计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例不符合本指标</w:t>
            </w:r>
            <w:r>
              <w:rPr>
                <w:rStyle w:val="9"/>
                <w:rFonts w:hint="default" w:ascii="Times New Roman" w:hAnsi="Times New Roman" w:eastAsia="宋体" w:cs="Times New Roman"/>
                <w:sz w:val="20"/>
                <w:szCs w:val="20"/>
                <w:lang w:val="en-US" w:eastAsia="zh-CN" w:bidi="ar"/>
              </w:rPr>
              <w:t>6</w:t>
            </w:r>
            <w:r>
              <w:rPr>
                <w:rStyle w:val="8"/>
                <w:rFonts w:hint="default" w:ascii="Times New Roman" w:hAnsi="Times New Roman" w:cs="Times New Roman"/>
                <w:sz w:val="20"/>
                <w:szCs w:val="20"/>
                <w:lang w:val="en-US" w:eastAsia="zh-CN" w:bidi="ar"/>
              </w:rPr>
              <w:t>分全扣；</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w:t>
            </w:r>
            <w:r>
              <w:rPr>
                <w:rStyle w:val="8"/>
                <w:rFonts w:hint="default" w:ascii="Times New Roman" w:hAnsi="Times New Roman" w:cs="Times New Roman"/>
                <w:spacing w:val="-6"/>
                <w:sz w:val="20"/>
                <w:szCs w:val="20"/>
                <w:lang w:val="en-US" w:eastAsia="zh-CN" w:bidi="ar"/>
              </w:rPr>
              <w:t>不存在重复申报项目、虚报冒领资金，计</w:t>
            </w:r>
            <w:r>
              <w:rPr>
                <w:rStyle w:val="9"/>
                <w:rFonts w:hint="default" w:ascii="Times New Roman" w:hAnsi="Times New Roman" w:eastAsia="宋体" w:cs="Times New Roman"/>
                <w:spacing w:val="-6"/>
                <w:sz w:val="20"/>
                <w:szCs w:val="20"/>
                <w:lang w:val="en-US" w:eastAsia="zh-CN" w:bidi="ar"/>
              </w:rPr>
              <w:t>1</w:t>
            </w:r>
            <w:r>
              <w:rPr>
                <w:rStyle w:val="8"/>
                <w:rFonts w:hint="default" w:ascii="Times New Roman" w:hAnsi="Times New Roman" w:cs="Times New Roman"/>
                <w:spacing w:val="-6"/>
                <w:sz w:val="20"/>
                <w:szCs w:val="20"/>
                <w:lang w:val="en-US" w:eastAsia="zh-CN" w:bidi="ar"/>
              </w:rPr>
              <w:t>分，</w:t>
            </w:r>
            <w:r>
              <w:rPr>
                <w:rStyle w:val="9"/>
                <w:rFonts w:hint="default" w:ascii="Times New Roman" w:hAnsi="Times New Roman" w:eastAsia="宋体" w:cs="Times New Roman"/>
                <w:spacing w:val="-6"/>
                <w:sz w:val="20"/>
                <w:szCs w:val="20"/>
                <w:lang w:val="en-US" w:eastAsia="zh-CN" w:bidi="ar"/>
              </w:rPr>
              <w:t>1</w:t>
            </w:r>
            <w:r>
              <w:rPr>
                <w:rStyle w:val="8"/>
                <w:rFonts w:hint="default" w:ascii="Times New Roman" w:hAnsi="Times New Roman" w:cs="Times New Roman"/>
                <w:spacing w:val="-6"/>
                <w:sz w:val="20"/>
                <w:szCs w:val="20"/>
                <w:lang w:val="en-US" w:eastAsia="zh-CN" w:bidi="ar"/>
              </w:rPr>
              <w:t>例不符合本指标6分全扣；</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⑦违规情况特别严重的，重点绩效评价等级定为“差”。</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72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71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①预算单位按规定及时、准确、完整的公开预决算和绩效管理信息；</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②基础数据信息和会计信息资料真实、准确、完整；</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①、②各计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绩效自评</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根据</w:t>
            </w:r>
            <w:r>
              <w:rPr>
                <w:rStyle w:val="8"/>
                <w:rFonts w:hint="eastAsia" w:ascii="Times New Roman" w:hAnsi="Times New Roman" w:cs="Times New Roman"/>
                <w:sz w:val="20"/>
                <w:szCs w:val="20"/>
                <w:lang w:val="en-US" w:eastAsia="zh-CN" w:bidi="ar"/>
              </w:rPr>
              <w:t>区</w:t>
            </w:r>
            <w:r>
              <w:rPr>
                <w:rStyle w:val="8"/>
                <w:rFonts w:hint="default" w:ascii="Times New Roman" w:hAnsi="Times New Roman" w:cs="Times New Roman"/>
                <w:sz w:val="20"/>
                <w:szCs w:val="20"/>
                <w:lang w:val="en-US" w:eastAsia="zh-CN" w:bidi="ar"/>
              </w:rPr>
              <w:t>财政局2020年考核结果，评审为优，计</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分；评审为良，计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分；评审为中，计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分；评审为低，计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分；评审为差，计</w:t>
            </w:r>
            <w:r>
              <w:rPr>
                <w:rStyle w:val="9"/>
                <w:rFonts w:hint="default" w:ascii="Times New Roman" w:hAnsi="Times New Roman" w:eastAsia="宋体" w:cs="Times New Roman"/>
                <w:sz w:val="20"/>
                <w:szCs w:val="20"/>
                <w:lang w:val="en-US" w:eastAsia="zh-CN" w:bidi="ar"/>
              </w:rPr>
              <w:t>0</w:t>
            </w:r>
            <w:r>
              <w:rPr>
                <w:rStyle w:val="8"/>
                <w:rFonts w:hint="default" w:ascii="Times New Roman" w:hAnsi="Times New Roman" w:cs="Times New Roman"/>
                <w:sz w:val="20"/>
                <w:szCs w:val="20"/>
                <w:lang w:val="en-US" w:eastAsia="zh-CN" w:bidi="ar"/>
              </w:rPr>
              <w:t>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重点绩效评价整改情况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对上年度财政重点评价中存在的问题是否进行整改。</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2019年重点评价问题全部整改，计</w:t>
            </w:r>
            <w:r>
              <w:rPr>
                <w:rStyle w:val="9"/>
                <w:rFonts w:hint="default" w:ascii="Times New Roman" w:hAnsi="Times New Roman" w:eastAsia="宋体" w:cs="Times New Roman"/>
                <w:sz w:val="20"/>
                <w:szCs w:val="20"/>
                <w:lang w:val="en-US" w:eastAsia="zh-CN" w:bidi="ar"/>
              </w:rPr>
              <w:t>5</w:t>
            </w:r>
            <w:r>
              <w:rPr>
                <w:rStyle w:val="8"/>
                <w:rFonts w:hint="default" w:ascii="Times New Roman" w:hAnsi="Times New Roman" w:cs="Times New Roman"/>
                <w:sz w:val="20"/>
                <w:szCs w:val="20"/>
                <w:lang w:val="en-US" w:eastAsia="zh-CN" w:bidi="ar"/>
              </w:rPr>
              <w:t>分；2019年重点评价问题部分整改，计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分；2019年重点评价问题未整改且无整改情况说明的不计分。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72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71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资产</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5</w:t>
            </w:r>
            <w:r>
              <w:rPr>
                <w:rStyle w:val="8"/>
                <w:rFonts w:hint="default" w:ascii="Times New Roman" w:hAnsi="Times New Roman" w:cs="Times New Roman"/>
                <w:sz w:val="20"/>
                <w:szCs w:val="20"/>
                <w:lang w:val="en-US" w:eastAsia="zh-CN" w:bidi="ar"/>
              </w:rPr>
              <w:t>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①是否已制定合法、合规、完整的资产管理制度；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②相关资产管理制度是否得到有效执行；</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③资产配置是否编制年度预算；</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④资产配置预算实际执行情况。</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①已制定合法、合规、完整的资产管理制度，计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②相关资产管理制度得到有效执行，计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③资产管理编制年度预算，计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分，未编制不得分。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④资产配置预算实际执行情况未超年度预算（按程序审批除外），计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资产管理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安全性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①资产保存是否完整并有台账；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②资产配置是否合理；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③资产处置是否规范；</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④资产账务管理是否合规，是否</w:t>
            </w:r>
            <w:r>
              <w:rPr>
                <w:rStyle w:val="8"/>
                <w:rFonts w:hint="eastAsia" w:cs="Times New Roman"/>
                <w:sz w:val="20"/>
                <w:szCs w:val="20"/>
                <w:lang w:val="en-US" w:eastAsia="zh-CN" w:bidi="ar"/>
              </w:rPr>
              <w:t>账</w:t>
            </w:r>
            <w:r>
              <w:rPr>
                <w:rStyle w:val="8"/>
                <w:rFonts w:hint="default" w:ascii="Times New Roman" w:hAnsi="Times New Roman" w:cs="Times New Roman"/>
                <w:sz w:val="20"/>
                <w:szCs w:val="20"/>
                <w:lang w:val="en-US" w:eastAsia="zh-CN" w:bidi="ar"/>
              </w:rPr>
              <w:t>实相符；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⑤资产是否有偿使用或处置收入及时足额上缴；</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⑥相关资产购置是否履行政府采购手续；</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⑦资产是否定期进行盘点并有记录。</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分，发现一例不符，扣</w:t>
            </w:r>
            <w:r>
              <w:rPr>
                <w:rStyle w:val="9"/>
                <w:rFonts w:hint="default" w:ascii="Times New Roman" w:hAnsi="Times New Roman" w:eastAsia="宋体" w:cs="Times New Roman"/>
                <w:sz w:val="20"/>
                <w:szCs w:val="20"/>
                <w:lang w:val="en-US" w:eastAsia="zh-CN" w:bidi="ar"/>
              </w:rPr>
              <w:t>0.1</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②资产处置规范，计0.5分，发现一例不符，扣0.1分，扣完为止；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③资产有偿使用或处置收入及时足额上缴，计0.5分，发现未上缴，本项不得分；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④资产购置履行政府采购手续，计0.5分，发现一例不符，扣0.1分，扣完为止；</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ascii="Times New Roman" w:hAnsi="Times New Roman"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固定资产</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保管和使用情况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72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10"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完成率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及时性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达标率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重点工作办结率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10"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经济效益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319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社会效益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3190"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生态效益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3190"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10"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社会公众或服务对象满意度</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72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710"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8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287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319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98</w:t>
            </w:r>
          </w:p>
        </w:tc>
      </w:tr>
    </w:tbl>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pStyle w:val="6"/>
        <w:widowControl/>
        <w:numPr>
          <w:ilvl w:val="0"/>
          <w:numId w:val="1"/>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长沙市</w:t>
      </w:r>
      <w:r>
        <w:rPr>
          <w:rFonts w:hint="eastAsia" w:ascii="仿宋" w:hAnsi="仿宋" w:eastAsia="仿宋" w:cs="仿宋"/>
          <w:sz w:val="28"/>
          <w:szCs w:val="28"/>
        </w:rPr>
        <w:t>雨花现代电子商务物流管理委员会是根据雨编发〔2013〕9号文件的通知成立的，具体负责雨花现代物流园的规划、建设和管理等日常工作，是区政府管理全额拨款事业单位，人员编制数15人，目前在编人数为</w:t>
      </w:r>
      <w:r>
        <w:rPr>
          <w:rFonts w:hint="eastAsia" w:ascii="仿宋" w:hAnsi="仿宋" w:eastAsia="仿宋" w:cs="仿宋"/>
          <w:sz w:val="28"/>
          <w:szCs w:val="28"/>
          <w:lang w:val="en-US" w:eastAsia="zh-CN"/>
        </w:rPr>
        <w:t>9</w:t>
      </w:r>
      <w:r>
        <w:rPr>
          <w:rFonts w:hint="eastAsia" w:ascii="仿宋" w:hAnsi="仿宋" w:eastAsia="仿宋" w:cs="仿宋"/>
          <w:sz w:val="28"/>
          <w:szCs w:val="28"/>
        </w:rPr>
        <w:t>人。</w:t>
      </w:r>
    </w:p>
    <w:p>
      <w:pPr>
        <w:keepNext w:val="0"/>
        <w:keepLines w:val="0"/>
        <w:pageBreakBefore w:val="0"/>
        <w:numPr>
          <w:ilvl w:val="0"/>
          <w:numId w:val="2"/>
        </w:numPr>
        <w:kinsoku/>
        <w:wordWrap/>
        <w:overflowPunct/>
        <w:topLinePunct w:val="0"/>
        <w:autoSpaceDE/>
        <w:autoSpaceDN/>
        <w:bidi w:val="0"/>
        <w:spacing w:line="360" w:lineRule="auto"/>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部门职能职责</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负责编制园区中长期发展规划和年度工作计划，负责制定园区产业规划和组织实施；</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负责项目引进、招商引资、对外贸易、对外经济技术合作交流及相关服务工作；</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负责办理项目规划、国土、立项、环境测评、能源评价等手续；</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负责协助处理土地统一开发、利用和管理；</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负责协调基础设施建设、拆除违章建筑、拆迁安置及矛盾调处等管理工作。</w:t>
      </w:r>
    </w:p>
    <w:p>
      <w:pPr>
        <w:keepNext w:val="0"/>
        <w:keepLines w:val="0"/>
        <w:pageBreakBefore w:val="0"/>
        <w:kinsoku/>
        <w:wordWrap/>
        <w:overflowPunct/>
        <w:topLinePunct w:val="0"/>
        <w:autoSpaceDE/>
        <w:autoSpaceDN/>
        <w:bidi w:val="0"/>
        <w:spacing w:line="360" w:lineRule="auto"/>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2. </w:t>
      </w:r>
      <w:r>
        <w:rPr>
          <w:rFonts w:hint="eastAsia" w:ascii="宋体" w:hAnsi="宋体" w:eastAsia="宋体" w:cs="宋体"/>
          <w:sz w:val="32"/>
          <w:szCs w:val="32"/>
        </w:rPr>
        <w:t>机构设置</w:t>
      </w:r>
    </w:p>
    <w:p>
      <w:pPr>
        <w:keepNext w:val="0"/>
        <w:keepLines w:val="0"/>
        <w:pageBreakBefore w:val="0"/>
        <w:kinsoku/>
        <w:wordWrap/>
        <w:overflowPunct/>
        <w:topLinePunct w:val="0"/>
        <w:autoSpaceDE/>
        <w:autoSpaceDN/>
        <w:bidi w:val="0"/>
        <w:spacing w:line="360" w:lineRule="auto"/>
        <w:ind w:firstLine="560" w:firstLineChars="200"/>
        <w:textAlignment w:val="auto"/>
        <w:outlineLvl w:val="9"/>
        <w:rPr>
          <w:rFonts w:hint="default" w:ascii="仿宋_GB2312" w:hAnsi="仿宋_GB2312" w:eastAsia="仿宋_GB2312" w:cs="仿宋_GB2312"/>
          <w:b/>
          <w:bCs/>
          <w:sz w:val="32"/>
          <w:szCs w:val="32"/>
          <w:lang w:val="en-US" w:eastAsia="zh-CN"/>
        </w:rPr>
      </w:pPr>
      <w:r>
        <w:rPr>
          <w:rFonts w:hint="eastAsia" w:ascii="仿宋" w:hAnsi="仿宋" w:eastAsia="仿宋" w:cs="仿宋"/>
          <w:sz w:val="28"/>
          <w:szCs w:val="28"/>
        </w:rPr>
        <w:t>内设办公室、</w:t>
      </w:r>
      <w:r>
        <w:rPr>
          <w:rFonts w:hint="eastAsia" w:ascii="仿宋" w:hAnsi="仿宋" w:eastAsia="仿宋" w:cs="仿宋"/>
          <w:sz w:val="28"/>
          <w:szCs w:val="28"/>
          <w:lang w:eastAsia="zh-CN"/>
        </w:rPr>
        <w:t>招商科、产业发展科</w:t>
      </w:r>
      <w:r>
        <w:rPr>
          <w:rFonts w:hint="eastAsia" w:ascii="仿宋" w:hAnsi="仿宋" w:eastAsia="仿宋" w:cs="仿宋"/>
          <w:sz w:val="28"/>
          <w:szCs w:val="28"/>
        </w:rPr>
        <w:t>、</w:t>
      </w:r>
      <w:r>
        <w:rPr>
          <w:rFonts w:hint="eastAsia" w:ascii="仿宋" w:hAnsi="仿宋" w:eastAsia="仿宋" w:cs="仿宋"/>
          <w:sz w:val="28"/>
          <w:szCs w:val="28"/>
          <w:lang w:eastAsia="zh-CN"/>
        </w:rPr>
        <w:t>社会事务科、财务科、综合管理科</w:t>
      </w:r>
      <w:r>
        <w:rPr>
          <w:rFonts w:hint="eastAsia" w:ascii="仿宋" w:hAnsi="仿宋" w:eastAsia="仿宋" w:cs="仿宋"/>
          <w:sz w:val="28"/>
          <w:szCs w:val="28"/>
        </w:rPr>
        <w:t>。</w:t>
      </w:r>
    </w:p>
    <w:p>
      <w:pPr>
        <w:pStyle w:val="6"/>
        <w:widowControl/>
        <w:spacing w:line="600" w:lineRule="exact"/>
        <w:ind w:left="64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6"/>
        <w:widowControl/>
        <w:spacing w:line="600" w:lineRule="exact"/>
        <w:ind w:left="64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基本支出是指为保障单位机构正常运转、完成日常工作任务而发生的各项支出，包括用于基本工资、津贴补贴等人员经费以及办公费、印刷费、水电费、办公设备购置等日常公用经费。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eastAsia="仿宋_GB2312"/>
          <w:sz w:val="30"/>
          <w:szCs w:val="30"/>
        </w:rPr>
      </w:pPr>
      <w:r>
        <w:rPr>
          <w:rFonts w:hint="eastAsia" w:ascii="仿宋" w:hAnsi="仿宋" w:eastAsia="仿宋" w:cs="仿宋"/>
          <w:bCs/>
          <w:sz w:val="28"/>
          <w:szCs w:val="28"/>
          <w:lang w:val="en-US" w:eastAsia="zh-CN"/>
        </w:rPr>
        <w:t>2020年部门基本支出285.92万元，其中：人员经费260.66万元，日常公用经费25.26万元。</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本期</w:t>
      </w:r>
      <w:r>
        <w:rPr>
          <w:rFonts w:hint="eastAsia" w:ascii="仿宋" w:hAnsi="仿宋" w:eastAsia="仿宋" w:cs="仿宋"/>
          <w:color w:val="auto"/>
          <w:kern w:val="0"/>
          <w:sz w:val="28"/>
          <w:szCs w:val="28"/>
          <w:lang w:eastAsia="zh-CN"/>
        </w:rPr>
        <w:t>无</w:t>
      </w:r>
      <w:r>
        <w:rPr>
          <w:rFonts w:hint="eastAsia" w:ascii="仿宋" w:hAnsi="仿宋" w:eastAsia="仿宋" w:cs="仿宋"/>
          <w:color w:val="auto"/>
          <w:kern w:val="0"/>
          <w:sz w:val="28"/>
          <w:szCs w:val="28"/>
        </w:rPr>
        <w:t>公务用车运维费</w:t>
      </w:r>
      <w:r>
        <w:rPr>
          <w:rFonts w:hint="eastAsia" w:ascii="仿宋" w:hAnsi="仿宋" w:eastAsia="仿宋" w:cs="仿宋"/>
          <w:color w:val="auto"/>
          <w:kern w:val="0"/>
          <w:sz w:val="28"/>
          <w:szCs w:val="28"/>
          <w:lang w:eastAsia="zh-CN"/>
        </w:rPr>
        <w:t>、无公务接待费</w:t>
      </w:r>
      <w:r>
        <w:rPr>
          <w:rFonts w:hint="eastAsia" w:ascii="仿宋" w:hAnsi="仿宋" w:eastAsia="仿宋" w:cs="仿宋"/>
          <w:color w:val="auto"/>
          <w:kern w:val="0"/>
          <w:sz w:val="28"/>
          <w:szCs w:val="28"/>
        </w:rPr>
        <w:t>。</w:t>
      </w:r>
    </w:p>
    <w:p>
      <w:pPr>
        <w:pStyle w:val="6"/>
        <w:widowControl/>
        <w:spacing w:line="600" w:lineRule="exact"/>
        <w:ind w:left="64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项目资金</w:t>
      </w:r>
      <w:r>
        <w:rPr>
          <w:rFonts w:hint="eastAsia" w:ascii="仿宋" w:hAnsi="仿宋" w:eastAsia="仿宋" w:cs="仿宋"/>
          <w:sz w:val="28"/>
          <w:szCs w:val="28"/>
          <w:lang w:val="en-US" w:eastAsia="zh-CN"/>
        </w:rPr>
        <w:t>425万元，包括聘用人员经费231万元、后勤保障60万元、食堂经费30万元、招商引资22万元、办理土地统征和项目拆迁5万元、安全生产、环境保护、违章建（构）筑物和渣土管理32万元、PPP项目咨询服务10万元、蓝天保卫战工作经费（追加）35万元</w:t>
      </w:r>
      <w:r>
        <w:rPr>
          <w:rFonts w:hint="eastAsia" w:ascii="仿宋" w:hAnsi="仿宋" w:eastAsia="仿宋" w:cs="仿宋"/>
          <w:sz w:val="28"/>
          <w:szCs w:val="28"/>
        </w:rPr>
        <w:t>。</w:t>
      </w:r>
    </w:p>
    <w:p>
      <w:pPr>
        <w:keepNext w:val="0"/>
        <w:keepLines w:val="0"/>
        <w:pageBreakBefore w:val="0"/>
        <w:widowControl/>
        <w:shd w:val="clear" w:color="auto" w:fill="FFFFFF"/>
        <w:kinsoku/>
        <w:wordWrap/>
        <w:overflowPunct/>
        <w:topLinePunct w:val="0"/>
        <w:autoSpaceDE/>
        <w:autoSpaceDN/>
        <w:bidi w:val="0"/>
        <w:spacing w:line="360" w:lineRule="auto"/>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color w:val="auto"/>
          <w:kern w:val="0"/>
          <w:sz w:val="28"/>
          <w:szCs w:val="28"/>
        </w:rPr>
        <w:t>项目支出决算数</w:t>
      </w:r>
      <w:r>
        <w:rPr>
          <w:rFonts w:hint="eastAsia" w:ascii="仿宋" w:hAnsi="仿宋" w:eastAsia="仿宋" w:cs="仿宋"/>
          <w:color w:val="auto"/>
          <w:kern w:val="0"/>
          <w:sz w:val="28"/>
          <w:szCs w:val="28"/>
          <w:lang w:val="en-US" w:eastAsia="zh-CN"/>
        </w:rPr>
        <w:t>479.29</w:t>
      </w:r>
      <w:r>
        <w:rPr>
          <w:rFonts w:hint="eastAsia" w:ascii="仿宋" w:hAnsi="仿宋" w:eastAsia="仿宋" w:cs="仿宋"/>
          <w:color w:val="auto"/>
          <w:kern w:val="0"/>
          <w:sz w:val="28"/>
          <w:szCs w:val="28"/>
        </w:rPr>
        <w:t>万元，占总支出的</w:t>
      </w:r>
      <w:r>
        <w:rPr>
          <w:rFonts w:hint="eastAsia" w:ascii="仿宋" w:hAnsi="仿宋" w:eastAsia="仿宋" w:cs="仿宋"/>
          <w:color w:val="auto"/>
          <w:kern w:val="0"/>
          <w:sz w:val="28"/>
          <w:szCs w:val="28"/>
          <w:lang w:val="en-US" w:eastAsia="zh-CN"/>
        </w:rPr>
        <w:t>62.64</w:t>
      </w:r>
      <w:r>
        <w:rPr>
          <w:rFonts w:hint="eastAsia" w:ascii="仿宋" w:hAnsi="仿宋" w:eastAsia="仿宋" w:cs="仿宋"/>
          <w:color w:val="auto"/>
          <w:kern w:val="0"/>
          <w:sz w:val="28"/>
          <w:szCs w:val="28"/>
        </w:rPr>
        <w:t>%。主要</w:t>
      </w:r>
      <w:r>
        <w:rPr>
          <w:rFonts w:hint="eastAsia" w:ascii="仿宋" w:hAnsi="仿宋" w:eastAsia="仿宋" w:cs="仿宋"/>
          <w:sz w:val="28"/>
          <w:szCs w:val="28"/>
          <w:lang w:val="en-US" w:eastAsia="zh-CN"/>
        </w:rPr>
        <w:t>聘用人员经费231万元、后勤保障58.38万元、食堂经费29.40万元、招商引资16.32万元、办理土地统征和项目拆迁4.76万元、安全生产、环境保护、违章建（构）筑物和渣土管理30.18万元、PPP项目咨询服务8万元、蓝天保卫战工作经费（追加）34.96万元和上年结余资金66.29万元</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.项目</w:t>
      </w:r>
      <w:r>
        <w:rPr>
          <w:rFonts w:hint="eastAsia" w:ascii="仿宋" w:hAnsi="仿宋" w:eastAsia="仿宋" w:cs="仿宋"/>
          <w:color w:val="auto"/>
          <w:kern w:val="0"/>
          <w:sz w:val="28"/>
          <w:szCs w:val="28"/>
        </w:rPr>
        <w:t>资金均专款专用，按照“三重一大”议事制度和</w:t>
      </w:r>
      <w:r>
        <w:rPr>
          <w:rFonts w:hint="eastAsia" w:ascii="仿宋" w:hAnsi="仿宋" w:eastAsia="仿宋" w:cs="仿宋"/>
          <w:color w:val="auto"/>
          <w:kern w:val="0"/>
          <w:sz w:val="28"/>
          <w:szCs w:val="28"/>
          <w:lang w:eastAsia="zh-CN"/>
        </w:rPr>
        <w:t>区财政局的</w:t>
      </w:r>
      <w:r>
        <w:rPr>
          <w:rFonts w:hint="eastAsia" w:ascii="仿宋" w:hAnsi="仿宋" w:eastAsia="仿宋" w:cs="仿宋"/>
          <w:color w:val="auto"/>
          <w:kern w:val="0"/>
          <w:sz w:val="28"/>
          <w:szCs w:val="28"/>
        </w:rPr>
        <w:t>报账程序进行资金预算、使用等管理工作。</w:t>
      </w:r>
    </w:p>
    <w:p>
      <w:pPr>
        <w:widowControl/>
        <w:spacing w:line="600" w:lineRule="exact"/>
        <w:ind w:firstLine="645"/>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在区委、区政府的正确领导下，管委会上下团结奋进、攻坚克难，毫不松懈坚持常态化疫情防控，全力以赴推动全面复工复产，时不我待投入“大干一百天实现双过半”竞赛活动，园区呈现高质量高效率发展的良好局面。</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1．主导产业加速壮大。</w:t>
      </w:r>
      <w:r>
        <w:rPr>
          <w:rFonts w:hint="eastAsia" w:ascii="仿宋" w:hAnsi="仿宋" w:eastAsia="仿宋" w:cs="仿宋"/>
          <w:sz w:val="28"/>
          <w:szCs w:val="28"/>
          <w:lang w:val="en-US" w:eastAsia="zh-CN"/>
        </w:rPr>
        <w:t>坚持“总部＋产业＋电商＋物流”发展模式，持续发力新业态，做优新零售主导产业，大力推进产业特色化、集聚化发展，“新零售示范园区”加速航行。奋力稳外资、稳投资，完成外资直投1000万美元，引进亿元投资项目5个，“三类500强”投资项目2个。福建百货龙头东百集团顺利签约，带入永辉超市旗下超级物种区域运营中心；新零售“领军”企业盒马鲜生和申通强势入驻，依托世界500强阿里巴巴强大技术支持和平台优势，持续积蓄发展新动能；普鑫物流区域总部和</w:t>
      </w:r>
      <w:r>
        <w:rPr>
          <w:rFonts w:hint="eastAsia" w:ascii="仿宋" w:hAnsi="仿宋" w:eastAsia="仿宋" w:cs="仿宋"/>
          <w:sz w:val="28"/>
          <w:szCs w:val="28"/>
          <w:lang w:val="zh-CN" w:eastAsia="zh-CN"/>
        </w:rPr>
        <w:t>湖南绿生成农产品贸易有限公司总部</w:t>
      </w:r>
      <w:r>
        <w:rPr>
          <w:rFonts w:hint="eastAsia" w:ascii="仿宋" w:hAnsi="仿宋" w:eastAsia="仿宋" w:cs="仿宋"/>
          <w:sz w:val="28"/>
          <w:szCs w:val="28"/>
          <w:lang w:val="en-US" w:eastAsia="zh-CN"/>
        </w:rPr>
        <w:t>落子园区，三个项目合计总投资约12.5亿元。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C0C0C"/>
          <w:sz w:val="28"/>
          <w:szCs w:val="28"/>
          <w:lang w:val="en-US" w:eastAsia="zh-CN"/>
        </w:rPr>
      </w:pPr>
      <w:r>
        <w:rPr>
          <w:rFonts w:hint="eastAsia" w:ascii="仿宋" w:hAnsi="仿宋" w:eastAsia="仿宋" w:cs="仿宋"/>
          <w:b/>
          <w:bCs/>
          <w:sz w:val="28"/>
          <w:szCs w:val="28"/>
          <w:lang w:val="en-US" w:eastAsia="zh-CN"/>
        </w:rPr>
        <w:t>2．项目建设全力推进。产业发展涌现“主力军”</w:t>
      </w:r>
      <w:r>
        <w:rPr>
          <w:rFonts w:hint="eastAsia" w:ascii="仿宋" w:hAnsi="仿宋" w:eastAsia="仿宋" w:cs="仿宋"/>
          <w:sz w:val="28"/>
          <w:szCs w:val="28"/>
          <w:lang w:val="en-US" w:eastAsia="zh-CN"/>
        </w:rPr>
        <w:t>，有力保障红星农副产品全球采购中心建设，一期水果交易市场将于2021年1月正式营业，全面释放融城极核效应；万纬完成竣工验收达到运营条件，宝湾完成主体建设和室内道路施工，华泽完成土方平整和临建设施施工，盒马鲜生完成土方平整和场内强夯。</w:t>
      </w:r>
      <w:r>
        <w:rPr>
          <w:rFonts w:hint="eastAsia" w:ascii="仿宋" w:hAnsi="仿宋" w:eastAsia="仿宋" w:cs="仿宋"/>
          <w:b/>
          <w:bCs/>
          <w:sz w:val="28"/>
          <w:szCs w:val="28"/>
          <w:lang w:val="en-US" w:eastAsia="zh-CN"/>
        </w:rPr>
        <w:t>项目建设跑出“加速度”</w:t>
      </w:r>
      <w:r>
        <w:rPr>
          <w:rFonts w:hint="eastAsia" w:ascii="仿宋" w:hAnsi="仿宋" w:eastAsia="仿宋" w:cs="仿宋"/>
          <w:color w:val="0C0C0C"/>
          <w:sz w:val="28"/>
          <w:szCs w:val="28"/>
          <w:lang w:val="en-US" w:eastAsia="zh-CN"/>
        </w:rPr>
        <w:t>，园区柳树塘路以北道路基本贯通。PPP一期侯家冲路（红旗路﹣杨子路）、杨子路（川河路﹣跳马镇界）建成；二期侯照路（柳树塘路﹣时代阳光大道）、柳树塘路（红旗路﹣川河路）具备通车条件，沁福路（红旗路﹣侯照路）完成路基和排水，杨子路（跳马镇界﹣时代阳光大道）完成部分路段路基和排水。</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sz w:val="28"/>
          <w:szCs w:val="28"/>
          <w:lang w:val="en-US" w:eastAsia="zh-CN"/>
        </w:rPr>
        <w:t>3．要素保障有效强化。完善企业服务，</w:t>
      </w:r>
      <w:r>
        <w:rPr>
          <w:rFonts w:hint="eastAsia" w:ascii="仿宋" w:hAnsi="仿宋" w:eastAsia="仿宋" w:cs="仿宋"/>
          <w:color w:val="0C0C0C"/>
          <w:sz w:val="28"/>
          <w:szCs w:val="28"/>
          <w:lang w:val="en-US" w:eastAsia="zh-CN"/>
        </w:rPr>
        <w:t>积极落实企业奖励政策和各类申报推荐，协调雨花经开区出具相关证明，宝湾项目享受报建费优惠930万元。</w:t>
      </w:r>
      <w:r>
        <w:rPr>
          <w:rFonts w:hint="eastAsia" w:ascii="仿宋" w:hAnsi="仿宋" w:eastAsia="仿宋" w:cs="仿宋"/>
          <w:b/>
          <w:bCs/>
          <w:sz w:val="28"/>
          <w:szCs w:val="28"/>
          <w:lang w:val="en-US" w:eastAsia="zh-CN"/>
        </w:rPr>
        <w:t>坚持生态优先</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en-US" w:eastAsia="zh-CN"/>
        </w:rPr>
        <w:t>蓝天保卫战保持高压震慑；综合采取天空“拍”、全线“巡”、重点“查”、路口“蹲”、依法“治”等方式，督促推动依法施工、文明施工，开展控违控渣巡查2160余次。</w:t>
      </w:r>
      <w:r>
        <w:rPr>
          <w:rFonts w:hint="eastAsia" w:ascii="仿宋" w:hAnsi="仿宋" w:eastAsia="仿宋" w:cs="仿宋"/>
          <w:b/>
          <w:bCs/>
          <w:sz w:val="28"/>
          <w:szCs w:val="28"/>
          <w:lang w:val="en-US" w:eastAsia="zh-CN"/>
        </w:rPr>
        <w:t>筑牢安全生产底线</w:t>
      </w:r>
      <w:r>
        <w:rPr>
          <w:rFonts w:hint="eastAsia" w:ascii="仿宋" w:hAnsi="仿宋" w:eastAsia="仿宋" w:cs="仿宋"/>
          <w:sz w:val="28"/>
          <w:szCs w:val="28"/>
          <w:lang w:val="en-US" w:eastAsia="zh-CN"/>
        </w:rPr>
        <w:t>，发现安全生产问题40余个，全部整改到位，深入开展消防培训演练，受训对象延伸至联点社区、园区项目，扩大了覆盖面，增强了实效性。</w:t>
      </w:r>
      <w:r>
        <w:rPr>
          <w:rFonts w:hint="eastAsia" w:ascii="仿宋" w:hAnsi="仿宋" w:eastAsia="仿宋" w:cs="仿宋"/>
          <w:b/>
          <w:bCs/>
          <w:sz w:val="28"/>
          <w:szCs w:val="28"/>
          <w:lang w:val="en-US" w:eastAsia="zh-CN"/>
        </w:rPr>
        <w:t>强化土地供应</w:t>
      </w:r>
      <w:r>
        <w:rPr>
          <w:rFonts w:hint="eastAsia" w:ascii="仿宋" w:hAnsi="仿宋" w:eastAsia="仿宋" w:cs="仿宋"/>
          <w:sz w:val="28"/>
          <w:szCs w:val="28"/>
          <w:lang w:val="en-US" w:eastAsia="zh-CN"/>
        </w:rPr>
        <w:t>，柳树塘路（红旗路﹣川河路）、侯照路（柳树塘路﹣时代阳光大道）、沁福路（侯照路﹣红旗路）、杨子路（跳马镇界﹣时代阳光大道）及跳马片区仓储7号地等5个项目顺利交地，黄梅冲东路（侯照路﹣川河路）、仓储1号地西、9号地计划12月底前全面完成征拆。</w:t>
      </w:r>
      <w:r>
        <w:rPr>
          <w:rFonts w:hint="eastAsia" w:ascii="仿宋" w:hAnsi="仿宋" w:eastAsia="仿宋" w:cs="仿宋"/>
          <w:b/>
          <w:bCs/>
          <w:sz w:val="28"/>
          <w:szCs w:val="28"/>
          <w:lang w:val="en-US" w:eastAsia="zh-CN"/>
        </w:rPr>
        <w:t>强化资金保障</w:t>
      </w:r>
      <w:r>
        <w:rPr>
          <w:rFonts w:hint="eastAsia" w:ascii="仿宋" w:hAnsi="仿宋" w:eastAsia="仿宋" w:cs="仿宋"/>
          <w:sz w:val="28"/>
          <w:szCs w:val="28"/>
          <w:lang w:val="en-US" w:eastAsia="zh-CN"/>
        </w:rPr>
        <w:t>，坚持“过紧日子”，预算资金有</w:t>
      </w:r>
      <w:r>
        <w:rPr>
          <w:rFonts w:hint="eastAsia" w:ascii="仿宋" w:hAnsi="仿宋" w:eastAsia="仿宋" w:cs="仿宋"/>
          <w:color w:val="000000"/>
          <w:sz w:val="28"/>
          <w:szCs w:val="28"/>
          <w:lang w:val="en-US" w:eastAsia="zh-CN"/>
        </w:rPr>
        <w:t>序运行，PPP项目总投调减主动推进，华泽、宝湾、禧相连项目土地成本和出让金返还圆满完成。</w:t>
      </w:r>
    </w:p>
    <w:p>
      <w:pPr>
        <w:pStyle w:val="6"/>
        <w:widowControl/>
        <w:spacing w:line="600" w:lineRule="exact"/>
        <w:ind w:left="640" w:firstLine="0"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1.预算编制前瞻性有待加强；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2.绩效指标评价体系运用不够系统和完善；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3.个别项目资金支出进度相对比较缓慢。</w:t>
      </w:r>
    </w:p>
    <w:p>
      <w:pPr>
        <w:widowControl/>
        <w:numPr>
          <w:ilvl w:val="0"/>
          <w:numId w:val="3"/>
        </w:num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560" w:firstLineChars="200"/>
        <w:jc w:val="both"/>
        <w:rPr>
          <w:rFonts w:hint="eastAsia" w:ascii="仿宋" w:hAnsi="仿宋" w:eastAsia="仿宋" w:cs="仿宋"/>
          <w:i w:val="0"/>
          <w:caps w:val="0"/>
          <w:color w:val="333333"/>
          <w:spacing w:val="0"/>
          <w:kern w:val="0"/>
          <w:sz w:val="28"/>
          <w:szCs w:val="28"/>
          <w:shd w:val="clear" w:fill="FFFFFF"/>
          <w:lang w:val="en-US" w:eastAsia="zh-CN" w:bidi="ar"/>
        </w:rPr>
      </w:pPr>
      <w:r>
        <w:rPr>
          <w:rFonts w:hint="eastAsia" w:ascii="仿宋" w:hAnsi="仿宋" w:eastAsia="仿宋" w:cs="仿宋"/>
          <w:i w:val="0"/>
          <w:caps w:val="0"/>
          <w:color w:val="333333"/>
          <w:spacing w:val="0"/>
          <w:kern w:val="0"/>
          <w:sz w:val="28"/>
          <w:szCs w:val="28"/>
          <w:shd w:val="clear" w:fill="FFFFFF"/>
          <w:lang w:val="en-US" w:eastAsia="zh-CN" w:bidi="ar"/>
        </w:rPr>
        <w:t>1.着力加强预算编制管理。科学规划预算编制工作，进一步提高预算编制的科学性、合理性、严谨性和可控性。</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560" w:firstLineChars="20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2.着力加强绩效评价运用。更全面更系统地运用绩效评价指标，更加注重履职所产生的经济、社会效益，进一步细化部门整体支出个性化指标。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560" w:firstLineChars="20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3.着力加强项目支出调度。加快推进部分项目实施进程，加强项目开展事前事中事后的跟踪，及时支付项目款，加快项目资金支出进度。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i w:val="0"/>
          <w:caps w:val="0"/>
          <w:color w:val="333333"/>
          <w:spacing w:val="0"/>
          <w:sz w:val="28"/>
          <w:szCs w:val="28"/>
          <w:shd w:val="clear" w:fill="FFFFFF"/>
        </w:rPr>
        <w:t>绩效自评结果将为下年度预算配置、预算执行和预算管理提供参照和依据，不断细化绩效评价指标，提高资金使用效益。绩效评价报告及相关表格将按规定在门户网站进行公开。</w:t>
      </w:r>
    </w:p>
    <w:p>
      <w:pPr>
        <w:spacing w:line="600" w:lineRule="exact"/>
        <w:jc w:val="both"/>
        <w:rPr>
          <w:rFonts w:hint="eastAsia" w:ascii="仿宋_GB2312" w:hAnsi="仿宋_GB2312" w:eastAsia="仿宋_GB2312" w:cs="仿宋_GB2312"/>
          <w:sz w:val="32"/>
          <w:szCs w:val="32"/>
          <w:lang w:eastAsia="zh-CN"/>
        </w:rPr>
      </w:pPr>
    </w:p>
    <w:p>
      <w:pPr>
        <w:spacing w:line="600" w:lineRule="exact"/>
        <w:jc w:val="both"/>
        <w:rPr>
          <w:rFonts w:hint="eastAsia" w:ascii="仿宋_GB2312" w:hAnsi="仿宋_GB2312" w:eastAsia="仿宋_GB2312" w:cs="仿宋_GB2312"/>
          <w:sz w:val="32"/>
          <w:szCs w:val="32"/>
          <w:lang w:eastAsia="zh-CN"/>
        </w:rPr>
      </w:pPr>
    </w:p>
    <w:p>
      <w:pPr>
        <w:spacing w:line="600" w:lineRule="exact"/>
        <w:jc w:val="both"/>
        <w:rPr>
          <w:rFonts w:hint="eastAsia" w:ascii="仿宋_GB2312" w:hAnsi="仿宋_GB2312" w:eastAsia="仿宋_GB2312" w:cs="仿宋_GB2312"/>
          <w:sz w:val="32"/>
          <w:szCs w:val="32"/>
          <w:lang w:eastAsia="zh-CN"/>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78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76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78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76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ascii="Times New Roman" w:hAnsi="Times New Roman" w:eastAsia="宋体" w:cs="Times New Roman"/>
                <w:i w:val="0"/>
                <w:color w:val="000000"/>
                <w:kern w:val="0"/>
                <w:sz w:val="20"/>
                <w:szCs w:val="20"/>
                <w:u w:val="none"/>
                <w:lang w:val="en-US" w:eastAsia="zh-CN" w:bidi="ar"/>
              </w:rPr>
              <w:t>区委区</w:t>
            </w:r>
            <w:r>
              <w:rPr>
                <w:rFonts w:hint="default" w:ascii="Times New Roman" w:hAnsi="Times New Roman" w:eastAsia="宋体" w:cs="Times New Roman"/>
                <w:i w:val="0"/>
                <w:color w:val="000000"/>
                <w:kern w:val="0"/>
                <w:sz w:val="20"/>
                <w:szCs w:val="20"/>
                <w:u w:val="none"/>
                <w:lang w:val="en-US" w:eastAsia="zh-CN" w:bidi="ar"/>
              </w:rPr>
              <w:t>政府会议纪要和主要领导批示所明确的具体金额），是否按照标准编制；</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78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76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854"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eastAsia="宋体"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本级公共项目资金不能结转，无结转计2分，有结转不得分。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78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76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预算执行进度率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和调整率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78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76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对2019年重点绩效评价报告中存在的问题是否进行整改，未整改原因是否进行情况说明</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对2019年重点绩效评价报告中发现的问题全部整改，计2分；2019年反映问题部分整改，计1分；2019年反映问题未整改且无整改情况说明，计0分。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ascii="Times New Roman" w:hAnsi="Times New Roman" w:eastAsia="宋体"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财政局2020年考核结果，评审为优，得4分；评审为良，得3分；评审为中，得2分；评审为低，得1分；评审为差，得0分。</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781"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76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6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781"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76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6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781"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761"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78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61"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78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761"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85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46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284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2634"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6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98</w:t>
            </w:r>
          </w:p>
        </w:tc>
      </w:tr>
    </w:tbl>
    <w:p>
      <w:pPr>
        <w:widowControl/>
        <w:spacing w:line="600" w:lineRule="exact"/>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eastAsia" w:ascii="方正小标宋简体" w:hAnsi="方正小标宋简体" w:eastAsia="方正小标宋简体" w:cs="方正小标宋简体"/>
          <w:b/>
          <w:bCs/>
          <w:sz w:val="44"/>
          <w:szCs w:val="44"/>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20</w:t>
      </w:r>
      <w:r>
        <w:rPr>
          <w:rFonts w:hint="eastAsia" w:ascii="黑体" w:hAnsi="黑体" w:eastAsia="黑体" w:cs="黑体"/>
          <w:b/>
          <w:bCs/>
          <w:sz w:val="36"/>
          <w:szCs w:val="36"/>
          <w:lang w:val="en-US" w:eastAsia="zh-CN"/>
        </w:rPr>
        <w:t>20</w:t>
      </w:r>
      <w:r>
        <w:rPr>
          <w:rFonts w:hint="eastAsia" w:ascii="黑体" w:hAnsi="黑体" w:eastAsia="黑体" w:cs="黑体"/>
          <w:b/>
          <w:bCs/>
          <w:sz w:val="36"/>
          <w:szCs w:val="36"/>
        </w:rPr>
        <w:t>年度</w:t>
      </w:r>
      <w:r>
        <w:rPr>
          <w:rFonts w:hint="eastAsia" w:ascii="黑体" w:hAnsi="黑体" w:eastAsia="黑体" w:cs="黑体"/>
          <w:b/>
          <w:bCs/>
          <w:sz w:val="36"/>
          <w:szCs w:val="36"/>
          <w:lang w:eastAsia="zh-CN"/>
        </w:rPr>
        <w:t>长沙市雨花现代电子商务物流管理委员会后勤保障</w:t>
      </w:r>
      <w:r>
        <w:rPr>
          <w:rFonts w:hint="eastAsia" w:ascii="黑体" w:hAnsi="黑体" w:eastAsia="黑体" w:cs="黑体"/>
          <w:b/>
          <w:bCs/>
          <w:sz w:val="36"/>
          <w:szCs w:val="36"/>
        </w:rPr>
        <w:t>专项资金绩效自评报告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pStyle w:val="2"/>
        <w:rPr>
          <w:rFonts w:hint="default"/>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黑体" w:hAnsi="黑体" w:eastAsia="黑体" w:cs="黑体"/>
          <w:sz w:val="36"/>
          <w:szCs w:val="36"/>
        </w:rPr>
      </w:pPr>
      <w:r>
        <w:rPr>
          <w:rFonts w:hint="eastAsia" w:ascii="黑体" w:hAnsi="黑体" w:eastAsia="黑体" w:cs="黑体"/>
          <w:sz w:val="36"/>
          <w:szCs w:val="36"/>
        </w:rPr>
        <w:t>单位名称（盖章）：</w:t>
      </w:r>
      <w:r>
        <w:rPr>
          <w:rFonts w:hint="eastAsia" w:ascii="黑体" w:hAnsi="黑体" w:eastAsia="黑体" w:cs="黑体"/>
          <w:sz w:val="36"/>
          <w:szCs w:val="36"/>
          <w:lang w:eastAsia="zh-CN"/>
        </w:rPr>
        <w:t>长沙市雨花现代电子商务物流管理委员会</w:t>
      </w:r>
    </w:p>
    <w:p>
      <w:pPr>
        <w:jc w:val="center"/>
        <w:rPr>
          <w:rFonts w:hint="eastAsia" w:ascii="方正小标宋简体" w:hAnsi="方正小标宋简体" w:eastAsia="方正小标宋简体" w:cs="方正小标宋简体"/>
          <w:sz w:val="36"/>
          <w:szCs w:val="36"/>
        </w:rPr>
      </w:pPr>
    </w:p>
    <w:p>
      <w:pPr>
        <w:jc w:val="center"/>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jc w:val="both"/>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一、预算支出基本情况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（一）预算支出概况。</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办公用房租赁、物业管理费、用水用电费、维修维护费、法律顾问、党建工作、群众工作、工会、云仓储研发服务等。</w:t>
      </w:r>
    </w:p>
    <w:p>
      <w:pPr>
        <w:keepNext w:val="0"/>
        <w:keepLines w:val="0"/>
        <w:pageBreakBefore w:val="0"/>
        <w:widowControl w:val="0"/>
        <w:kinsoku/>
        <w:wordWrap/>
        <w:overflowPunct/>
        <w:topLinePunct w:val="0"/>
        <w:autoSpaceDE/>
        <w:autoSpaceDN/>
        <w:bidi w:val="0"/>
        <w:adjustRightInd/>
        <w:snapToGrid/>
        <w:spacing w:line="570" w:lineRule="exact"/>
        <w:ind w:firstLine="280" w:firstLineChars="100"/>
        <w:jc w:val="left"/>
        <w:textAlignment w:val="auto"/>
        <w:outlineLvl w:val="9"/>
        <w:rPr>
          <w:rFonts w:hint="eastAsia" w:ascii="仿宋_GB2312" w:hAnsi="仿宋_GB2312" w:eastAsia="仿宋_GB2312" w:cs="仿宋_GB2312"/>
          <w:b/>
          <w:sz w:val="32"/>
          <w:szCs w:val="32"/>
        </w:rPr>
      </w:pPr>
      <w:r>
        <w:rPr>
          <w:rFonts w:hint="eastAsia" w:ascii="仿宋" w:hAnsi="仿宋" w:eastAsia="仿宋" w:cs="仿宋"/>
          <w:b w:val="0"/>
          <w:bCs/>
          <w:sz w:val="28"/>
          <w:szCs w:val="28"/>
          <w:lang w:val="en-US" w:eastAsia="zh-CN"/>
        </w:rPr>
        <w:t xml:space="preserve">  </w:t>
      </w:r>
      <w:r>
        <w:rPr>
          <w:rFonts w:hint="eastAsia" w:ascii="仿宋_GB2312" w:hAnsi="仿宋_GB2312" w:eastAsia="仿宋_GB2312" w:cs="仿宋_GB2312"/>
          <w:b/>
          <w:sz w:val="32"/>
          <w:szCs w:val="32"/>
        </w:rPr>
        <w:t>（二）预算资金使用管理情况。</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区级财政安排</w:t>
      </w:r>
      <w:r>
        <w:rPr>
          <w:rFonts w:hint="eastAsia" w:ascii="仿宋" w:hAnsi="仿宋" w:eastAsia="仿宋" w:cs="仿宋"/>
          <w:color w:val="000000"/>
          <w:sz w:val="28"/>
          <w:szCs w:val="28"/>
          <w:lang w:val="en-US" w:eastAsia="zh-CN"/>
        </w:rPr>
        <w:t>60万元，实际支出58.37万元，主要用于</w:t>
      </w:r>
      <w:r>
        <w:rPr>
          <w:rFonts w:hint="eastAsia" w:ascii="仿宋" w:hAnsi="仿宋" w:eastAsia="仿宋" w:cs="仿宋"/>
          <w:b w:val="0"/>
          <w:bCs/>
          <w:sz w:val="28"/>
          <w:szCs w:val="28"/>
        </w:rPr>
        <w:t>办公用房租赁、物业管理费、用水用电费、维修维护费、法律顾问、党建工作、群众工作、工会、云仓储研发服务</w:t>
      </w:r>
      <w:r>
        <w:rPr>
          <w:rFonts w:hint="eastAsia" w:ascii="仿宋" w:hAnsi="仿宋" w:eastAsia="仿宋" w:cs="仿宋"/>
          <w:b w:val="0"/>
          <w:bCs/>
          <w:sz w:val="28"/>
          <w:szCs w:val="28"/>
          <w:lang w:eastAsia="zh-CN"/>
        </w:rPr>
        <w:t>等</w:t>
      </w:r>
      <w:r>
        <w:rPr>
          <w:rFonts w:hint="eastAsia" w:ascii="仿宋" w:hAnsi="仿宋" w:eastAsia="仿宋" w:cs="仿宋"/>
          <w:color w:val="000000"/>
          <w:sz w:val="28"/>
          <w:szCs w:val="28"/>
          <w:lang w:eastAsia="zh-CN"/>
        </w:rPr>
        <w:t>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1．主导产业加速壮大。</w:t>
      </w:r>
      <w:r>
        <w:rPr>
          <w:rFonts w:hint="eastAsia" w:ascii="仿宋" w:hAnsi="仿宋" w:eastAsia="仿宋" w:cs="仿宋"/>
          <w:sz w:val="28"/>
          <w:szCs w:val="28"/>
          <w:lang w:val="en-US" w:eastAsia="zh-CN"/>
        </w:rPr>
        <w:t>坚持“总部＋产业＋电商＋物流”发展模式，持续发力新业态，做优新零售主导产业，大力推进产业特色化、集聚化发展，“新零售示范园区”加速航行。奋力稳外资、稳投资，完成外资直投1000万美元，引进亿元投资项目5个，“三类500强”投资项目2个。福建百货龙头东百集团顺利签约，带入永辉超市旗下超级物种区域运营中心；新零售“领军”企业盒马鲜生和申通强势入驻，依托世界500强阿里巴巴强大技术支持和平台优势，持续积蓄发展新动能；普鑫物流区域总部和</w:t>
      </w:r>
      <w:r>
        <w:rPr>
          <w:rFonts w:hint="eastAsia" w:ascii="仿宋" w:hAnsi="仿宋" w:eastAsia="仿宋" w:cs="仿宋"/>
          <w:sz w:val="28"/>
          <w:szCs w:val="28"/>
          <w:lang w:val="zh-CN" w:eastAsia="zh-CN"/>
        </w:rPr>
        <w:t>湖南绿生成农产品贸易有限公司总部</w:t>
      </w:r>
      <w:r>
        <w:rPr>
          <w:rFonts w:hint="eastAsia" w:ascii="仿宋" w:hAnsi="仿宋" w:eastAsia="仿宋" w:cs="仿宋"/>
          <w:sz w:val="28"/>
          <w:szCs w:val="28"/>
          <w:lang w:val="en-US" w:eastAsia="zh-CN"/>
        </w:rPr>
        <w:t>落子园区，三个项目合计总投资约12.5亿元。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C0C0C"/>
          <w:sz w:val="28"/>
          <w:szCs w:val="28"/>
          <w:lang w:val="en-US" w:eastAsia="zh-CN"/>
        </w:rPr>
      </w:pPr>
      <w:r>
        <w:rPr>
          <w:rFonts w:hint="eastAsia" w:ascii="仿宋" w:hAnsi="仿宋" w:eastAsia="仿宋" w:cs="仿宋"/>
          <w:b/>
          <w:bCs/>
          <w:sz w:val="28"/>
          <w:szCs w:val="28"/>
          <w:lang w:val="en-US" w:eastAsia="zh-CN"/>
        </w:rPr>
        <w:t>2．项目建设全力推进。产业发展涌现“主力军”</w:t>
      </w:r>
      <w:r>
        <w:rPr>
          <w:rFonts w:hint="eastAsia" w:ascii="仿宋" w:hAnsi="仿宋" w:eastAsia="仿宋" w:cs="仿宋"/>
          <w:sz w:val="28"/>
          <w:szCs w:val="28"/>
          <w:lang w:val="en-US" w:eastAsia="zh-CN"/>
        </w:rPr>
        <w:t>，有力保障红星农副产品全球采购中心建设，一期水果交易市场将于2021年1月正式营业，全面释放融城极核效应；万纬完成竣工验收达到运营条件，宝湾完成主体建设和室内道路施工，华泽完成土方平整和临建设施施工，盒马鲜生完成土方平整和场内强夯。</w:t>
      </w:r>
      <w:r>
        <w:rPr>
          <w:rFonts w:hint="eastAsia" w:ascii="仿宋" w:hAnsi="仿宋" w:eastAsia="仿宋" w:cs="仿宋"/>
          <w:b/>
          <w:bCs/>
          <w:sz w:val="28"/>
          <w:szCs w:val="28"/>
          <w:lang w:val="en-US" w:eastAsia="zh-CN"/>
        </w:rPr>
        <w:t>项目建设跑出“加速度”</w:t>
      </w:r>
      <w:r>
        <w:rPr>
          <w:rFonts w:hint="eastAsia" w:ascii="仿宋" w:hAnsi="仿宋" w:eastAsia="仿宋" w:cs="仿宋"/>
          <w:color w:val="0C0C0C"/>
          <w:sz w:val="28"/>
          <w:szCs w:val="28"/>
          <w:lang w:val="en-US" w:eastAsia="zh-CN"/>
        </w:rPr>
        <w:t>，园区柳树塘路以北道路基本贯通。PPP一期侯家冲路（红旗路﹣杨子路）、杨子路（川河路﹣跳马镇界）建成；二期侯照路（柳树塘路﹣时代阳光大道）、柳树塘路（红旗路﹣川河路）具备通车条件，沁福路（红旗路﹣侯照路）完成路基和排水，杨子路（跳马镇界﹣时代阳光大道）完成部分路段路基和排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二、绩效评价工作情况</w:t>
      </w:r>
    </w:p>
    <w:p>
      <w:pPr>
        <w:keepNext w:val="0"/>
        <w:keepLines w:val="0"/>
        <w:pageBreakBefore w:val="0"/>
        <w:shd w:val="clear" w:color="auto" w:fill="FFFFFF"/>
        <w:kinsoku/>
        <w:wordWrap/>
        <w:overflowPunct/>
        <w:topLinePunct w:val="0"/>
        <w:autoSpaceDE/>
        <w:autoSpaceDN/>
        <w:bidi w:val="0"/>
        <w:spacing w:line="360" w:lineRule="auto"/>
        <w:ind w:firstLine="554" w:firstLineChars="198"/>
        <w:textAlignment w:val="auto"/>
        <w:outlineLvl w:val="9"/>
        <w:rPr>
          <w:rFonts w:hint="eastAsia"/>
        </w:rPr>
      </w:pPr>
      <w:r>
        <w:rPr>
          <w:rFonts w:hint="eastAsia" w:ascii="仿宋" w:hAnsi="仿宋" w:eastAsia="仿宋" w:cs="仿宋"/>
          <w:color w:val="auto"/>
          <w:kern w:val="0"/>
          <w:sz w:val="28"/>
          <w:szCs w:val="28"/>
        </w:rPr>
        <w:t>本部门履职及履职效益情况良好。一是对各项支出严格按照预算额度进行控制、努力节约经费；二是各项工作均能够按时完成，且质量较高；三是部门整体支出使用效果达到了预期。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预算支出主要绩效及评价结论</w:t>
      </w:r>
    </w:p>
    <w:p>
      <w:pPr>
        <w:ind w:firstLine="560" w:firstLineChars="200"/>
        <w:rPr>
          <w:rFonts w:hint="eastAsia"/>
        </w:rPr>
      </w:pPr>
      <w:r>
        <w:rPr>
          <w:rFonts w:hint="eastAsia" w:ascii="仿宋" w:hAnsi="仿宋" w:eastAsia="仿宋" w:cs="仿宋"/>
          <w:sz w:val="28"/>
          <w:szCs w:val="28"/>
        </w:rPr>
        <w:t>项目单位基本能按项目计划的要求支出专项资金，没有擅自调项、扩项和缩项，未挤占截留挪用专项资金</w:t>
      </w:r>
      <w:r>
        <w:rPr>
          <w:rFonts w:hint="eastAsia" w:ascii="仿宋" w:hAnsi="仿宋" w:eastAsia="仿宋" w:cs="仿宋"/>
          <w:b w:val="0"/>
          <w:i w:val="0"/>
          <w:caps w:val="0"/>
          <w:color w:val="000000"/>
          <w:spacing w:val="0"/>
          <w:sz w:val="28"/>
          <w:szCs w:val="28"/>
          <w:shd w:val="clear" w:color="auto" w:fill="FFFFFF"/>
        </w:rPr>
        <w:t>，</w:t>
      </w:r>
      <w:r>
        <w:rPr>
          <w:rFonts w:hint="eastAsia" w:ascii="仿宋" w:hAnsi="仿宋" w:eastAsia="仿宋" w:cs="仿宋"/>
          <w:sz w:val="28"/>
          <w:szCs w:val="28"/>
        </w:rPr>
        <w:t>做到专款专用，审批程序基本规范</w:t>
      </w:r>
      <w:r>
        <w:rPr>
          <w:rFonts w:hint="eastAsia" w:ascii="仿宋" w:hAnsi="仿宋" w:eastAsia="仿宋" w:cs="仿宋"/>
          <w:b w:val="0"/>
          <w:i w:val="0"/>
          <w:caps w:val="0"/>
          <w:color w:val="000000"/>
          <w:spacing w:val="0"/>
          <w:sz w:val="28"/>
          <w:szCs w:val="28"/>
          <w:shd w:val="clear" w:color="auto" w:fill="FFFFFF"/>
        </w:rPr>
        <w:t>，</w:t>
      </w:r>
      <w:r>
        <w:rPr>
          <w:rFonts w:hint="eastAsia" w:ascii="仿宋" w:hAnsi="仿宋" w:eastAsia="仿宋" w:cs="仿宋"/>
          <w:sz w:val="28"/>
          <w:szCs w:val="28"/>
        </w:rPr>
        <w:t>较好的完成了计划目标。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kern w:val="0"/>
          <w:sz w:val="28"/>
          <w:szCs w:val="28"/>
          <w:lang w:eastAsia="zh-CN"/>
        </w:rPr>
        <w:t>为管委会解决办公场所，保障管委会正常运行。物业服务方面：</w:t>
      </w:r>
      <w:r>
        <w:rPr>
          <w:rFonts w:hint="eastAsia" w:ascii="仿宋" w:hAnsi="仿宋" w:eastAsia="仿宋" w:cs="仿宋"/>
          <w:kern w:val="0"/>
          <w:sz w:val="28"/>
          <w:szCs w:val="28"/>
          <w:lang w:val="en-US" w:eastAsia="zh-CN"/>
        </w:rPr>
        <w:t>房屋管理与维修养护服务、公共设备、设施管理和维护服务、保洁与卫生管理服务、绿化养护服务、安全保卫任务灯为管委会营造园区的干净、整洁的氛围，确保无事故发生。法律顾问服务方面</w:t>
      </w:r>
      <w:r>
        <w:rPr>
          <w:rFonts w:hint="eastAsia" w:ascii="仿宋" w:hAnsi="仿宋" w:eastAsia="仿宋" w:cs="仿宋"/>
          <w:kern w:val="0"/>
          <w:sz w:val="28"/>
          <w:szCs w:val="28"/>
          <w:lang w:eastAsia="zh-CN"/>
        </w:rPr>
        <w:t>为管委会提供起草、审查、修改合同及协议。维护管委会的合法权益。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i w:val="0"/>
          <w:caps w:val="0"/>
          <w:color w:val="333333"/>
          <w:spacing w:val="0"/>
          <w:sz w:val="28"/>
          <w:szCs w:val="28"/>
          <w:lang w:eastAsia="zh-CN"/>
        </w:rPr>
      </w:pPr>
      <w:r>
        <w:rPr>
          <w:rFonts w:hint="eastAsia" w:ascii="仿宋" w:hAnsi="仿宋" w:eastAsia="仿宋" w:cs="仿宋"/>
          <w:i w:val="0"/>
          <w:caps w:val="0"/>
          <w:color w:val="333333"/>
          <w:spacing w:val="0"/>
          <w:sz w:val="28"/>
          <w:szCs w:val="28"/>
        </w:rPr>
        <w:t>严格资料审核把关，做到了项目实施与项目计划相符，资金使用与计划相符，项目内容与计划相符，形成项目跟踪管理。</w:t>
      </w:r>
      <w:r>
        <w:rPr>
          <w:rFonts w:hint="eastAsia" w:ascii="仿宋" w:hAnsi="仿宋" w:eastAsia="仿宋" w:cs="仿宋"/>
          <w:i w:val="0"/>
          <w:caps w:val="0"/>
          <w:color w:val="333333"/>
          <w:spacing w:val="0"/>
          <w:sz w:val="28"/>
          <w:szCs w:val="28"/>
          <w:lang w:eastAsia="zh-CN"/>
        </w:rPr>
        <w:t>但项目实施过程中还存在不规范的地方，资料不够详细。</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kern w:val="2"/>
          <w:sz w:val="28"/>
          <w:szCs w:val="28"/>
          <w:lang w:val="en-US" w:eastAsia="zh-CN" w:bidi="ar-SA"/>
        </w:rPr>
      </w:pPr>
      <w:r>
        <w:rPr>
          <w:rFonts w:hint="eastAsia" w:ascii="仿宋" w:hAnsi="仿宋" w:eastAsia="仿宋" w:cs="仿宋"/>
          <w:i w:val="0"/>
          <w:caps w:val="0"/>
          <w:color w:val="333333"/>
          <w:spacing w:val="0"/>
          <w:kern w:val="2"/>
          <w:sz w:val="28"/>
          <w:szCs w:val="28"/>
          <w:lang w:val="en-US" w:eastAsia="zh-CN" w:bidi="ar-SA"/>
        </w:rPr>
        <w:t>进一步加强财务监管，严格按照财务制度规定，遵照规范化、程序化执行。</w:t>
      </w:r>
    </w:p>
    <w:p>
      <w:pPr>
        <w:pStyle w:val="2"/>
        <w:jc w:val="left"/>
        <w:rPr>
          <w:rFonts w:hint="eastAsia" w:ascii="仿宋" w:hAnsi="仿宋" w:eastAsia="仿宋" w:cs="仿宋"/>
          <w:i w:val="0"/>
          <w:caps w:val="0"/>
          <w:color w:val="333333"/>
          <w:spacing w:val="0"/>
          <w:kern w:val="2"/>
          <w:sz w:val="28"/>
          <w:szCs w:val="28"/>
          <w:lang w:val="en-US" w:eastAsia="zh-CN" w:bidi="ar-SA"/>
        </w:rPr>
      </w:pPr>
    </w:p>
    <w:p>
      <w:pPr>
        <w:pStyle w:val="2"/>
        <w:jc w:val="left"/>
        <w:rPr>
          <w:rFonts w:hint="eastAsia"/>
        </w:rPr>
      </w:pPr>
    </w:p>
    <w:p>
      <w:pPr>
        <w:pStyle w:val="2"/>
        <w:numPr>
          <w:ilvl w:val="0"/>
          <w:numId w:val="0"/>
        </w:numPr>
        <w:jc w:val="both"/>
        <w:rPr>
          <w:rFonts w:hint="eastAsia" w:ascii="仿宋" w:hAnsi="仿宋" w:eastAsia="仿宋" w:cs="仿宋"/>
          <w:sz w:val="28"/>
          <w:szCs w:val="28"/>
          <w:lang w:val="en-US" w:eastAsia="zh-CN"/>
        </w:rPr>
      </w:pPr>
      <w:r>
        <w:rPr>
          <w:rFonts w:hint="eastAsia"/>
          <w:lang w:val="en-US" w:eastAsia="zh-CN"/>
        </w:rPr>
        <w:t xml:space="preserve">    </w:t>
      </w:r>
      <w:r>
        <w:rPr>
          <w:rFonts w:hint="eastAsia" w:ascii="仿宋" w:hAnsi="仿宋" w:eastAsia="仿宋" w:cs="仿宋"/>
          <w:sz w:val="28"/>
          <w:szCs w:val="28"/>
          <w:lang w:val="en-US" w:eastAsia="zh-CN"/>
        </w:rPr>
        <w:t xml:space="preserve">  </w:t>
      </w:r>
    </w:p>
    <w:p>
      <w:pPr>
        <w:pStyle w:val="2"/>
        <w:numPr>
          <w:ilvl w:val="0"/>
          <w:numId w:val="0"/>
        </w:numPr>
        <w:jc w:val="left"/>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方正小标宋简体" w:hAnsi="方正小标宋简体" w:eastAsia="方正小标宋简体" w:cs="方正小标宋简体"/>
          <w:b/>
          <w:bCs/>
          <w:sz w:val="44"/>
          <w:szCs w:val="44"/>
        </w:rPr>
      </w:pPr>
    </w:p>
    <w:p>
      <w:pPr>
        <w:pStyle w:val="2"/>
        <w:rPr>
          <w:rFonts w:hint="eastAsia" w:ascii="方正小标宋简体" w:hAnsi="方正小标宋简体" w:eastAsia="方正小标宋简体" w:cs="方正小标宋简体"/>
          <w:b/>
          <w:bCs/>
          <w:sz w:val="44"/>
          <w:szCs w:val="44"/>
        </w:rPr>
      </w:pPr>
    </w:p>
    <w:p>
      <w:pPr>
        <w:pStyle w:val="2"/>
        <w:rPr>
          <w:rFonts w:hint="eastAsia" w:ascii="方正小标宋简体" w:hAnsi="方正小标宋简体" w:eastAsia="方正小标宋简体" w:cs="方正小标宋简体"/>
          <w:b/>
          <w:bCs/>
          <w:sz w:val="44"/>
          <w:szCs w:val="44"/>
        </w:rPr>
      </w:pPr>
    </w:p>
    <w:p>
      <w:pPr>
        <w:pStyle w:val="2"/>
        <w:rPr>
          <w:rFonts w:hint="eastAsia" w:ascii="方正小标宋简体" w:hAnsi="方正小标宋简体" w:eastAsia="方正小标宋简体" w:cs="方正小标宋简体"/>
          <w:b/>
          <w:bCs/>
          <w:sz w:val="44"/>
          <w:szCs w:val="44"/>
        </w:rPr>
      </w:pPr>
    </w:p>
    <w:p>
      <w:pPr>
        <w:pStyle w:val="2"/>
        <w:rPr>
          <w:rFonts w:hint="eastAsia" w:ascii="方正小标宋简体" w:hAnsi="方正小标宋简体" w:eastAsia="方正小标宋简体" w:cs="方正小标宋简体"/>
          <w:b/>
          <w:bCs/>
          <w:sz w:val="44"/>
          <w:szCs w:val="44"/>
        </w:rPr>
      </w:pPr>
    </w:p>
    <w:p>
      <w:pPr>
        <w:pStyle w:val="2"/>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20</w:t>
      </w:r>
      <w:r>
        <w:rPr>
          <w:rFonts w:hint="eastAsia" w:ascii="黑体" w:hAnsi="黑体" w:eastAsia="黑体" w:cs="黑体"/>
          <w:b/>
          <w:bCs/>
          <w:sz w:val="36"/>
          <w:szCs w:val="36"/>
          <w:lang w:val="en-US" w:eastAsia="zh-CN"/>
        </w:rPr>
        <w:t>20</w:t>
      </w:r>
      <w:r>
        <w:rPr>
          <w:rFonts w:hint="eastAsia" w:ascii="黑体" w:hAnsi="黑体" w:eastAsia="黑体" w:cs="黑体"/>
          <w:b/>
          <w:bCs/>
          <w:sz w:val="36"/>
          <w:szCs w:val="36"/>
        </w:rPr>
        <w:t>年度</w:t>
      </w:r>
      <w:r>
        <w:rPr>
          <w:rFonts w:hint="eastAsia" w:ascii="黑体" w:hAnsi="黑体" w:eastAsia="黑体" w:cs="黑体"/>
          <w:b/>
          <w:bCs/>
          <w:sz w:val="36"/>
          <w:szCs w:val="36"/>
          <w:lang w:eastAsia="zh-CN"/>
        </w:rPr>
        <w:t>长沙市雨花现代电子商务物流管理委员会聘用人员经费</w:t>
      </w:r>
      <w:r>
        <w:rPr>
          <w:rFonts w:hint="eastAsia" w:ascii="黑体" w:hAnsi="黑体" w:eastAsia="黑体" w:cs="黑体"/>
          <w:b/>
          <w:bCs/>
          <w:sz w:val="36"/>
          <w:szCs w:val="36"/>
        </w:rPr>
        <w:t>专项资金绩效自评报告</w:t>
      </w: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pStyle w:val="2"/>
        <w:rPr>
          <w:rFonts w:hint="eastAsia" w:ascii="黑体" w:hAnsi="黑体" w:eastAsia="黑体" w:cs="黑体"/>
          <w:sz w:val="36"/>
          <w:szCs w:val="36"/>
        </w:rPr>
      </w:pPr>
    </w:p>
    <w:p>
      <w:pPr>
        <w:jc w:val="center"/>
        <w:rPr>
          <w:rFonts w:hint="eastAsia" w:ascii="黑体" w:hAnsi="黑体" w:eastAsia="黑体" w:cs="黑体"/>
          <w:sz w:val="36"/>
          <w:szCs w:val="36"/>
        </w:rPr>
      </w:pPr>
    </w:p>
    <w:p>
      <w:pPr>
        <w:jc w:val="both"/>
        <w:rPr>
          <w:rFonts w:hint="eastAsia" w:ascii="黑体" w:hAnsi="黑体" w:eastAsia="黑体" w:cs="黑体"/>
          <w:sz w:val="36"/>
          <w:szCs w:val="36"/>
        </w:rPr>
      </w:pPr>
    </w:p>
    <w:p>
      <w:pPr>
        <w:pStyle w:val="2"/>
        <w:rPr>
          <w:rFonts w:hint="eastAsia" w:ascii="黑体" w:hAnsi="黑体" w:eastAsia="黑体" w:cs="黑体"/>
          <w:sz w:val="36"/>
          <w:szCs w:val="36"/>
        </w:rPr>
      </w:pPr>
    </w:p>
    <w:p>
      <w:pPr>
        <w:ind w:firstLine="720" w:firstLineChars="200"/>
        <w:jc w:val="center"/>
        <w:rPr>
          <w:rFonts w:hint="eastAsia" w:ascii="黑体" w:hAnsi="黑体" w:eastAsia="黑体" w:cs="黑体"/>
          <w:sz w:val="36"/>
          <w:szCs w:val="36"/>
        </w:rPr>
      </w:pPr>
    </w:p>
    <w:p>
      <w:pPr>
        <w:ind w:firstLine="720" w:firstLineChars="200"/>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单位名称（盖章）：</w:t>
      </w:r>
      <w:r>
        <w:rPr>
          <w:rFonts w:hint="eastAsia" w:ascii="黑体" w:hAnsi="黑体" w:eastAsia="黑体" w:cs="黑体"/>
          <w:sz w:val="36"/>
          <w:szCs w:val="36"/>
          <w:lang w:eastAsia="zh-CN"/>
        </w:rPr>
        <w:t>长沙市雨花现代电子商务物流管理委员会</w:t>
      </w:r>
    </w:p>
    <w:p>
      <w:pPr>
        <w:jc w:val="center"/>
        <w:rPr>
          <w:rFonts w:hint="eastAsia" w:ascii="黑体" w:hAnsi="黑体" w:eastAsia="黑体" w:cs="黑体"/>
          <w:sz w:val="36"/>
          <w:szCs w:val="36"/>
        </w:rPr>
      </w:pPr>
    </w:p>
    <w:p>
      <w:pPr>
        <w:jc w:val="center"/>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rPr>
          <w:rFonts w:hint="default" w:ascii="Times New Roman" w:hAnsi="Times New Roman" w:eastAsia="黑体" w:cs="Times New Roman"/>
          <w:sz w:val="36"/>
          <w:szCs w:val="36"/>
        </w:rPr>
      </w:pPr>
    </w:p>
    <w:p>
      <w:pPr>
        <w:pStyle w:val="2"/>
        <w:jc w:val="both"/>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一、预算支出基本情况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（一）预算支出概况。</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根据《雨花现代电子商务物流管理委员会机构改革有关工作建议》，园区现有聘用人员29人，其工资福利支出、保险及人员经费。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（二）预算资金使用管理情况。</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区级财政安排</w:t>
      </w:r>
      <w:r>
        <w:rPr>
          <w:rFonts w:hint="eastAsia" w:ascii="仿宋" w:hAnsi="仿宋" w:eastAsia="仿宋" w:cs="仿宋"/>
          <w:color w:val="000000"/>
          <w:sz w:val="28"/>
          <w:szCs w:val="28"/>
          <w:lang w:val="en-US" w:eastAsia="zh-CN"/>
        </w:rPr>
        <w:t>231万元，实际支出231万元，主要用于</w:t>
      </w:r>
      <w:r>
        <w:rPr>
          <w:rFonts w:hint="eastAsia" w:ascii="仿宋" w:hAnsi="仿宋" w:eastAsia="仿宋" w:cs="仿宋"/>
          <w:color w:val="000000"/>
          <w:sz w:val="28"/>
          <w:szCs w:val="28"/>
        </w:rPr>
        <w:t>聘用人员工资福利保险</w:t>
      </w:r>
      <w:r>
        <w:rPr>
          <w:rFonts w:hint="eastAsia" w:ascii="仿宋" w:hAnsi="仿宋" w:eastAsia="仿宋" w:cs="仿宋"/>
          <w:color w:val="000000"/>
          <w:sz w:val="28"/>
          <w:szCs w:val="28"/>
          <w:lang w:eastAsia="zh-CN"/>
        </w:rPr>
        <w:t>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sz w:val="28"/>
          <w:szCs w:val="28"/>
          <w:lang w:val="en-US" w:eastAsia="zh-CN"/>
        </w:rPr>
        <w:t>完善企业服务，</w:t>
      </w:r>
      <w:r>
        <w:rPr>
          <w:rFonts w:hint="eastAsia" w:ascii="仿宋" w:hAnsi="仿宋" w:eastAsia="仿宋" w:cs="仿宋"/>
          <w:color w:val="0C0C0C"/>
          <w:sz w:val="28"/>
          <w:szCs w:val="28"/>
          <w:lang w:val="en-US" w:eastAsia="zh-CN"/>
        </w:rPr>
        <w:t>积极落实企业奖励政策和各类申报推荐，协调雨花经开区出具相关证明，宝湾项目享受报建费优惠930万元。</w:t>
      </w:r>
      <w:r>
        <w:rPr>
          <w:rFonts w:hint="eastAsia" w:ascii="仿宋" w:hAnsi="仿宋" w:eastAsia="仿宋" w:cs="仿宋"/>
          <w:b/>
          <w:bCs/>
          <w:sz w:val="28"/>
          <w:szCs w:val="28"/>
          <w:lang w:val="en-US" w:eastAsia="zh-CN"/>
        </w:rPr>
        <w:t>坚持生态优先</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en-US" w:eastAsia="zh-CN"/>
        </w:rPr>
        <w:t>蓝天保卫战保持高压震慑；综合采取天空“拍”、全线“巡”、重点“查”、路口“蹲”、依法“治”等方式，督促推动依法施工、文明施工，开展控违控渣巡查2160余次。</w:t>
      </w:r>
      <w:r>
        <w:rPr>
          <w:rFonts w:hint="eastAsia" w:ascii="仿宋" w:hAnsi="仿宋" w:eastAsia="仿宋" w:cs="仿宋"/>
          <w:b/>
          <w:bCs/>
          <w:sz w:val="28"/>
          <w:szCs w:val="28"/>
          <w:lang w:val="en-US" w:eastAsia="zh-CN"/>
        </w:rPr>
        <w:t>筑牢安全生产底线</w:t>
      </w:r>
      <w:r>
        <w:rPr>
          <w:rFonts w:hint="eastAsia" w:ascii="仿宋" w:hAnsi="仿宋" w:eastAsia="仿宋" w:cs="仿宋"/>
          <w:sz w:val="28"/>
          <w:szCs w:val="28"/>
          <w:lang w:val="en-US" w:eastAsia="zh-CN"/>
        </w:rPr>
        <w:t>，发现安全生产问题40余个，全部整改到位，深入开展消防培训演练，受训对象延伸至联点社区、园区项目，扩大了覆盖面，增强了实效性。</w:t>
      </w:r>
      <w:r>
        <w:rPr>
          <w:rFonts w:hint="eastAsia" w:ascii="仿宋" w:hAnsi="仿宋" w:eastAsia="仿宋" w:cs="仿宋"/>
          <w:b/>
          <w:bCs/>
          <w:sz w:val="28"/>
          <w:szCs w:val="28"/>
          <w:lang w:val="en-US" w:eastAsia="zh-CN"/>
        </w:rPr>
        <w:t>强化土地供应</w:t>
      </w:r>
      <w:r>
        <w:rPr>
          <w:rFonts w:hint="eastAsia" w:ascii="仿宋" w:hAnsi="仿宋" w:eastAsia="仿宋" w:cs="仿宋"/>
          <w:sz w:val="28"/>
          <w:szCs w:val="28"/>
          <w:lang w:val="en-US" w:eastAsia="zh-CN"/>
        </w:rPr>
        <w:t>，柳树塘路（红旗路﹣川河路）、侯照路（柳树塘路﹣时代阳光大道）、沁福路（侯照路﹣红旗路）、杨子路（跳马镇界﹣时代阳光大道）及跳马片区仓储7号地等5个项目顺利交地，黄梅冲东路（侯照路﹣川河路）、仓储1号地西、9号地计划12月底前全面完成征拆。</w:t>
      </w:r>
      <w:r>
        <w:rPr>
          <w:rFonts w:hint="eastAsia" w:ascii="仿宋" w:hAnsi="仿宋" w:eastAsia="仿宋" w:cs="仿宋"/>
          <w:b/>
          <w:bCs/>
          <w:sz w:val="28"/>
          <w:szCs w:val="28"/>
          <w:lang w:val="en-US" w:eastAsia="zh-CN"/>
        </w:rPr>
        <w:t>强化资金保障</w:t>
      </w:r>
      <w:r>
        <w:rPr>
          <w:rFonts w:hint="eastAsia" w:ascii="仿宋" w:hAnsi="仿宋" w:eastAsia="仿宋" w:cs="仿宋"/>
          <w:sz w:val="28"/>
          <w:szCs w:val="28"/>
          <w:lang w:val="en-US" w:eastAsia="zh-CN"/>
        </w:rPr>
        <w:t>，坚持“过紧日子”，预算资金有</w:t>
      </w:r>
      <w:r>
        <w:rPr>
          <w:rFonts w:hint="eastAsia" w:ascii="仿宋" w:hAnsi="仿宋" w:eastAsia="仿宋" w:cs="仿宋"/>
          <w:color w:val="000000"/>
          <w:sz w:val="28"/>
          <w:szCs w:val="28"/>
          <w:lang w:val="en-US" w:eastAsia="zh-CN"/>
        </w:rPr>
        <w:t>序运行，PPP项目总投调减主动推进，华泽、宝湾、禧相连项目土地成本和出让金返还圆满完成。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二、绩效评价工作情况</w:t>
      </w:r>
    </w:p>
    <w:p>
      <w:pPr>
        <w:keepNext w:val="0"/>
        <w:keepLines w:val="0"/>
        <w:pageBreakBefore w:val="0"/>
        <w:shd w:val="clear" w:color="auto" w:fill="FFFFFF"/>
        <w:kinsoku/>
        <w:wordWrap/>
        <w:overflowPunct/>
        <w:topLinePunct w:val="0"/>
        <w:autoSpaceDE/>
        <w:autoSpaceDN/>
        <w:bidi w:val="0"/>
        <w:spacing w:line="360" w:lineRule="auto"/>
        <w:ind w:firstLine="554" w:firstLineChars="198"/>
        <w:textAlignment w:val="auto"/>
        <w:outlineLvl w:val="9"/>
        <w:rPr>
          <w:rFonts w:hint="eastAsia"/>
        </w:rPr>
      </w:pPr>
      <w:r>
        <w:rPr>
          <w:rFonts w:hint="eastAsia" w:ascii="仿宋" w:hAnsi="仿宋" w:eastAsia="仿宋" w:cs="仿宋"/>
          <w:color w:val="auto"/>
          <w:kern w:val="0"/>
          <w:sz w:val="28"/>
          <w:szCs w:val="28"/>
        </w:rPr>
        <w:t>本部门履职及履职效益情况良好。一是对各项支出严格按照预算额度进行控制、努力节约经费；二是各项工作均能够按时完成，且质量较高；三是部门整体支出使用效果达到了预期。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预算支出主要绩效及评价结论</w:t>
      </w:r>
    </w:p>
    <w:p>
      <w:pPr>
        <w:ind w:firstLine="560" w:firstLineChars="200"/>
        <w:rPr>
          <w:rFonts w:hint="eastAsia"/>
        </w:rPr>
      </w:pPr>
      <w:r>
        <w:rPr>
          <w:rFonts w:hint="eastAsia" w:ascii="仿宋" w:hAnsi="仿宋" w:eastAsia="仿宋" w:cs="仿宋"/>
          <w:sz w:val="28"/>
          <w:szCs w:val="28"/>
        </w:rPr>
        <w:t>项目单位基本能按项目计划的要求支出专项资金，没有擅自调项、扩项和缩项，未挤占截留挪用专项资金</w:t>
      </w:r>
      <w:r>
        <w:rPr>
          <w:rFonts w:hint="eastAsia" w:ascii="仿宋" w:hAnsi="仿宋" w:eastAsia="仿宋" w:cs="仿宋"/>
          <w:b w:val="0"/>
          <w:i w:val="0"/>
          <w:caps w:val="0"/>
          <w:color w:val="000000"/>
          <w:spacing w:val="0"/>
          <w:sz w:val="28"/>
          <w:szCs w:val="28"/>
          <w:shd w:val="clear" w:color="auto" w:fill="FFFFFF"/>
        </w:rPr>
        <w:t>，</w:t>
      </w:r>
      <w:r>
        <w:rPr>
          <w:rFonts w:hint="eastAsia" w:ascii="仿宋" w:hAnsi="仿宋" w:eastAsia="仿宋" w:cs="仿宋"/>
          <w:sz w:val="28"/>
          <w:szCs w:val="28"/>
        </w:rPr>
        <w:t>做到专款专用，审批程序基本规范</w:t>
      </w:r>
      <w:r>
        <w:rPr>
          <w:rFonts w:hint="eastAsia" w:ascii="仿宋" w:hAnsi="仿宋" w:eastAsia="仿宋" w:cs="仿宋"/>
          <w:b w:val="0"/>
          <w:i w:val="0"/>
          <w:caps w:val="0"/>
          <w:color w:val="000000"/>
          <w:spacing w:val="0"/>
          <w:sz w:val="28"/>
          <w:szCs w:val="28"/>
          <w:shd w:val="clear" w:color="auto" w:fill="FFFFFF"/>
        </w:rPr>
        <w:t>，</w:t>
      </w:r>
      <w:r>
        <w:rPr>
          <w:rFonts w:hint="eastAsia" w:ascii="仿宋" w:hAnsi="仿宋" w:eastAsia="仿宋" w:cs="仿宋"/>
          <w:sz w:val="28"/>
          <w:szCs w:val="28"/>
        </w:rPr>
        <w:t>较好的完成了计划目标。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b/>
          <w:sz w:val="28"/>
          <w:szCs w:val="28"/>
          <w:lang w:eastAsia="zh-CN"/>
        </w:rPr>
      </w:pPr>
      <w:r>
        <w:rPr>
          <w:rFonts w:hint="eastAsia" w:ascii="仿宋" w:hAnsi="仿宋" w:eastAsia="仿宋" w:cs="仿宋"/>
          <w:color w:val="000000"/>
          <w:sz w:val="28"/>
          <w:szCs w:val="28"/>
          <w:lang w:eastAsia="zh-CN"/>
        </w:rPr>
        <w:t>保障雨花现代电子商务物流管委会聘用人员工资福利、保险及日常办公经费，</w:t>
      </w:r>
      <w:r>
        <w:rPr>
          <w:rFonts w:hint="eastAsia" w:ascii="仿宋" w:hAnsi="仿宋" w:eastAsia="仿宋" w:cs="仿宋"/>
          <w:kern w:val="0"/>
          <w:sz w:val="28"/>
          <w:szCs w:val="28"/>
          <w:lang w:eastAsia="zh-CN"/>
        </w:rPr>
        <w:t>为园区的开发建设和各项工作的正常运行提供人员保障。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outlineLvl w:val="9"/>
        <w:rPr>
          <w:rFonts w:hint="eastAsia" w:ascii="仿宋" w:hAnsi="仿宋" w:eastAsia="仿宋" w:cs="仿宋"/>
          <w:i w:val="0"/>
          <w:caps w:val="0"/>
          <w:color w:val="333333"/>
          <w:spacing w:val="0"/>
          <w:sz w:val="28"/>
          <w:szCs w:val="28"/>
          <w:lang w:eastAsia="zh-CN"/>
        </w:rPr>
      </w:pPr>
      <w:r>
        <w:rPr>
          <w:rFonts w:hint="eastAsia" w:ascii="仿宋" w:hAnsi="仿宋" w:eastAsia="仿宋" w:cs="仿宋"/>
          <w:i w:val="0"/>
          <w:caps w:val="0"/>
          <w:color w:val="333333"/>
          <w:spacing w:val="0"/>
          <w:sz w:val="28"/>
          <w:szCs w:val="28"/>
        </w:rPr>
        <w:t>严格资料审核把关，做到了项目实施与项目计划相符，资金使用与计划相符，项目内容与计划相符，形成项目跟踪管理。</w:t>
      </w:r>
      <w:r>
        <w:rPr>
          <w:rFonts w:hint="eastAsia" w:ascii="仿宋" w:hAnsi="仿宋" w:eastAsia="仿宋" w:cs="仿宋"/>
          <w:i w:val="0"/>
          <w:caps w:val="0"/>
          <w:color w:val="333333"/>
          <w:spacing w:val="0"/>
          <w:sz w:val="28"/>
          <w:szCs w:val="28"/>
          <w:lang w:eastAsia="zh-CN"/>
        </w:rPr>
        <w:t>但项目实施过程中还存在不规范的地方，资料不够详细。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有关建议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i w:val="0"/>
          <w:caps w:val="0"/>
          <w:color w:val="333333"/>
          <w:spacing w:val="0"/>
          <w:kern w:val="2"/>
          <w:sz w:val="28"/>
          <w:szCs w:val="28"/>
          <w:lang w:val="en-US" w:eastAsia="zh-CN" w:bidi="ar-SA"/>
        </w:rPr>
      </w:pPr>
      <w:r>
        <w:rPr>
          <w:rFonts w:hint="eastAsia" w:ascii="仿宋" w:hAnsi="仿宋" w:eastAsia="仿宋" w:cs="仿宋"/>
          <w:i w:val="0"/>
          <w:caps w:val="0"/>
          <w:color w:val="333333"/>
          <w:spacing w:val="0"/>
          <w:kern w:val="2"/>
          <w:sz w:val="28"/>
          <w:szCs w:val="28"/>
          <w:lang w:val="en-US" w:eastAsia="zh-CN" w:bidi="ar-SA"/>
        </w:rPr>
        <w:t>进一步加强财务监管，严格按照财务制度规定，遵照规范化、程序化执行。</w:t>
      </w:r>
    </w:p>
    <w:p>
      <w:pPr>
        <w:pStyle w:val="7"/>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E2A6A"/>
    <w:multiLevelType w:val="singleLevel"/>
    <w:tmpl w:val="A62E2A6A"/>
    <w:lvl w:ilvl="0" w:tentative="0">
      <w:start w:val="1"/>
      <w:numFmt w:val="decimal"/>
      <w:suff w:val="space"/>
      <w:lvlText w:val="%1."/>
      <w:lvlJc w:val="left"/>
    </w:lvl>
  </w:abstractNum>
  <w:abstractNum w:abstractNumId="1">
    <w:nsid w:val="4EADE249"/>
    <w:multiLevelType w:val="singleLevel"/>
    <w:tmpl w:val="4EADE249"/>
    <w:lvl w:ilvl="0" w:tentative="0">
      <w:start w:val="5"/>
      <w:numFmt w:val="chineseCounting"/>
      <w:suff w:val="nothing"/>
      <w:lvlText w:val="%1、"/>
      <w:lvlJc w:val="left"/>
      <w:rPr>
        <w:rFonts w:hint="eastAsia"/>
      </w:rPr>
    </w:lvl>
  </w:abstractNum>
  <w:abstractNum w:abstractNumId="2">
    <w:nsid w:val="71B14150"/>
    <w:multiLevelType w:val="singleLevel"/>
    <w:tmpl w:val="71B1415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1FEE5866"/>
    <w:rsid w:val="04654DC4"/>
    <w:rsid w:val="0A052042"/>
    <w:rsid w:val="0A7B25CF"/>
    <w:rsid w:val="0CD135CD"/>
    <w:rsid w:val="0D035214"/>
    <w:rsid w:val="104B1E50"/>
    <w:rsid w:val="10615D3F"/>
    <w:rsid w:val="13764E64"/>
    <w:rsid w:val="15495692"/>
    <w:rsid w:val="1864659C"/>
    <w:rsid w:val="1AC72794"/>
    <w:rsid w:val="1B563E18"/>
    <w:rsid w:val="1DA21C47"/>
    <w:rsid w:val="1FEE5866"/>
    <w:rsid w:val="21B92B8C"/>
    <w:rsid w:val="21FF6C14"/>
    <w:rsid w:val="22F52348"/>
    <w:rsid w:val="233442A4"/>
    <w:rsid w:val="2F3D5715"/>
    <w:rsid w:val="2FF951A6"/>
    <w:rsid w:val="30393385"/>
    <w:rsid w:val="32752BF4"/>
    <w:rsid w:val="331326AD"/>
    <w:rsid w:val="34CC5C74"/>
    <w:rsid w:val="35EF7663"/>
    <w:rsid w:val="36924577"/>
    <w:rsid w:val="380950A5"/>
    <w:rsid w:val="38FF7B80"/>
    <w:rsid w:val="3AB25F74"/>
    <w:rsid w:val="40186DB8"/>
    <w:rsid w:val="451D5532"/>
    <w:rsid w:val="459570A5"/>
    <w:rsid w:val="46D4168C"/>
    <w:rsid w:val="494178E8"/>
    <w:rsid w:val="4A51648D"/>
    <w:rsid w:val="4D790B61"/>
    <w:rsid w:val="4E4A64B8"/>
    <w:rsid w:val="50B03246"/>
    <w:rsid w:val="517761A5"/>
    <w:rsid w:val="531106B0"/>
    <w:rsid w:val="5366447F"/>
    <w:rsid w:val="5A0A05A0"/>
    <w:rsid w:val="613808D2"/>
    <w:rsid w:val="63CF2C9D"/>
    <w:rsid w:val="6D1C0BA4"/>
    <w:rsid w:val="6D6D74D9"/>
    <w:rsid w:val="6F1347D0"/>
    <w:rsid w:val="730141C0"/>
    <w:rsid w:val="7524728B"/>
    <w:rsid w:val="76D4359C"/>
    <w:rsid w:val="7CF56061"/>
    <w:rsid w:val="7CFD9168"/>
    <w:rsid w:val="7F5A6A57"/>
    <w:rsid w:val="7FA16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240" w:lineRule="exact"/>
      <w:jc w:val="center"/>
    </w:pPr>
    <w:rPr>
      <w:rFonts w:ascii="仿宋_GB2312" w:eastAsia="仿宋_GB2312"/>
      <w:szCs w:val="21"/>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List Paragraph"/>
    <w:basedOn w:val="1"/>
    <w:qFormat/>
    <w:uiPriority w:val="99"/>
    <w:pPr>
      <w:ind w:firstLine="420" w:firstLineChars="200"/>
    </w:pPr>
    <w:rPr>
      <w:rFonts w:ascii="Calibri" w:hAnsi="Calibri" w:eastAsia="宋体" w:cs="Times New Roman"/>
      <w:szCs w:val="22"/>
    </w:rPr>
  </w:style>
  <w:style w:type="paragraph" w:customStyle="1" w:styleId="7">
    <w:name w:val="p0"/>
    <w:basedOn w:val="1"/>
    <w:qFormat/>
    <w:uiPriority w:val="0"/>
    <w:pPr>
      <w:widowControl/>
    </w:pPr>
    <w:rPr>
      <w:kern w:val="0"/>
      <w:sz w:val="32"/>
      <w:szCs w:val="32"/>
    </w:rPr>
  </w:style>
  <w:style w:type="character" w:customStyle="1" w:styleId="8">
    <w:name w:val="font41"/>
    <w:basedOn w:val="5"/>
    <w:qFormat/>
    <w:uiPriority w:val="0"/>
    <w:rPr>
      <w:rFonts w:hint="eastAsia" w:ascii="宋体" w:hAnsi="宋体" w:eastAsia="宋体" w:cs="宋体"/>
      <w:color w:val="000000"/>
      <w:sz w:val="18"/>
      <w:szCs w:val="18"/>
      <w:u w:val="none"/>
    </w:rPr>
  </w:style>
  <w:style w:type="character" w:customStyle="1" w:styleId="9">
    <w:name w:val="font31"/>
    <w:basedOn w:val="5"/>
    <w:qFormat/>
    <w:uiPriority w:val="0"/>
    <w:rPr>
      <w:rFonts w:hint="default" w:ascii="Times New Roman" w:hAnsi="Times New Roman" w:cs="Times New Roman"/>
      <w:color w:val="000000"/>
      <w:sz w:val="18"/>
      <w:szCs w:val="18"/>
      <w:u w:val="none"/>
    </w:rPr>
  </w:style>
  <w:style w:type="character" w:customStyle="1" w:styleId="10">
    <w:name w:val="font21"/>
    <w:basedOn w:val="5"/>
    <w:qFormat/>
    <w:uiPriority w:val="0"/>
    <w:rPr>
      <w:rFonts w:hint="eastAsia" w:ascii="宋体" w:hAnsi="宋体" w:eastAsia="宋体" w:cs="宋体"/>
      <w:color w:val="FF0000"/>
      <w:sz w:val="18"/>
      <w:szCs w:val="18"/>
      <w:u w:val="none"/>
    </w:rPr>
  </w:style>
  <w:style w:type="character" w:customStyle="1" w:styleId="11">
    <w:name w:val="font11"/>
    <w:basedOn w:val="5"/>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2021-03-03T15:33:00Z</dcterms:created>
  <dc:creator>知己</dc:creator>
  <cp:lastModifiedBy>Administrator</cp:lastModifiedBy>
  <cp:lastPrinted>2021-03-26T15:31:00Z</cp:lastPrinted>
  <dcterms:modified xsi:type="dcterms:W3CDTF">2023-12-13T03:41:16Z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FDC5CB263EC64C22B7C60ABAF691E73C_13</vt:lpwstr>
  </property>
</Properties>
</file>