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widowControl/>
        <w:spacing w:line="600" w:lineRule="exact"/>
        <w:rPr>
          <w:rFonts w:eastAsia="黑体"/>
          <w:kern w:val="0"/>
          <w:sz w:val="32"/>
          <w:szCs w:val="32"/>
        </w:rPr>
      </w:pPr>
    </w:p>
    <w:p>
      <w:pPr>
        <w:widowControl/>
        <w:spacing w:line="600" w:lineRule="exact"/>
        <w:rPr>
          <w:rFonts w:eastAsia="黑体"/>
          <w:kern w:val="0"/>
          <w:sz w:val="32"/>
          <w:szCs w:val="32"/>
        </w:rPr>
      </w:pPr>
    </w:p>
    <w:p>
      <w:pPr>
        <w:widowControl/>
        <w:spacing w:line="600" w:lineRule="exact"/>
        <w:rPr>
          <w:rFonts w:eastAsia="黑体"/>
          <w:kern w:val="0"/>
          <w:sz w:val="32"/>
          <w:szCs w:val="32"/>
        </w:rPr>
      </w:pPr>
      <w:r>
        <w:rPr>
          <w:rFonts w:eastAsia="黑体"/>
          <w:kern w:val="0"/>
          <w:sz w:val="32"/>
          <w:szCs w:val="32"/>
        </w:rPr>
        <w:t>附件</w:t>
      </w:r>
      <w:r>
        <w:rPr>
          <w:rFonts w:hint="eastAsia" w:eastAsia="黑体"/>
          <w:kern w:val="0"/>
          <w:sz w:val="32"/>
          <w:szCs w:val="32"/>
        </w:rPr>
        <w:t>3</w:t>
      </w:r>
    </w:p>
    <w:p>
      <w:pPr>
        <w:jc w:val="left"/>
        <w:rPr>
          <w:rFonts w:ascii="仿宋_GB2312" w:hAnsi="仿宋_GB2312" w:eastAsia="仿宋_GB2312" w:cs="仿宋_GB2312"/>
          <w:kern w:val="0"/>
          <w:sz w:val="32"/>
          <w:szCs w:val="32"/>
        </w:rPr>
      </w:pPr>
    </w:p>
    <w:p>
      <w:pPr>
        <w:spacing w:line="600" w:lineRule="exact"/>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2020年度长沙市雨花区征地服务中心部门</w:t>
      </w:r>
    </w:p>
    <w:p>
      <w:pPr>
        <w:spacing w:line="600" w:lineRule="exact"/>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整体支出预算绩效</w:t>
      </w:r>
    </w:p>
    <w:p>
      <w:pPr>
        <w:spacing w:line="600" w:lineRule="exact"/>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自评报告</w:t>
      </w:r>
    </w:p>
    <w:p>
      <w:pPr>
        <w:spacing w:line="600" w:lineRule="exact"/>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（参考提纲）</w:t>
      </w:r>
    </w:p>
    <w:p>
      <w:pPr>
        <w:spacing w:line="600" w:lineRule="exact"/>
        <w:jc w:val="center"/>
        <w:rPr>
          <w:rFonts w:ascii="仿宋_GB2312" w:hAnsi="仿宋_GB2312" w:eastAsia="仿宋_GB2312" w:cs="仿宋_GB2312"/>
          <w:b/>
          <w:bCs/>
          <w:sz w:val="44"/>
          <w:szCs w:val="44"/>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jc w:val="center"/>
        <w:rPr>
          <w:rFonts w:eastAsia="黑体"/>
          <w:sz w:val="36"/>
          <w:szCs w:val="36"/>
        </w:rPr>
      </w:pPr>
      <w:r>
        <w:rPr>
          <w:rFonts w:eastAsia="黑体"/>
          <w:sz w:val="36"/>
          <w:szCs w:val="36"/>
        </w:rPr>
        <w:t>单位名称（盖章）：</w:t>
      </w:r>
      <w:r>
        <w:rPr>
          <w:rFonts w:hint="eastAsia" w:eastAsia="黑体"/>
          <w:sz w:val="36"/>
          <w:szCs w:val="36"/>
        </w:rPr>
        <w:t>长沙市雨花区征地服务中心</w:t>
      </w:r>
    </w:p>
    <w:p>
      <w:pPr>
        <w:jc w:val="center"/>
        <w:rPr>
          <w:rFonts w:eastAsia="黑体"/>
          <w:sz w:val="36"/>
          <w:szCs w:val="36"/>
        </w:rPr>
      </w:pPr>
    </w:p>
    <w:p>
      <w:pPr>
        <w:jc w:val="center"/>
        <w:rPr>
          <w:rFonts w:eastAsia="黑体"/>
          <w:sz w:val="32"/>
          <w:szCs w:val="32"/>
        </w:rPr>
      </w:pPr>
    </w:p>
    <w:p>
      <w:pPr>
        <w:rPr>
          <w:rFonts w:eastAsia="黑体"/>
          <w:sz w:val="32"/>
          <w:szCs w:val="32"/>
        </w:rPr>
      </w:pPr>
    </w:p>
    <w:p>
      <w:pPr>
        <w:pStyle w:val="11"/>
        <w:widowControl/>
        <w:spacing w:line="520" w:lineRule="exact"/>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一、部门、单位基本情况</w:t>
      </w:r>
    </w:p>
    <w:p>
      <w:pPr>
        <w:pStyle w:val="12"/>
        <w:ind w:firstLine="600"/>
        <w:jc w:val="left"/>
        <w:rPr>
          <w:rFonts w:ascii="仿宋_GB2312" w:hAnsi="宋体"/>
          <w:sz w:val="30"/>
          <w:szCs w:val="30"/>
        </w:rPr>
      </w:pPr>
      <w:r>
        <w:rPr>
          <w:rFonts w:hint="eastAsia" w:ascii="仿宋_GB2312" w:hAnsi="宋体"/>
          <w:sz w:val="30"/>
          <w:szCs w:val="30"/>
        </w:rPr>
        <w:t>区征地服务中心于2008年8月成立，根据区编办相关文件精神，主要职能是负责全区征地补偿安置工作的实施、协调、监督和管理。内设综合科、征拆科、安置科三个科室。核定人员编制数13个，实有12名，人才引进1名，雇员6名。</w:t>
      </w:r>
    </w:p>
    <w:p>
      <w:pPr>
        <w:pStyle w:val="12"/>
        <w:ind w:firstLine="648"/>
        <w:jc w:val="left"/>
        <w:rPr>
          <w:rFonts w:ascii="仿宋_GB2312" w:hAnsi="宋体"/>
          <w:sz w:val="30"/>
          <w:szCs w:val="30"/>
        </w:rPr>
      </w:pPr>
      <w:r>
        <w:rPr>
          <w:rFonts w:hint="eastAsia" w:ascii="仿宋_GB2312" w:hAnsi="宋体"/>
          <w:sz w:val="30"/>
          <w:szCs w:val="30"/>
        </w:rPr>
        <w:t>区征地服务中心具体负责贯彻执行国家有关征地拆迁安置管理的法律、法规、方针、政策及地方法规、规章和制度；编制征地安置工作年度计划，按要求及时准确发布征收土地方案公告；牵头组织集体土地各项目拆迁调度会；对项目实施拆迁中的特殊情况进行研究把关；根据政策要求，牵头组织征地补偿安置争议问题的处理；及时认真做好不可预计费审批发放工作；做好各项目发放的资料收集归档工作；准确完成项目拆迁人员结算，做好不可预计费和工作经费的结算；保障住房用地及社保融资用地指标申报办理；统筹保障住房建设的规划选址定点、初步建设方案工作；牵头组织对被征地农民保障住房申购资格的审核工作；全面完成相关村级“两安”用地核算及收回工作；按照项目拆迁情况，及时下达社保纳入人员指标；负责对村级“两安”用地合作开发审查把关工作；承办区委、区政府和上级主管部门交办的其它事项。</w:t>
      </w:r>
    </w:p>
    <w:p>
      <w:pPr>
        <w:pStyle w:val="11"/>
        <w:widowControl/>
        <w:spacing w:line="520" w:lineRule="exact"/>
        <w:ind w:left="640" w:firstLine="0" w:firstLineChars="0"/>
        <w:rPr>
          <w:rFonts w:ascii="仿宋_GB2312" w:hAnsi="仿宋_GB2312" w:eastAsia="仿宋_GB2312" w:cs="仿宋_GB2312"/>
          <w:b/>
          <w:bCs/>
          <w:sz w:val="32"/>
          <w:szCs w:val="32"/>
        </w:rPr>
      </w:pPr>
    </w:p>
    <w:p>
      <w:pPr>
        <w:pStyle w:val="11"/>
        <w:widowControl/>
        <w:spacing w:line="520" w:lineRule="exact"/>
        <w:ind w:left="640" w:firstLine="0" w:firstLineChars="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二、部门整体预算支出情况</w:t>
      </w:r>
    </w:p>
    <w:p>
      <w:pPr>
        <w:pStyle w:val="11"/>
        <w:widowControl/>
        <w:spacing w:line="520" w:lineRule="exact"/>
        <w:ind w:left="640" w:firstLine="0" w:firstLineChars="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（一）、基本支出情况</w:t>
      </w:r>
    </w:p>
    <w:p>
      <w:pPr>
        <w:pStyle w:val="12"/>
        <w:ind w:firstLine="600"/>
        <w:jc w:val="left"/>
        <w:rPr>
          <w:rFonts w:ascii="仿宋_GB2312" w:hAnsi="宋体"/>
          <w:sz w:val="30"/>
          <w:szCs w:val="30"/>
        </w:rPr>
      </w:pPr>
      <w:r>
        <w:rPr>
          <w:rFonts w:hint="eastAsia" w:ascii="仿宋_GB2312" w:hAnsi="宋体"/>
          <w:sz w:val="30"/>
          <w:szCs w:val="30"/>
        </w:rPr>
        <w:t>雨花区征地服务中心2020年部门预算批复数为399.73万元。其中，基本支出341.73万元（含工资福利支出311.28万元，商品和服务支出30.40万元，对个人和家庭补助支出0.05万元），项目支出58万元（含社保、医保、拆迁安置分房、拆迁管理专项经费，档案整理费，法律顾问，工作经费）。</w:t>
      </w:r>
    </w:p>
    <w:p>
      <w:pPr>
        <w:rPr>
          <w:rFonts w:ascii="仿宋_GB2312" w:hAnsi="宋体" w:eastAsia="仿宋_GB2312"/>
          <w:sz w:val="30"/>
          <w:szCs w:val="30"/>
        </w:rPr>
      </w:pPr>
    </w:p>
    <w:p>
      <w:pPr>
        <w:ind w:firstLine="753" w:firstLineChars="250"/>
        <w:rPr>
          <w:rFonts w:ascii="仿宋_GB2312" w:hAnsi="宋体" w:eastAsia="仿宋_GB2312"/>
          <w:b/>
          <w:sz w:val="30"/>
          <w:szCs w:val="30"/>
        </w:rPr>
      </w:pPr>
      <w:r>
        <w:rPr>
          <w:rFonts w:hint="eastAsia" w:ascii="仿宋_GB2312" w:hAnsi="宋体" w:eastAsia="仿宋_GB2312"/>
          <w:b/>
          <w:sz w:val="30"/>
          <w:szCs w:val="30"/>
        </w:rPr>
        <w:t>（二）、部门整体支出管理及使用情况</w:t>
      </w:r>
    </w:p>
    <w:p>
      <w:pPr>
        <w:pStyle w:val="12"/>
        <w:ind w:firstLine="600"/>
        <w:jc w:val="left"/>
        <w:rPr>
          <w:rFonts w:ascii="仿宋_GB2312" w:hAnsi="宋体"/>
          <w:sz w:val="30"/>
          <w:szCs w:val="30"/>
        </w:rPr>
      </w:pPr>
      <w:r>
        <w:rPr>
          <w:rFonts w:hint="eastAsia" w:ascii="仿宋_GB2312" w:hAnsi="宋体"/>
          <w:sz w:val="30"/>
          <w:szCs w:val="30"/>
        </w:rPr>
        <w:t>2020年征地办部门预算整体支出专项经费是由雨花区财政局预算安排，由雨花区征地服务中心组织实施、专项经费的管理与使用。根据长沙市雨花区财政局《关于批复2020年度部门预算的通知》，依照工作需要和项目进度合理编制用款计划，在严格执行国库集中支付制度的要求下使用专项资金。</w:t>
      </w:r>
    </w:p>
    <w:p>
      <w:pPr>
        <w:pStyle w:val="12"/>
        <w:ind w:firstLine="600"/>
        <w:jc w:val="left"/>
        <w:rPr>
          <w:rFonts w:ascii="仿宋_GB2312" w:hAnsi="宋体"/>
          <w:sz w:val="30"/>
          <w:szCs w:val="30"/>
        </w:rPr>
      </w:pPr>
      <w:r>
        <w:rPr>
          <w:rFonts w:hint="eastAsia" w:ascii="仿宋_GB2312" w:hAnsi="宋体"/>
          <w:sz w:val="30"/>
          <w:szCs w:val="30"/>
        </w:rPr>
        <w:t>2020年区征地服务中心部门预算批复数为399.73万元，实际使用17742.08万元，具体项目支出主要为人员经费、日常公用经费、指挥部开支、拆迁补偿款拨付等支出符合要求，专项资金无挤占挪用及截留情况。</w:t>
      </w:r>
    </w:p>
    <w:p>
      <w:pPr>
        <w:pStyle w:val="12"/>
        <w:ind w:firstLine="600"/>
        <w:jc w:val="left"/>
        <w:rPr>
          <w:rFonts w:ascii="仿宋_GB2312" w:hAnsi="宋体"/>
          <w:sz w:val="30"/>
          <w:szCs w:val="30"/>
        </w:rPr>
      </w:pPr>
      <w:r>
        <w:rPr>
          <w:rFonts w:hint="eastAsia" w:ascii="仿宋_GB2312" w:hAnsi="宋体"/>
          <w:sz w:val="30"/>
          <w:szCs w:val="30"/>
        </w:rPr>
        <w:t>具体支出资金明细见下表：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6"/>
        <w:gridCol w:w="3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786" w:type="dxa"/>
            <w:vAlign w:val="center"/>
          </w:tcPr>
          <w:p>
            <w:pPr>
              <w:pStyle w:val="12"/>
              <w:ind w:firstLine="648"/>
              <w:jc w:val="left"/>
              <w:rPr>
                <w:rFonts w:ascii="仿宋_GB2312" w:hAnsi="宋体"/>
                <w:sz w:val="30"/>
                <w:szCs w:val="30"/>
              </w:rPr>
            </w:pPr>
            <w:r>
              <w:rPr>
                <w:rFonts w:hint="eastAsia" w:ascii="仿宋_GB2312" w:hAnsi="宋体"/>
                <w:sz w:val="30"/>
                <w:szCs w:val="30"/>
              </w:rPr>
              <w:t>明细支出内容</w:t>
            </w:r>
          </w:p>
        </w:tc>
        <w:tc>
          <w:tcPr>
            <w:tcW w:w="3736" w:type="dxa"/>
            <w:vAlign w:val="center"/>
          </w:tcPr>
          <w:p>
            <w:pPr>
              <w:pStyle w:val="12"/>
              <w:ind w:firstLine="648"/>
              <w:jc w:val="left"/>
              <w:rPr>
                <w:rFonts w:ascii="仿宋_GB2312" w:hAnsi="宋体"/>
                <w:sz w:val="30"/>
                <w:szCs w:val="30"/>
              </w:rPr>
            </w:pPr>
            <w:r>
              <w:rPr>
                <w:rFonts w:hint="eastAsia" w:ascii="仿宋_GB2312" w:hAnsi="宋体"/>
                <w:sz w:val="30"/>
                <w:szCs w:val="30"/>
              </w:rPr>
              <w:t>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786" w:type="dxa"/>
            <w:vAlign w:val="center"/>
          </w:tcPr>
          <w:p>
            <w:pPr>
              <w:pStyle w:val="12"/>
              <w:ind w:firstLine="648"/>
              <w:jc w:val="left"/>
              <w:rPr>
                <w:rFonts w:ascii="仿宋_GB2312" w:hAnsi="宋体"/>
                <w:sz w:val="30"/>
                <w:szCs w:val="30"/>
              </w:rPr>
            </w:pPr>
            <w:r>
              <w:rPr>
                <w:rFonts w:hint="eastAsia" w:ascii="仿宋_GB2312" w:hAnsi="宋体"/>
                <w:sz w:val="30"/>
                <w:szCs w:val="30"/>
              </w:rPr>
              <w:t>基本工资</w:t>
            </w:r>
          </w:p>
        </w:tc>
        <w:tc>
          <w:tcPr>
            <w:tcW w:w="3736" w:type="dxa"/>
            <w:vAlign w:val="center"/>
          </w:tcPr>
          <w:p>
            <w:pPr>
              <w:pStyle w:val="12"/>
              <w:ind w:firstLine="648"/>
              <w:jc w:val="left"/>
              <w:rPr>
                <w:rFonts w:ascii="仿宋_GB2312" w:hAnsi="宋体"/>
                <w:sz w:val="30"/>
                <w:szCs w:val="30"/>
              </w:rPr>
            </w:pPr>
            <w:r>
              <w:rPr>
                <w:rFonts w:hint="eastAsia" w:ascii="仿宋_GB2312" w:hAnsi="宋体"/>
                <w:sz w:val="30"/>
                <w:szCs w:val="30"/>
              </w:rPr>
              <w:t>42.53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786" w:type="dxa"/>
            <w:vAlign w:val="center"/>
          </w:tcPr>
          <w:p>
            <w:pPr>
              <w:pStyle w:val="12"/>
              <w:ind w:firstLine="648"/>
              <w:jc w:val="left"/>
              <w:rPr>
                <w:rFonts w:ascii="仿宋_GB2312" w:hAnsi="宋体"/>
                <w:sz w:val="30"/>
                <w:szCs w:val="30"/>
              </w:rPr>
            </w:pPr>
            <w:r>
              <w:rPr>
                <w:rFonts w:hint="eastAsia" w:ascii="仿宋_GB2312" w:hAnsi="宋体"/>
                <w:sz w:val="30"/>
                <w:szCs w:val="30"/>
              </w:rPr>
              <w:t>津贴补贴</w:t>
            </w:r>
          </w:p>
        </w:tc>
        <w:tc>
          <w:tcPr>
            <w:tcW w:w="3736" w:type="dxa"/>
            <w:vAlign w:val="center"/>
          </w:tcPr>
          <w:p>
            <w:pPr>
              <w:pStyle w:val="12"/>
              <w:ind w:firstLine="648"/>
              <w:jc w:val="left"/>
              <w:rPr>
                <w:rFonts w:ascii="仿宋_GB2312" w:hAnsi="宋体"/>
                <w:sz w:val="30"/>
                <w:szCs w:val="30"/>
              </w:rPr>
            </w:pPr>
            <w:r>
              <w:rPr>
                <w:rFonts w:hint="eastAsia" w:ascii="仿宋_GB2312" w:hAnsi="宋体"/>
                <w:sz w:val="30"/>
                <w:szCs w:val="30"/>
              </w:rPr>
              <w:t>36.81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786" w:type="dxa"/>
            <w:vAlign w:val="center"/>
          </w:tcPr>
          <w:p>
            <w:pPr>
              <w:pStyle w:val="12"/>
              <w:ind w:firstLine="648"/>
              <w:jc w:val="left"/>
              <w:rPr>
                <w:rFonts w:ascii="仿宋_GB2312" w:hAnsi="宋体"/>
                <w:sz w:val="30"/>
                <w:szCs w:val="30"/>
              </w:rPr>
            </w:pPr>
            <w:r>
              <w:rPr>
                <w:rFonts w:hint="eastAsia" w:ascii="仿宋_GB2312" w:hAnsi="宋体"/>
                <w:sz w:val="30"/>
                <w:szCs w:val="30"/>
              </w:rPr>
              <w:t>奖金</w:t>
            </w:r>
          </w:p>
        </w:tc>
        <w:tc>
          <w:tcPr>
            <w:tcW w:w="3736" w:type="dxa"/>
            <w:vAlign w:val="center"/>
          </w:tcPr>
          <w:p>
            <w:pPr>
              <w:pStyle w:val="12"/>
              <w:ind w:firstLine="648"/>
              <w:jc w:val="left"/>
              <w:rPr>
                <w:rFonts w:ascii="仿宋_GB2312" w:hAnsi="宋体"/>
                <w:sz w:val="30"/>
                <w:szCs w:val="30"/>
              </w:rPr>
            </w:pPr>
            <w:r>
              <w:rPr>
                <w:rFonts w:hint="eastAsia" w:ascii="仿宋_GB2312" w:hAnsi="宋体"/>
                <w:sz w:val="30"/>
                <w:szCs w:val="30"/>
              </w:rPr>
              <w:t>136.18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786" w:type="dxa"/>
            <w:vAlign w:val="center"/>
          </w:tcPr>
          <w:p>
            <w:pPr>
              <w:pStyle w:val="12"/>
              <w:ind w:firstLine="648"/>
              <w:jc w:val="left"/>
              <w:rPr>
                <w:rFonts w:ascii="仿宋_GB2312" w:hAnsi="宋体"/>
                <w:sz w:val="30"/>
                <w:szCs w:val="30"/>
              </w:rPr>
            </w:pPr>
            <w:r>
              <w:rPr>
                <w:rFonts w:hint="eastAsia" w:ascii="仿宋_GB2312" w:hAnsi="宋体"/>
                <w:sz w:val="30"/>
                <w:szCs w:val="30"/>
              </w:rPr>
              <w:t>其他社会保障缴费</w:t>
            </w:r>
          </w:p>
        </w:tc>
        <w:tc>
          <w:tcPr>
            <w:tcW w:w="3736" w:type="dxa"/>
            <w:vAlign w:val="center"/>
          </w:tcPr>
          <w:p>
            <w:pPr>
              <w:pStyle w:val="12"/>
              <w:ind w:firstLine="648"/>
              <w:jc w:val="left"/>
              <w:rPr>
                <w:rFonts w:ascii="仿宋_GB2312" w:hAnsi="宋体"/>
                <w:sz w:val="30"/>
                <w:szCs w:val="30"/>
              </w:rPr>
            </w:pPr>
            <w:r>
              <w:rPr>
                <w:rFonts w:hint="eastAsia" w:ascii="仿宋_GB2312" w:hAnsi="宋体"/>
                <w:sz w:val="30"/>
                <w:szCs w:val="30"/>
              </w:rPr>
              <w:t>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786" w:type="dxa"/>
            <w:vAlign w:val="center"/>
          </w:tcPr>
          <w:p>
            <w:pPr>
              <w:pStyle w:val="12"/>
              <w:ind w:firstLine="648"/>
              <w:jc w:val="left"/>
              <w:rPr>
                <w:rFonts w:ascii="仿宋_GB2312" w:hAnsi="宋体"/>
                <w:sz w:val="30"/>
                <w:szCs w:val="30"/>
              </w:rPr>
            </w:pPr>
            <w:r>
              <w:rPr>
                <w:rFonts w:hint="eastAsia" w:ascii="仿宋_GB2312" w:hAnsi="宋体"/>
                <w:sz w:val="30"/>
                <w:szCs w:val="30"/>
              </w:rPr>
              <w:t>职工基本医疗保险缴费</w:t>
            </w:r>
          </w:p>
        </w:tc>
        <w:tc>
          <w:tcPr>
            <w:tcW w:w="3736" w:type="dxa"/>
            <w:vAlign w:val="center"/>
          </w:tcPr>
          <w:p>
            <w:pPr>
              <w:pStyle w:val="12"/>
              <w:ind w:firstLine="648"/>
              <w:jc w:val="left"/>
              <w:rPr>
                <w:rFonts w:ascii="仿宋_GB2312" w:hAnsi="宋体"/>
                <w:sz w:val="30"/>
                <w:szCs w:val="30"/>
              </w:rPr>
            </w:pPr>
            <w:r>
              <w:rPr>
                <w:rFonts w:hint="eastAsia" w:ascii="仿宋_GB2312" w:hAnsi="宋体"/>
                <w:sz w:val="30"/>
                <w:szCs w:val="30"/>
              </w:rPr>
              <w:t>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786" w:type="dxa"/>
            <w:vAlign w:val="center"/>
          </w:tcPr>
          <w:p>
            <w:pPr>
              <w:pStyle w:val="12"/>
              <w:ind w:firstLine="648"/>
              <w:jc w:val="left"/>
              <w:rPr>
                <w:rFonts w:ascii="仿宋_GB2312" w:hAnsi="宋体"/>
                <w:sz w:val="30"/>
                <w:szCs w:val="30"/>
              </w:rPr>
            </w:pPr>
            <w:r>
              <w:rPr>
                <w:rFonts w:hint="eastAsia" w:ascii="仿宋_GB2312" w:hAnsi="宋体"/>
                <w:sz w:val="30"/>
                <w:szCs w:val="30"/>
              </w:rPr>
              <w:t>公务员医疗补助缴费</w:t>
            </w:r>
          </w:p>
        </w:tc>
        <w:tc>
          <w:tcPr>
            <w:tcW w:w="3736" w:type="dxa"/>
            <w:vAlign w:val="center"/>
          </w:tcPr>
          <w:p>
            <w:pPr>
              <w:pStyle w:val="12"/>
              <w:ind w:firstLine="648"/>
              <w:jc w:val="left"/>
              <w:rPr>
                <w:rFonts w:ascii="仿宋_GB2312" w:hAnsi="宋体"/>
                <w:sz w:val="30"/>
                <w:szCs w:val="30"/>
              </w:rPr>
            </w:pPr>
            <w:r>
              <w:rPr>
                <w:rFonts w:hint="eastAsia" w:ascii="仿宋_GB2312" w:hAnsi="宋体"/>
                <w:sz w:val="30"/>
                <w:szCs w:val="30"/>
              </w:rPr>
              <w:t>4.42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786" w:type="dxa"/>
            <w:vAlign w:val="center"/>
          </w:tcPr>
          <w:p>
            <w:pPr>
              <w:pStyle w:val="12"/>
              <w:ind w:firstLine="648"/>
              <w:jc w:val="left"/>
              <w:rPr>
                <w:rFonts w:ascii="仿宋_GB2312" w:hAnsi="宋体"/>
                <w:sz w:val="30"/>
                <w:szCs w:val="30"/>
              </w:rPr>
            </w:pPr>
            <w:r>
              <w:rPr>
                <w:rFonts w:hint="eastAsia" w:ascii="仿宋_GB2312" w:hAnsi="宋体"/>
                <w:sz w:val="30"/>
                <w:szCs w:val="30"/>
              </w:rPr>
              <w:t>伙食补助费</w:t>
            </w:r>
          </w:p>
        </w:tc>
        <w:tc>
          <w:tcPr>
            <w:tcW w:w="3736" w:type="dxa"/>
            <w:vAlign w:val="center"/>
          </w:tcPr>
          <w:p>
            <w:pPr>
              <w:pStyle w:val="12"/>
              <w:ind w:firstLine="648"/>
              <w:jc w:val="left"/>
              <w:rPr>
                <w:rFonts w:ascii="仿宋_GB2312" w:hAnsi="宋体"/>
                <w:sz w:val="30"/>
                <w:szCs w:val="30"/>
              </w:rPr>
            </w:pPr>
            <w:r>
              <w:rPr>
                <w:rFonts w:hint="eastAsia" w:ascii="仿宋_GB2312" w:hAnsi="宋体"/>
                <w:sz w:val="30"/>
                <w:szCs w:val="30"/>
              </w:rPr>
              <w:t>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786" w:type="dxa"/>
            <w:vAlign w:val="center"/>
          </w:tcPr>
          <w:p>
            <w:pPr>
              <w:pStyle w:val="12"/>
              <w:jc w:val="left"/>
              <w:rPr>
                <w:rFonts w:ascii="仿宋_GB2312" w:hAnsi="宋体"/>
                <w:sz w:val="30"/>
                <w:szCs w:val="30"/>
              </w:rPr>
            </w:pPr>
            <w:r>
              <w:rPr>
                <w:rFonts w:hint="eastAsia" w:ascii="仿宋_GB2312" w:hAnsi="宋体"/>
                <w:sz w:val="30"/>
                <w:szCs w:val="30"/>
              </w:rPr>
              <w:t>机关事业单位基本养老保险缴费</w:t>
            </w:r>
          </w:p>
        </w:tc>
        <w:tc>
          <w:tcPr>
            <w:tcW w:w="3736" w:type="dxa"/>
            <w:vAlign w:val="center"/>
          </w:tcPr>
          <w:p>
            <w:pPr>
              <w:pStyle w:val="12"/>
              <w:ind w:firstLine="648"/>
              <w:jc w:val="left"/>
              <w:rPr>
                <w:rFonts w:ascii="仿宋_GB2312" w:hAnsi="宋体"/>
                <w:sz w:val="30"/>
                <w:szCs w:val="30"/>
              </w:rPr>
            </w:pPr>
            <w:r>
              <w:rPr>
                <w:rFonts w:hint="eastAsia" w:ascii="仿宋_GB2312" w:hAnsi="宋体"/>
                <w:sz w:val="30"/>
                <w:szCs w:val="30"/>
              </w:rPr>
              <w:t>12.34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786" w:type="dxa"/>
            <w:vAlign w:val="center"/>
          </w:tcPr>
          <w:p>
            <w:pPr>
              <w:pStyle w:val="12"/>
              <w:ind w:firstLine="648"/>
              <w:jc w:val="left"/>
              <w:rPr>
                <w:rFonts w:ascii="仿宋_GB2312" w:hAnsi="宋体"/>
                <w:sz w:val="30"/>
                <w:szCs w:val="30"/>
              </w:rPr>
            </w:pPr>
            <w:r>
              <w:rPr>
                <w:rFonts w:hint="eastAsia" w:ascii="仿宋_GB2312" w:hAnsi="宋体"/>
                <w:sz w:val="30"/>
                <w:szCs w:val="30"/>
              </w:rPr>
              <w:t>其他工资福利支出</w:t>
            </w:r>
          </w:p>
        </w:tc>
        <w:tc>
          <w:tcPr>
            <w:tcW w:w="3736" w:type="dxa"/>
            <w:vAlign w:val="center"/>
          </w:tcPr>
          <w:p>
            <w:pPr>
              <w:pStyle w:val="12"/>
              <w:ind w:firstLine="648"/>
              <w:jc w:val="left"/>
              <w:rPr>
                <w:rFonts w:ascii="仿宋_GB2312" w:hAnsi="宋体"/>
                <w:sz w:val="30"/>
                <w:szCs w:val="30"/>
              </w:rPr>
            </w:pPr>
            <w:r>
              <w:rPr>
                <w:rFonts w:hint="eastAsia" w:ascii="仿宋_GB2312" w:hAnsi="宋体"/>
                <w:sz w:val="30"/>
                <w:szCs w:val="30"/>
              </w:rPr>
              <w:t>58.90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4786" w:type="dxa"/>
            <w:vAlign w:val="center"/>
          </w:tcPr>
          <w:p>
            <w:pPr>
              <w:pStyle w:val="12"/>
              <w:ind w:firstLine="648"/>
              <w:jc w:val="left"/>
              <w:rPr>
                <w:rFonts w:ascii="仿宋_GB2312" w:hAnsi="宋体"/>
                <w:sz w:val="30"/>
                <w:szCs w:val="30"/>
              </w:rPr>
            </w:pPr>
            <w:r>
              <w:rPr>
                <w:rFonts w:hint="eastAsia" w:ascii="仿宋_GB2312" w:hAnsi="宋体"/>
                <w:sz w:val="30"/>
                <w:szCs w:val="30"/>
              </w:rPr>
              <w:t>住房公积金</w:t>
            </w:r>
          </w:p>
        </w:tc>
        <w:tc>
          <w:tcPr>
            <w:tcW w:w="3736" w:type="dxa"/>
            <w:vAlign w:val="center"/>
          </w:tcPr>
          <w:p>
            <w:pPr>
              <w:pStyle w:val="12"/>
              <w:ind w:firstLine="648"/>
              <w:jc w:val="left"/>
              <w:rPr>
                <w:rFonts w:ascii="仿宋_GB2312" w:hAnsi="宋体"/>
                <w:sz w:val="30"/>
                <w:szCs w:val="30"/>
              </w:rPr>
            </w:pPr>
            <w:r>
              <w:rPr>
                <w:rFonts w:hint="eastAsia" w:ascii="仿宋_GB2312" w:hAnsi="宋体"/>
                <w:sz w:val="30"/>
                <w:szCs w:val="30"/>
              </w:rPr>
              <w:t>20.82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786" w:type="dxa"/>
            <w:vAlign w:val="center"/>
          </w:tcPr>
          <w:p>
            <w:pPr>
              <w:pStyle w:val="12"/>
              <w:ind w:firstLine="648"/>
              <w:jc w:val="left"/>
              <w:rPr>
                <w:rFonts w:ascii="仿宋_GB2312" w:hAnsi="宋体"/>
                <w:sz w:val="30"/>
                <w:szCs w:val="30"/>
              </w:rPr>
            </w:pPr>
            <w:r>
              <w:rPr>
                <w:rFonts w:hint="eastAsia" w:ascii="仿宋_GB2312" w:hAnsi="宋体"/>
                <w:sz w:val="30"/>
                <w:szCs w:val="30"/>
              </w:rPr>
              <w:t>办公费</w:t>
            </w:r>
          </w:p>
        </w:tc>
        <w:tc>
          <w:tcPr>
            <w:tcW w:w="3736" w:type="dxa"/>
            <w:vAlign w:val="center"/>
          </w:tcPr>
          <w:p>
            <w:pPr>
              <w:pStyle w:val="12"/>
              <w:ind w:firstLine="648"/>
              <w:jc w:val="left"/>
              <w:rPr>
                <w:rFonts w:ascii="仿宋_GB2312" w:hAnsi="宋体"/>
                <w:sz w:val="30"/>
                <w:szCs w:val="30"/>
              </w:rPr>
            </w:pPr>
            <w:r>
              <w:rPr>
                <w:rFonts w:hint="eastAsia" w:ascii="仿宋_GB2312" w:hAnsi="宋体"/>
                <w:sz w:val="30"/>
                <w:szCs w:val="30"/>
              </w:rPr>
              <w:t>40.84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786" w:type="dxa"/>
            <w:vAlign w:val="center"/>
          </w:tcPr>
          <w:p>
            <w:pPr>
              <w:pStyle w:val="12"/>
              <w:ind w:firstLine="648"/>
              <w:jc w:val="left"/>
              <w:rPr>
                <w:rFonts w:ascii="仿宋_GB2312" w:hAnsi="宋体"/>
                <w:sz w:val="30"/>
                <w:szCs w:val="30"/>
              </w:rPr>
            </w:pPr>
            <w:r>
              <w:rPr>
                <w:rFonts w:hint="eastAsia" w:ascii="仿宋_GB2312" w:hAnsi="宋体"/>
                <w:sz w:val="30"/>
                <w:szCs w:val="30"/>
              </w:rPr>
              <w:t>印刷费</w:t>
            </w:r>
          </w:p>
        </w:tc>
        <w:tc>
          <w:tcPr>
            <w:tcW w:w="3736" w:type="dxa"/>
            <w:vAlign w:val="center"/>
          </w:tcPr>
          <w:p>
            <w:pPr>
              <w:pStyle w:val="12"/>
              <w:ind w:firstLine="648"/>
              <w:jc w:val="left"/>
              <w:rPr>
                <w:rFonts w:ascii="仿宋_GB2312" w:hAnsi="宋体"/>
                <w:sz w:val="30"/>
                <w:szCs w:val="30"/>
              </w:rPr>
            </w:pPr>
            <w:r>
              <w:rPr>
                <w:rFonts w:hint="eastAsia" w:ascii="仿宋_GB2312" w:hAnsi="宋体"/>
                <w:sz w:val="30"/>
                <w:szCs w:val="30"/>
              </w:rPr>
              <w:t>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786" w:type="dxa"/>
            <w:vAlign w:val="center"/>
          </w:tcPr>
          <w:p>
            <w:pPr>
              <w:pStyle w:val="12"/>
              <w:ind w:firstLine="648"/>
              <w:jc w:val="left"/>
              <w:rPr>
                <w:rFonts w:ascii="仿宋_GB2312" w:hAnsi="宋体"/>
                <w:sz w:val="30"/>
                <w:szCs w:val="30"/>
              </w:rPr>
            </w:pPr>
            <w:r>
              <w:rPr>
                <w:rFonts w:hint="eastAsia" w:ascii="仿宋_GB2312" w:hAnsi="宋体"/>
                <w:sz w:val="30"/>
                <w:szCs w:val="30"/>
              </w:rPr>
              <w:t>咨询费</w:t>
            </w:r>
          </w:p>
        </w:tc>
        <w:tc>
          <w:tcPr>
            <w:tcW w:w="3736" w:type="dxa"/>
            <w:vAlign w:val="center"/>
          </w:tcPr>
          <w:p>
            <w:pPr>
              <w:pStyle w:val="12"/>
              <w:ind w:firstLine="648"/>
              <w:jc w:val="left"/>
              <w:rPr>
                <w:rFonts w:ascii="仿宋_GB2312" w:hAnsi="宋体"/>
                <w:sz w:val="30"/>
                <w:szCs w:val="30"/>
              </w:rPr>
            </w:pPr>
            <w:r>
              <w:rPr>
                <w:rFonts w:hint="eastAsia" w:ascii="仿宋_GB2312" w:hAnsi="宋体"/>
                <w:sz w:val="30"/>
                <w:szCs w:val="30"/>
              </w:rPr>
              <w:t>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786" w:type="dxa"/>
            <w:vAlign w:val="center"/>
          </w:tcPr>
          <w:p>
            <w:pPr>
              <w:pStyle w:val="12"/>
              <w:ind w:firstLine="648"/>
              <w:jc w:val="left"/>
              <w:rPr>
                <w:rFonts w:ascii="仿宋_GB2312" w:hAnsi="宋体"/>
                <w:sz w:val="30"/>
                <w:szCs w:val="30"/>
              </w:rPr>
            </w:pPr>
            <w:r>
              <w:rPr>
                <w:rFonts w:hint="eastAsia" w:ascii="仿宋_GB2312" w:hAnsi="宋体"/>
                <w:sz w:val="30"/>
                <w:szCs w:val="30"/>
              </w:rPr>
              <w:t>邮电费</w:t>
            </w:r>
          </w:p>
        </w:tc>
        <w:tc>
          <w:tcPr>
            <w:tcW w:w="3736" w:type="dxa"/>
            <w:vAlign w:val="center"/>
          </w:tcPr>
          <w:p>
            <w:pPr>
              <w:pStyle w:val="12"/>
              <w:ind w:firstLine="648"/>
              <w:jc w:val="left"/>
              <w:rPr>
                <w:rFonts w:ascii="仿宋_GB2312" w:hAnsi="宋体"/>
                <w:sz w:val="30"/>
                <w:szCs w:val="30"/>
              </w:rPr>
            </w:pPr>
            <w:r>
              <w:rPr>
                <w:rFonts w:hint="eastAsia" w:ascii="仿宋_GB2312" w:hAnsi="宋体"/>
                <w:sz w:val="30"/>
                <w:szCs w:val="30"/>
              </w:rPr>
              <w:t>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786" w:type="dxa"/>
            <w:vAlign w:val="center"/>
          </w:tcPr>
          <w:p>
            <w:pPr>
              <w:pStyle w:val="12"/>
              <w:ind w:firstLine="648"/>
              <w:jc w:val="left"/>
              <w:rPr>
                <w:rFonts w:ascii="仿宋_GB2312" w:hAnsi="宋体"/>
                <w:sz w:val="30"/>
                <w:szCs w:val="30"/>
              </w:rPr>
            </w:pPr>
            <w:r>
              <w:rPr>
                <w:rFonts w:hint="eastAsia" w:ascii="仿宋_GB2312" w:hAnsi="宋体"/>
                <w:sz w:val="30"/>
                <w:szCs w:val="30"/>
              </w:rPr>
              <w:t>租赁费</w:t>
            </w:r>
          </w:p>
        </w:tc>
        <w:tc>
          <w:tcPr>
            <w:tcW w:w="3736" w:type="dxa"/>
            <w:vAlign w:val="center"/>
          </w:tcPr>
          <w:p>
            <w:pPr>
              <w:pStyle w:val="12"/>
              <w:ind w:firstLine="648"/>
              <w:jc w:val="left"/>
              <w:rPr>
                <w:rFonts w:ascii="仿宋_GB2312" w:hAnsi="宋体"/>
                <w:sz w:val="30"/>
                <w:szCs w:val="30"/>
              </w:rPr>
            </w:pPr>
            <w:r>
              <w:rPr>
                <w:rFonts w:hint="eastAsia" w:ascii="仿宋_GB2312" w:hAnsi="宋体"/>
                <w:sz w:val="30"/>
                <w:szCs w:val="30"/>
              </w:rPr>
              <w:t>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786" w:type="dxa"/>
            <w:vAlign w:val="center"/>
          </w:tcPr>
          <w:p>
            <w:pPr>
              <w:pStyle w:val="12"/>
              <w:ind w:firstLine="648"/>
              <w:jc w:val="left"/>
              <w:rPr>
                <w:rFonts w:ascii="仿宋_GB2312" w:hAnsi="宋体"/>
                <w:sz w:val="30"/>
                <w:szCs w:val="30"/>
              </w:rPr>
            </w:pPr>
            <w:r>
              <w:rPr>
                <w:rFonts w:hint="eastAsia" w:ascii="仿宋_GB2312" w:hAnsi="宋体"/>
                <w:sz w:val="30"/>
                <w:szCs w:val="30"/>
              </w:rPr>
              <w:t>培训费</w:t>
            </w:r>
          </w:p>
        </w:tc>
        <w:tc>
          <w:tcPr>
            <w:tcW w:w="3736" w:type="dxa"/>
            <w:vAlign w:val="center"/>
          </w:tcPr>
          <w:p>
            <w:pPr>
              <w:pStyle w:val="12"/>
              <w:ind w:firstLine="648"/>
              <w:jc w:val="left"/>
              <w:rPr>
                <w:rFonts w:ascii="仿宋_GB2312" w:hAnsi="宋体"/>
                <w:sz w:val="30"/>
                <w:szCs w:val="30"/>
              </w:rPr>
            </w:pPr>
            <w:r>
              <w:rPr>
                <w:rFonts w:hint="eastAsia" w:ascii="仿宋_GB2312" w:hAnsi="宋体"/>
                <w:sz w:val="30"/>
                <w:szCs w:val="30"/>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786" w:type="dxa"/>
            <w:vAlign w:val="center"/>
          </w:tcPr>
          <w:p>
            <w:pPr>
              <w:pStyle w:val="12"/>
              <w:ind w:firstLine="648"/>
              <w:jc w:val="left"/>
              <w:rPr>
                <w:rFonts w:ascii="仿宋_GB2312" w:hAnsi="宋体"/>
                <w:sz w:val="30"/>
                <w:szCs w:val="30"/>
              </w:rPr>
            </w:pPr>
            <w:r>
              <w:rPr>
                <w:rFonts w:hint="eastAsia" w:ascii="仿宋_GB2312" w:hAnsi="宋体"/>
                <w:sz w:val="30"/>
                <w:szCs w:val="30"/>
              </w:rPr>
              <w:t>劳务费</w:t>
            </w:r>
          </w:p>
        </w:tc>
        <w:tc>
          <w:tcPr>
            <w:tcW w:w="3736" w:type="dxa"/>
            <w:vAlign w:val="center"/>
          </w:tcPr>
          <w:p>
            <w:pPr>
              <w:pStyle w:val="12"/>
              <w:ind w:firstLine="648"/>
              <w:jc w:val="left"/>
              <w:rPr>
                <w:rFonts w:ascii="仿宋_GB2312" w:hAnsi="宋体"/>
                <w:sz w:val="30"/>
                <w:szCs w:val="30"/>
              </w:rPr>
            </w:pPr>
            <w:r>
              <w:rPr>
                <w:rFonts w:hint="eastAsia" w:ascii="仿宋_GB2312" w:hAnsi="宋体"/>
                <w:sz w:val="30"/>
                <w:szCs w:val="30"/>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786" w:type="dxa"/>
            <w:vAlign w:val="center"/>
          </w:tcPr>
          <w:p>
            <w:pPr>
              <w:pStyle w:val="12"/>
              <w:ind w:firstLine="648"/>
              <w:jc w:val="left"/>
              <w:rPr>
                <w:rFonts w:ascii="仿宋_GB2312" w:hAnsi="宋体"/>
                <w:sz w:val="30"/>
                <w:szCs w:val="30"/>
              </w:rPr>
            </w:pPr>
            <w:r>
              <w:rPr>
                <w:rFonts w:hint="eastAsia" w:ascii="仿宋_GB2312" w:hAnsi="宋体"/>
                <w:sz w:val="30"/>
                <w:szCs w:val="30"/>
              </w:rPr>
              <w:t>委托业务费</w:t>
            </w:r>
          </w:p>
        </w:tc>
        <w:tc>
          <w:tcPr>
            <w:tcW w:w="3736" w:type="dxa"/>
            <w:vAlign w:val="center"/>
          </w:tcPr>
          <w:p>
            <w:pPr>
              <w:pStyle w:val="12"/>
              <w:ind w:firstLine="648"/>
              <w:jc w:val="left"/>
              <w:rPr>
                <w:rFonts w:ascii="仿宋_GB2312" w:hAnsi="宋体"/>
                <w:sz w:val="30"/>
                <w:szCs w:val="30"/>
              </w:rPr>
            </w:pPr>
            <w:r>
              <w:rPr>
                <w:rFonts w:hint="eastAsia" w:ascii="仿宋_GB2312" w:hAnsi="宋体"/>
                <w:sz w:val="30"/>
                <w:szCs w:val="30"/>
              </w:rPr>
              <w:t>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786" w:type="dxa"/>
            <w:vAlign w:val="center"/>
          </w:tcPr>
          <w:p>
            <w:pPr>
              <w:pStyle w:val="12"/>
              <w:ind w:firstLine="648"/>
              <w:jc w:val="left"/>
              <w:rPr>
                <w:rFonts w:ascii="仿宋_GB2312" w:hAnsi="宋体"/>
                <w:sz w:val="30"/>
                <w:szCs w:val="30"/>
              </w:rPr>
            </w:pPr>
            <w:r>
              <w:rPr>
                <w:rFonts w:hint="eastAsia" w:ascii="仿宋_GB2312" w:hAnsi="宋体"/>
                <w:sz w:val="30"/>
                <w:szCs w:val="30"/>
              </w:rPr>
              <w:t>工会经费</w:t>
            </w:r>
          </w:p>
        </w:tc>
        <w:tc>
          <w:tcPr>
            <w:tcW w:w="3736" w:type="dxa"/>
            <w:vAlign w:val="center"/>
          </w:tcPr>
          <w:p>
            <w:pPr>
              <w:pStyle w:val="12"/>
              <w:ind w:firstLine="648"/>
              <w:jc w:val="left"/>
              <w:rPr>
                <w:rFonts w:ascii="仿宋_GB2312" w:hAnsi="宋体"/>
                <w:sz w:val="30"/>
                <w:szCs w:val="30"/>
              </w:rPr>
            </w:pPr>
            <w:r>
              <w:rPr>
                <w:rFonts w:hint="eastAsia" w:ascii="仿宋_GB2312" w:hAnsi="宋体"/>
                <w:sz w:val="30"/>
                <w:szCs w:val="30"/>
              </w:rPr>
              <w:t>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786" w:type="dxa"/>
            <w:vAlign w:val="center"/>
          </w:tcPr>
          <w:p>
            <w:pPr>
              <w:pStyle w:val="12"/>
              <w:ind w:firstLine="648"/>
              <w:jc w:val="left"/>
              <w:rPr>
                <w:rFonts w:ascii="仿宋_GB2312" w:hAnsi="宋体"/>
                <w:sz w:val="30"/>
                <w:szCs w:val="30"/>
              </w:rPr>
            </w:pPr>
            <w:r>
              <w:rPr>
                <w:rFonts w:hint="eastAsia" w:ascii="仿宋_GB2312" w:hAnsi="宋体"/>
                <w:sz w:val="30"/>
                <w:szCs w:val="30"/>
              </w:rPr>
              <w:t>其他交通费用</w:t>
            </w:r>
          </w:p>
        </w:tc>
        <w:tc>
          <w:tcPr>
            <w:tcW w:w="3736" w:type="dxa"/>
            <w:vAlign w:val="center"/>
          </w:tcPr>
          <w:p>
            <w:pPr>
              <w:pStyle w:val="12"/>
              <w:ind w:firstLine="648"/>
              <w:jc w:val="left"/>
              <w:rPr>
                <w:rFonts w:ascii="仿宋_GB2312" w:hAnsi="宋体"/>
                <w:sz w:val="30"/>
                <w:szCs w:val="30"/>
              </w:rPr>
            </w:pPr>
            <w:r>
              <w:rPr>
                <w:rFonts w:hint="eastAsia" w:ascii="仿宋_GB2312" w:hAnsi="宋体"/>
                <w:sz w:val="30"/>
                <w:szCs w:val="30"/>
              </w:rPr>
              <w:t>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786" w:type="dxa"/>
            <w:vAlign w:val="center"/>
          </w:tcPr>
          <w:p>
            <w:pPr>
              <w:pStyle w:val="12"/>
              <w:ind w:firstLine="648"/>
              <w:jc w:val="left"/>
              <w:rPr>
                <w:rFonts w:ascii="仿宋_GB2312" w:hAnsi="宋体"/>
                <w:sz w:val="30"/>
                <w:szCs w:val="30"/>
              </w:rPr>
            </w:pPr>
            <w:r>
              <w:rPr>
                <w:rFonts w:hint="eastAsia" w:ascii="仿宋_GB2312" w:hAnsi="宋体"/>
                <w:sz w:val="30"/>
                <w:szCs w:val="30"/>
              </w:rPr>
              <w:t>其他商品和服务支出</w:t>
            </w:r>
          </w:p>
        </w:tc>
        <w:tc>
          <w:tcPr>
            <w:tcW w:w="3736" w:type="dxa"/>
            <w:vAlign w:val="center"/>
          </w:tcPr>
          <w:p>
            <w:pPr>
              <w:pStyle w:val="12"/>
              <w:ind w:firstLine="648"/>
              <w:jc w:val="left"/>
              <w:rPr>
                <w:rFonts w:ascii="仿宋_GB2312" w:hAnsi="宋体"/>
                <w:sz w:val="30"/>
                <w:szCs w:val="30"/>
              </w:rPr>
            </w:pPr>
            <w:r>
              <w:rPr>
                <w:rFonts w:hint="eastAsia" w:ascii="仿宋_GB2312" w:hAnsi="宋体"/>
                <w:sz w:val="30"/>
                <w:szCs w:val="30"/>
              </w:rPr>
              <w:t>25.77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786" w:type="dxa"/>
            <w:vAlign w:val="center"/>
          </w:tcPr>
          <w:p>
            <w:pPr>
              <w:pStyle w:val="12"/>
              <w:ind w:firstLine="648"/>
              <w:jc w:val="left"/>
              <w:rPr>
                <w:rFonts w:ascii="仿宋_GB2312" w:hAnsi="宋体"/>
                <w:sz w:val="30"/>
                <w:szCs w:val="30"/>
              </w:rPr>
            </w:pPr>
            <w:r>
              <w:rPr>
                <w:rFonts w:hint="eastAsia" w:ascii="仿宋_GB2312" w:hAnsi="宋体"/>
                <w:sz w:val="30"/>
                <w:szCs w:val="30"/>
              </w:rPr>
              <w:t>其他对个人和家庭的补助支出</w:t>
            </w:r>
          </w:p>
        </w:tc>
        <w:tc>
          <w:tcPr>
            <w:tcW w:w="3736" w:type="dxa"/>
            <w:vAlign w:val="center"/>
          </w:tcPr>
          <w:p>
            <w:pPr>
              <w:pStyle w:val="12"/>
              <w:ind w:firstLine="648"/>
              <w:jc w:val="left"/>
              <w:rPr>
                <w:rFonts w:ascii="仿宋_GB2312" w:hAnsi="宋体"/>
                <w:sz w:val="30"/>
                <w:szCs w:val="30"/>
              </w:rPr>
            </w:pPr>
            <w:r>
              <w:rPr>
                <w:rFonts w:hint="eastAsia" w:ascii="仿宋_GB2312" w:hAnsi="宋体"/>
                <w:sz w:val="30"/>
                <w:szCs w:val="30"/>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786" w:type="dxa"/>
            <w:vAlign w:val="center"/>
          </w:tcPr>
          <w:p>
            <w:pPr>
              <w:pStyle w:val="12"/>
              <w:ind w:firstLine="648"/>
              <w:jc w:val="left"/>
              <w:rPr>
                <w:rFonts w:ascii="仿宋_GB2312" w:hAnsi="宋体"/>
                <w:sz w:val="30"/>
                <w:szCs w:val="30"/>
              </w:rPr>
            </w:pPr>
            <w:r>
              <w:rPr>
                <w:rFonts w:hint="eastAsia" w:ascii="仿宋_GB2312" w:hAnsi="宋体"/>
                <w:sz w:val="30"/>
                <w:szCs w:val="30"/>
              </w:rPr>
              <w:t>拆迁资金</w:t>
            </w:r>
          </w:p>
        </w:tc>
        <w:tc>
          <w:tcPr>
            <w:tcW w:w="3736" w:type="dxa"/>
            <w:vAlign w:val="center"/>
          </w:tcPr>
          <w:p>
            <w:pPr>
              <w:pStyle w:val="12"/>
              <w:ind w:firstLine="648"/>
              <w:jc w:val="left"/>
              <w:rPr>
                <w:rFonts w:ascii="仿宋_GB2312" w:hAnsi="宋体"/>
                <w:sz w:val="30"/>
                <w:szCs w:val="30"/>
              </w:rPr>
            </w:pPr>
            <w:r>
              <w:rPr>
                <w:rFonts w:hint="eastAsia" w:ascii="仿宋_GB2312" w:hAnsi="宋体"/>
                <w:sz w:val="30"/>
                <w:szCs w:val="30"/>
              </w:rPr>
              <w:t>17323.35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786" w:type="dxa"/>
            <w:vAlign w:val="center"/>
          </w:tcPr>
          <w:p>
            <w:pPr>
              <w:pStyle w:val="12"/>
              <w:ind w:firstLine="648"/>
              <w:jc w:val="left"/>
              <w:rPr>
                <w:rFonts w:ascii="仿宋_GB2312" w:hAnsi="宋体"/>
                <w:sz w:val="30"/>
                <w:szCs w:val="30"/>
              </w:rPr>
            </w:pPr>
            <w:r>
              <w:rPr>
                <w:rFonts w:hint="eastAsia" w:ascii="仿宋_GB2312" w:hAnsi="宋体"/>
                <w:sz w:val="30"/>
                <w:szCs w:val="30"/>
              </w:rPr>
              <w:t>合计</w:t>
            </w:r>
          </w:p>
        </w:tc>
        <w:tc>
          <w:tcPr>
            <w:tcW w:w="3736" w:type="dxa"/>
            <w:vAlign w:val="center"/>
          </w:tcPr>
          <w:p>
            <w:pPr>
              <w:pStyle w:val="12"/>
              <w:ind w:firstLine="648"/>
              <w:jc w:val="left"/>
              <w:rPr>
                <w:rFonts w:ascii="仿宋_GB2312" w:hAnsi="宋体"/>
                <w:sz w:val="30"/>
                <w:szCs w:val="30"/>
              </w:rPr>
            </w:pPr>
            <w:r>
              <w:rPr>
                <w:rFonts w:hint="eastAsia" w:ascii="仿宋_GB2312" w:hAnsi="宋体"/>
                <w:sz w:val="30"/>
                <w:szCs w:val="30"/>
              </w:rPr>
              <w:t>17742.08</w:t>
            </w:r>
          </w:p>
        </w:tc>
      </w:tr>
    </w:tbl>
    <w:p>
      <w:pPr>
        <w:pStyle w:val="12"/>
        <w:ind w:firstLine="600"/>
        <w:jc w:val="left"/>
        <w:rPr>
          <w:rFonts w:ascii="仿宋_GB2312" w:hAnsi="宋体"/>
          <w:sz w:val="30"/>
          <w:szCs w:val="30"/>
        </w:rPr>
      </w:pPr>
      <w:r>
        <w:rPr>
          <w:rFonts w:hint="eastAsia" w:ascii="仿宋_GB2312" w:hAnsi="宋体"/>
          <w:sz w:val="30"/>
          <w:szCs w:val="30"/>
        </w:rPr>
        <w:t>备注：其他商品和服务支出包括：办公费用、餐费、项目慰问扶持费、组织学习费用、考察费等；项目支出包括：社保、医保、保障住房申购、审核、拆迁安置分房保障、拆迁管理专项经费，项目工作经费；拆迁资金是指经省市相关文件、会议纪要明确用于征拆工作的资金，具体包括同项目用地方以协议形式计提的工作协调经费、住房保障费、超4人户、未符合建房条件户按期倒房腾地奖、户栋残值奖3000元/户、1.5万元/亩腾地奖励经费等。资金使用范围包括特殊个案遗留问题兜底处理、5+3合法建筑奖励、诉讼费、清零交地绩效奖、延期过渡费、征拆相关单位工作经费、1.5万元/亩腾地奖励、项目内违章建筑补助等。“ 三公经费”支出为零，本着严格管理、从严控制的原则。</w:t>
      </w:r>
    </w:p>
    <w:p>
      <w:pPr>
        <w:ind w:firstLine="753" w:firstLineChars="250"/>
        <w:rPr>
          <w:rFonts w:ascii="仿宋_GB2312" w:hAnsi="宋体" w:eastAsia="仿宋_GB2312"/>
          <w:b/>
          <w:sz w:val="30"/>
          <w:szCs w:val="30"/>
        </w:rPr>
      </w:pPr>
    </w:p>
    <w:p>
      <w:pPr>
        <w:ind w:firstLine="753" w:firstLineChars="250"/>
        <w:rPr>
          <w:rFonts w:ascii="仿宋_GB2312" w:hAnsi="宋体" w:eastAsia="仿宋_GB2312"/>
          <w:b/>
          <w:sz w:val="30"/>
          <w:szCs w:val="30"/>
        </w:rPr>
      </w:pPr>
      <w:r>
        <w:rPr>
          <w:rFonts w:hint="eastAsia" w:ascii="仿宋_GB2312" w:hAnsi="宋体" w:eastAsia="仿宋_GB2312"/>
          <w:b/>
          <w:sz w:val="30"/>
          <w:szCs w:val="30"/>
        </w:rPr>
        <w:t xml:space="preserve">（三）、部门专项组织实施情况 </w:t>
      </w:r>
    </w:p>
    <w:p>
      <w:pPr>
        <w:pStyle w:val="12"/>
        <w:ind w:firstLine="600"/>
        <w:jc w:val="left"/>
        <w:rPr>
          <w:rFonts w:ascii="仿宋_GB2312" w:hAnsi="宋体"/>
          <w:sz w:val="30"/>
          <w:szCs w:val="30"/>
        </w:rPr>
      </w:pPr>
      <w:r>
        <w:rPr>
          <w:rFonts w:hint="eastAsia" w:ascii="仿宋_GB2312" w:hAnsi="宋体"/>
          <w:sz w:val="30"/>
          <w:szCs w:val="30"/>
        </w:rPr>
        <w:t>雨花区征地服务中心为规范及加强部门预算整体支出管理、加快项目进展，按照区委、区政府统一部署要求，及区重点工程建设规划，科学制定考核细则，将征拆任务纳入各责任单位年度绩效考核范畴，重点考任务总量、考时间节点、考项目清零、考安置到位，同时制定了相应的奖励制度。</w:t>
      </w:r>
    </w:p>
    <w:p>
      <w:pPr>
        <w:ind w:firstLine="750" w:firstLineChars="250"/>
        <w:rPr>
          <w:rFonts w:ascii="仿宋_GB2312" w:hAnsi="宋体" w:eastAsia="仿宋_GB2312"/>
          <w:sz w:val="30"/>
          <w:szCs w:val="30"/>
        </w:rPr>
      </w:pPr>
    </w:p>
    <w:p>
      <w:pPr>
        <w:ind w:firstLine="753" w:firstLineChars="250"/>
        <w:rPr>
          <w:rFonts w:ascii="仿宋_GB2312" w:hAnsi="宋体" w:eastAsia="仿宋_GB2312"/>
          <w:sz w:val="30"/>
          <w:szCs w:val="30"/>
        </w:rPr>
      </w:pPr>
      <w:r>
        <w:rPr>
          <w:rFonts w:hint="eastAsia" w:ascii="仿宋_GB2312" w:hAnsi="宋体" w:eastAsia="仿宋_GB2312"/>
          <w:b/>
          <w:sz w:val="30"/>
          <w:szCs w:val="30"/>
        </w:rPr>
        <w:t>（四）、资产管理情况 反映部门资产的配置、管理、处置等综合情况。包括制度建设、管理措施、配置处置的程序等。</w:t>
      </w:r>
      <w:r>
        <w:rPr>
          <w:rFonts w:hint="eastAsia" w:ascii="仿宋_GB2312" w:hAnsi="宋体" w:eastAsia="仿宋_GB2312" w:cs="仿宋_GB2312"/>
          <w:kern w:val="0"/>
          <w:sz w:val="30"/>
          <w:szCs w:val="30"/>
          <w:shd w:val="clear" w:color="auto" w:fill="FFFFFF"/>
        </w:rPr>
        <w:t xml:space="preserve">   </w:t>
      </w:r>
    </w:p>
    <w:p>
      <w:pPr>
        <w:pStyle w:val="12"/>
        <w:ind w:firstLine="600"/>
        <w:jc w:val="left"/>
        <w:rPr>
          <w:rFonts w:ascii="仿宋_GB2312" w:hAnsi="宋体"/>
          <w:sz w:val="30"/>
          <w:szCs w:val="30"/>
        </w:rPr>
      </w:pPr>
      <w:r>
        <w:rPr>
          <w:rFonts w:hint="eastAsia" w:ascii="仿宋_GB2312" w:hAnsi="宋体"/>
          <w:sz w:val="30"/>
          <w:szCs w:val="30"/>
        </w:rPr>
        <w:t>固定资产购置属于政府采购范围的，按照财政部门的要求，编制政府采购预算，实施政府采购。固定资产领取使用后，按照固定资产明细账和固定资产登记卡片，明确固定资产的使用人员和存放地点，使用人员是固定资产保管的责任人，负责固定资产在使用过程中的安全和完整。贵重的、精密程度较高的固定资产指定专人保管。</w:t>
      </w:r>
    </w:p>
    <w:p>
      <w:pPr>
        <w:widowControl/>
        <w:spacing w:line="520" w:lineRule="exact"/>
        <w:ind w:firstLine="645"/>
        <w:jc w:val="left"/>
        <w:rPr>
          <w:rFonts w:ascii="仿宋_GB2312" w:eastAsia="仿宋_GB2312"/>
          <w:sz w:val="32"/>
          <w:szCs w:val="32"/>
        </w:rPr>
      </w:pPr>
    </w:p>
    <w:p>
      <w:pPr>
        <w:widowControl/>
        <w:spacing w:line="520" w:lineRule="exact"/>
        <w:ind w:firstLine="645"/>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三、部门整体支出绩效情况</w:t>
      </w:r>
    </w:p>
    <w:p>
      <w:pPr>
        <w:pStyle w:val="13"/>
        <w:numPr>
          <w:ilvl w:val="0"/>
          <w:numId w:val="1"/>
        </w:numPr>
        <w:spacing w:line="580" w:lineRule="exact"/>
        <w:ind w:firstLine="640"/>
        <w:contextualSpacing/>
        <w:rPr>
          <w:rFonts w:ascii="仿宋_GB2312" w:hAnsi="黑体" w:eastAsia="仿宋_GB2312" w:cs="黑体"/>
          <w:sz w:val="32"/>
          <w:szCs w:val="32"/>
        </w:rPr>
      </w:pPr>
      <w:r>
        <w:rPr>
          <w:rFonts w:hint="eastAsia" w:ascii="仿宋_GB2312" w:hAnsi="黑体" w:eastAsia="仿宋_GB2312" w:cs="黑体"/>
          <w:sz w:val="32"/>
          <w:szCs w:val="32"/>
        </w:rPr>
        <w:t>抓调度、促建设，征拆安置推进有力</w:t>
      </w:r>
    </w:p>
    <w:p>
      <w:pPr>
        <w:pStyle w:val="12"/>
        <w:ind w:firstLine="600"/>
        <w:jc w:val="left"/>
        <w:rPr>
          <w:rFonts w:ascii="仿宋_GB2312" w:hAnsi="宋体"/>
          <w:sz w:val="30"/>
          <w:szCs w:val="30"/>
        </w:rPr>
      </w:pPr>
      <w:r>
        <w:rPr>
          <w:rFonts w:hint="eastAsia" w:ascii="仿宋_GB2312" w:hAnsi="宋体"/>
          <w:sz w:val="30"/>
          <w:szCs w:val="30"/>
        </w:rPr>
        <w:t>1.“百日会战”，全力服务项目征拆。以“百日竞赛”为契机，组织全区开展“百日征拆大会战”，抢抓时间进度，全年铺排征拆项目82个，涉拆面积6800亩，应拆合法房屋1463栋。全年合法房屋签约898栋，拆除799栋，完成电子物流园7号地、环保大道东延线、红旗路二期、黎托北路、潭白北路、粟塘路等39个项目的拆除清零，完成雅塘冲路、儿童福利院、扬子路、白田变电站、花桥村安置地等26个项目的结算交地工作。一是坚持跟踪调度保进场。林科北路、杨子路、侯照路、电子物流园7号地、环保大道东延线等9个区百日竞赛项目全部按期确保进场施工，全年21个重点工程项目，17个已全部确保进场施工，助力我区百日竞赛工作在全市取得好成绩。二是紧盯重点项目促建设。省“三干一线”重点工程洞株公路改扩建项目抢抓时间、协调资金难题，从发布征地公告到线内合法房屋清零仅用时42天。市断头路项目石坝路集中攻坚，扫尾清零仅用时35天。市重点工程雅塘冲路（东段）项目仅用时31天完成全部房屋签约清零，实现了新国土法程序的迅速落地。</w:t>
      </w:r>
    </w:p>
    <w:p>
      <w:pPr>
        <w:pStyle w:val="12"/>
        <w:ind w:firstLine="600"/>
        <w:jc w:val="left"/>
        <w:rPr>
          <w:rFonts w:ascii="仿宋_GB2312" w:hAnsi="宋体"/>
          <w:sz w:val="30"/>
          <w:szCs w:val="30"/>
        </w:rPr>
      </w:pPr>
      <w:r>
        <w:rPr>
          <w:rFonts w:hint="eastAsia" w:ascii="仿宋_GB2312" w:hAnsi="宋体"/>
          <w:sz w:val="30"/>
          <w:szCs w:val="30"/>
        </w:rPr>
        <w:t>2.项目攻坚，全力服务三大片区。以三大片区为主战场，全力攻坚省、市重点工程项目。高铁新城片区全年铺排项目35个，合法房屋签约593栋，拆除520栋，完成榔梨水文站、黎托北路、潭白北路、粟塘路、阳青东路、片区24号地夹缝地、15号路、16号路、片区5号地（核心区）、城投4号地等18个项目拆除清零。雅塘片区全年铺排项目7个，合法房屋签约211栋，拆除173栋，完成井塘城投22号地、中城苑扩征、环线小学3个项目拆除清零。积极配合完成红星片区首开区的相关征拆工作，助推首期地块顺利完成挂牌前期工作。</w:t>
      </w:r>
    </w:p>
    <w:p>
      <w:pPr>
        <w:pStyle w:val="12"/>
        <w:ind w:firstLine="600"/>
        <w:jc w:val="left"/>
        <w:rPr>
          <w:rFonts w:ascii="仿宋_GB2312" w:hAnsi="宋体"/>
          <w:sz w:val="30"/>
          <w:szCs w:val="30"/>
        </w:rPr>
      </w:pPr>
      <w:r>
        <w:rPr>
          <w:rFonts w:hint="eastAsia" w:ascii="仿宋_GB2312" w:hAnsi="宋体"/>
          <w:sz w:val="30"/>
          <w:szCs w:val="30"/>
        </w:rPr>
        <w:t>3.安置保障，全力服务民生事业。坚持多措并举、多管齐下，保障住房安置、过渡安置、社会保障安置、货币回购安置多种方式相结合，保障拆迁群众早日安居乐业。一是加快保障住房安置，完成颐景苑一期、洪塘佳苑、联盟佳苑、黎景苑二期、太和园、石马雅苑等保障住房安置小区的分房工作，实现分房568套，安置1096.75人；实现川和苑交房3152套，安置3701人。二是确保过渡安置，全年发放延期过渡费8909.8万元，确保拆迁群众在外安心过渡。三是完善社会保障安置，全年完成社保审核纳入974人，累计纳入35265人，纳入社保率达到100%；全年缴纳社保资金6065.8万元，累计解缴315204.6万元。四是拓宽货币回购安置渠道，进一步扩大纯货币化安置覆盖面，引导被拆迁群众选择货币补贴安置，完成雨花亭街道、东山街道、黎托街道、洞井街道纯货币安置298.5人，涉及金额9202万元。</w:t>
      </w:r>
    </w:p>
    <w:p>
      <w:pPr>
        <w:pStyle w:val="2"/>
        <w:numPr>
          <w:ilvl w:val="0"/>
          <w:numId w:val="1"/>
        </w:numPr>
        <w:spacing w:after="0" w:line="58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 xml:space="preserve">严审核、强规范，业务工作推进有序 </w:t>
      </w:r>
    </w:p>
    <w:p>
      <w:pPr>
        <w:pStyle w:val="12"/>
        <w:ind w:firstLine="600"/>
        <w:jc w:val="left"/>
        <w:rPr>
          <w:rFonts w:ascii="仿宋_GB2312" w:hAnsi="宋体"/>
          <w:sz w:val="30"/>
          <w:szCs w:val="30"/>
        </w:rPr>
      </w:pPr>
      <w:r>
        <w:rPr>
          <w:rFonts w:hint="eastAsia" w:ascii="仿宋_GB2312" w:hAnsi="宋体"/>
          <w:sz w:val="30"/>
          <w:szCs w:val="30"/>
        </w:rPr>
        <w:t>1.积极应对，政策衔接保平稳。一是积极应对新国土法调整。组织学习新的土地管理法，会同区资规分局等部门单位多次研讨，多方征求意见，研究制定了征地拆迁工作新流程，服务于新项目的用地报批。组织各街镇学习新的土地管理法和用地报批新程序，共同探讨在新程序执行过程中遇到的新问题，为全区今后全面执行新程序打好了基础。二是积极应对拆迁群众一次性补缴职工养老保险政策调整。我中心及时调度，主动作为，积极协调区人社局、区资规分局等部门按照应保尽保的原则，采取特事特办的方式，抢在2020年12月31日24点窗口关闭前将符合条件的人员全部纳入，十天内共计纳入项目59个1926人，有效地保障了拆迁群众的合法权益，减少了因社保政策调整导致的矛盾纠纷和信访问题。</w:t>
      </w:r>
    </w:p>
    <w:p>
      <w:pPr>
        <w:pStyle w:val="12"/>
        <w:ind w:firstLine="600"/>
        <w:jc w:val="left"/>
        <w:rPr>
          <w:rFonts w:ascii="仿宋_GB2312" w:hAnsi="宋体"/>
          <w:sz w:val="30"/>
          <w:szCs w:val="30"/>
        </w:rPr>
      </w:pPr>
      <w:r>
        <w:rPr>
          <w:rFonts w:hint="eastAsia" w:ascii="仿宋_GB2312" w:hAnsi="宋体"/>
          <w:sz w:val="30"/>
          <w:szCs w:val="30"/>
        </w:rPr>
        <w:t>2.严格审核，依法操作强基础。一是依法发布征地公告。全年按老程序发布《征收土地方案公告》14个；按新程序发布《拟征地公告》39个，《征地补偿安置公告》24个，《土地征收实施公告》1个。二是依法做好风险评估。对新启动项目充分做好风险预判，加强征拆风险源头控制，全年组织召开风险评估会议15余次，出具项目风险评估报告39个。三是严把审核关口。完成审核征拆项目新落户居民户口360人，大病困补284人，配合参与一、二轮会审68次、个案会16次、结算会10次，参与35个项目的合法面积认定工作。</w:t>
      </w:r>
    </w:p>
    <w:p>
      <w:pPr>
        <w:pStyle w:val="12"/>
        <w:ind w:firstLine="600"/>
        <w:jc w:val="left"/>
        <w:rPr>
          <w:rFonts w:ascii="仿宋_GB2312" w:hAnsi="宋体"/>
          <w:sz w:val="30"/>
          <w:szCs w:val="30"/>
        </w:rPr>
      </w:pPr>
      <w:r>
        <w:rPr>
          <w:rFonts w:hint="eastAsia" w:ascii="仿宋_GB2312" w:hAnsi="宋体"/>
          <w:sz w:val="30"/>
          <w:szCs w:val="30"/>
        </w:rPr>
        <w:t>3.坚守底线，公开公示赢民心。对拆迁补偿安置执行全过程公开，全补偿公示。所有项目按照统一要求制作公示板，在各指挥部显要位置和拆迁区域，对拆迁补偿情况进行三榜公示。在完成调查登记后进行第一榜公示，公示拆迁对象调查资料，包括房屋情况、人员情况、权证情况等；在发布征求意见公告后进行第二榜公示，公示一轮会审认定的拆迁补偿资金并征求意见；在发布实施公告后进行第三榜公示，公示三轮会审认定的所有房屋拆迁补偿资金，包括补偿、奖励、困难补助、大病救助等，三榜公示后房屋补偿资金原则上不再调整，真正做到阳光透明、公平公正。</w:t>
      </w:r>
    </w:p>
    <w:p>
      <w:pPr>
        <w:pStyle w:val="13"/>
        <w:spacing w:line="580" w:lineRule="exact"/>
        <w:ind w:firstLine="640"/>
        <w:contextualSpacing/>
        <w:rPr>
          <w:rFonts w:ascii="仿宋_GB2312" w:hAnsi="黑体" w:eastAsia="仿宋_GB2312" w:cs="黑体"/>
          <w:sz w:val="32"/>
          <w:szCs w:val="32"/>
        </w:rPr>
      </w:pPr>
      <w:r>
        <w:rPr>
          <w:rFonts w:hint="eastAsia" w:ascii="仿宋_GB2312" w:hAnsi="黑体" w:eastAsia="仿宋_GB2312" w:cs="黑体"/>
          <w:sz w:val="32"/>
          <w:szCs w:val="32"/>
        </w:rPr>
        <w:t>三、优服务、提效能，中心工作推进有效</w:t>
      </w:r>
    </w:p>
    <w:p>
      <w:pPr>
        <w:pStyle w:val="12"/>
        <w:ind w:firstLine="600"/>
        <w:jc w:val="left"/>
        <w:rPr>
          <w:rFonts w:ascii="仿宋_GB2312" w:hAnsi="宋体"/>
          <w:sz w:val="30"/>
          <w:szCs w:val="30"/>
        </w:rPr>
      </w:pPr>
      <w:r>
        <w:rPr>
          <w:rFonts w:hint="eastAsia" w:ascii="仿宋_GB2312" w:hAnsi="宋体"/>
          <w:sz w:val="30"/>
          <w:szCs w:val="30"/>
        </w:rPr>
        <w:t>1.提升依法行政水平。一是全面加强法治建设，全员开展法治教育，组织学习</w:t>
      </w:r>
      <w:bookmarkStart w:id="0" w:name="_GoBack"/>
      <w:bookmarkEnd w:id="0"/>
      <w:r>
        <w:rPr>
          <w:rFonts w:hint="eastAsia" w:ascii="仿宋_GB2312" w:hAnsi="宋体"/>
          <w:sz w:val="30"/>
          <w:szCs w:val="30"/>
          <w:lang w:eastAsia="zh-CN"/>
        </w:rPr>
        <w:t>《中华人民共和国民法典》</w:t>
      </w:r>
      <w:r>
        <w:rPr>
          <w:rFonts w:hint="eastAsia" w:ascii="仿宋_GB2312" w:hAnsi="宋体"/>
          <w:sz w:val="30"/>
          <w:szCs w:val="30"/>
        </w:rPr>
        <w:t>及相关业务政策，全面提升依法行政能力。妥善应对各类行政诉讼案件，积极出庭参与应诉，全年共参与11起行政诉讼案，做到案案有落实、件件有回音。二是全面落实科学决策。贯彻落实民主集中制，制定《区征地服务中心党政领导班子议事规则》，重大事项按照“集体领导、民主集中、个别酝酿、会议决定”的原则集体讨论决定。三是全面推进政务公开。依法依规开展政务服务工作，及时将三公经费、征地公告、党政动态等信息在政务网上公开公示，全年政务公开信息65条。</w:t>
      </w:r>
    </w:p>
    <w:p>
      <w:pPr>
        <w:pStyle w:val="12"/>
        <w:ind w:firstLine="600"/>
        <w:jc w:val="left"/>
        <w:rPr>
          <w:rFonts w:ascii="仿宋_GB2312" w:hAnsi="宋体"/>
          <w:sz w:val="30"/>
          <w:szCs w:val="30"/>
        </w:rPr>
      </w:pPr>
      <w:r>
        <w:rPr>
          <w:rFonts w:hint="eastAsia" w:ascii="仿宋_GB2312" w:hAnsi="宋体"/>
          <w:sz w:val="30"/>
          <w:szCs w:val="30"/>
        </w:rPr>
        <w:t>2.狠抓中心工作落实。按时高质完成区委、区政府各项中心工作，一是主动投身疫情防控工作。全体干部自觉遵守疫情防控工作要求，做好自身防护，扎实坚守岗位，服从统一指挥，全员下沉一线抗疫，积极参与雨花收费站守卡，冯家冲社区值班，井巷社区、融城苑社区和红星村社区的复工复产帮扶工作。二是积极参与文明创建工作。严格按照区文明办工作要求，精心布置、有序调度、全员上阵，全力配合街道和社区做好各项迎检工作。三是持续优化营商环境工作。认真落实“企业服务日”工作要求，为环保大道东延线、白田二期保障住房项目、裕天国际商汇中心二期等项目的落地建设做好拆迁扫尾服务。四是深入推进群众工作。坚持以民为本，开展结对认亲，进行走访慰问，针对群众关心的征拆安置问题给予群众有效回应，共计走访慰问困难党员困难群众48户。</w:t>
      </w:r>
    </w:p>
    <w:p>
      <w:pPr>
        <w:pStyle w:val="12"/>
        <w:ind w:firstLine="600"/>
        <w:jc w:val="left"/>
        <w:rPr>
          <w:rFonts w:ascii="仿宋_GB2312" w:hAnsi="宋体"/>
          <w:sz w:val="30"/>
          <w:szCs w:val="30"/>
        </w:rPr>
      </w:pPr>
      <w:r>
        <w:rPr>
          <w:rFonts w:hint="eastAsia" w:ascii="仿宋_GB2312" w:hAnsi="宋体"/>
          <w:sz w:val="30"/>
          <w:szCs w:val="30"/>
        </w:rPr>
        <w:t>3.促进信访矛盾化解。严格落实征拆信访问题包掌握情况、包解决化解、包思想转化、包息诉息访的“四包”责任，增强化解积案力度。坚持“定期接访、及时解决”的工作模式，安排业务骨干在区信访局接待来访群众，同时将接访关口前移，变群众上访为去基层下访，深入街镇和社区接访，配合街道和社区把信访问题发现解决在基层，信访对象杨某积访8年等10余件信访积案已于今年得到化解。全年共接待群众来电来访80余次，办理省信访平台来信来访5件，12345平台市民热线处理16件，处理政府信息公开10件，回复区长信箱、市长信箱5件，对被征地群众信访案件优先办理，优先部署，专人负责，做到了快受理、快落实、快答复。</w:t>
      </w:r>
    </w:p>
    <w:p>
      <w:pPr>
        <w:pStyle w:val="12"/>
        <w:ind w:firstLine="600"/>
        <w:jc w:val="left"/>
        <w:rPr>
          <w:rFonts w:ascii="仿宋_GB2312" w:hAnsi="宋体"/>
          <w:sz w:val="30"/>
          <w:szCs w:val="30"/>
        </w:rPr>
      </w:pPr>
      <w:r>
        <w:rPr>
          <w:rFonts w:hint="eastAsia" w:ascii="仿宋_GB2312" w:hAnsi="宋体"/>
          <w:sz w:val="30"/>
          <w:szCs w:val="30"/>
        </w:rPr>
        <w:t>2020年，我们恪尽职守，履职尽责，取得了一些成绩，2021年，我们将围绕区委 “聚焦新战略，勇当排头兵”工作主题，团结带领全体干部职工，以更加强烈的担当意识、更加奋发的进取精神、更加务实的工作作风，全力抓好全区征拆安置工作，全力助推项目建设，为雨花加快实现高质量发展，打造全国一流强区作出新的更大贡献。</w:t>
      </w:r>
    </w:p>
    <w:p>
      <w:pPr>
        <w:pStyle w:val="11"/>
        <w:widowControl/>
        <w:spacing w:line="520" w:lineRule="exact"/>
        <w:ind w:left="640" w:firstLine="0" w:firstLineChars="0"/>
        <w:jc w:val="left"/>
        <w:rPr>
          <w:rFonts w:ascii="仿宋_GB2312" w:hAnsi="仿宋_GB2312" w:eastAsia="仿宋_GB2312" w:cs="仿宋_GB2312"/>
          <w:sz w:val="32"/>
          <w:szCs w:val="32"/>
        </w:rPr>
      </w:pPr>
    </w:p>
    <w:p>
      <w:pPr>
        <w:pStyle w:val="11"/>
        <w:widowControl/>
        <w:spacing w:line="520" w:lineRule="exact"/>
        <w:ind w:left="640" w:firstLine="0" w:firstLineChars="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四、存在的问题及原因分析</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财务人员配备不足，没有有效规避财经风险。</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我办拆迁项目多，涉及资金量很大，仅只有一名全职财务人员，负责财务科各项业务工作管理及出纳工作、拆迁资金的预算、审批、呈报、支付、统计等多项工作，这种一人多岗的现象极容易造成内部互控制度的丧失，没有有效规避财经风险的出现。</w:t>
      </w:r>
    </w:p>
    <w:p>
      <w:pPr>
        <w:widowControl/>
        <w:spacing w:line="520" w:lineRule="exact"/>
        <w:ind w:firstLine="600" w:firstLineChars="200"/>
        <w:jc w:val="left"/>
        <w:rPr>
          <w:rFonts w:ascii="仿宋_GB2312" w:hAnsi="宋体" w:eastAsia="仿宋_GB2312"/>
          <w:sz w:val="30"/>
          <w:szCs w:val="30"/>
        </w:rPr>
      </w:pPr>
    </w:p>
    <w:p>
      <w:pPr>
        <w:widowControl/>
        <w:spacing w:line="52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五、下一步改进措施</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我办尽早增设全职财务人员，负责办公室会计工作，以解决我办内控制度的落实。</w:t>
      </w:r>
    </w:p>
    <w:p>
      <w:pPr>
        <w:spacing w:line="520" w:lineRule="exact"/>
        <w:ind w:firstLine="643" w:firstLineChars="200"/>
        <w:rPr>
          <w:rFonts w:ascii="仿宋_GB2312" w:hAnsi="仿宋_GB2312" w:eastAsia="仿宋_GB2312" w:cs="仿宋_GB2312"/>
          <w:b/>
          <w:bCs/>
          <w:sz w:val="32"/>
          <w:szCs w:val="32"/>
        </w:rPr>
      </w:pPr>
    </w:p>
    <w:p>
      <w:pPr>
        <w:spacing w:line="5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六、绩效自评结果拟应用和公开情况</w:t>
      </w:r>
    </w:p>
    <w:p>
      <w:pPr>
        <w:ind w:firstLine="600" w:firstLineChars="200"/>
        <w:rPr>
          <w:rFonts w:ascii="仿宋_GB2312" w:hAnsi="宋体" w:eastAsia="仿宋_GB2312"/>
          <w:sz w:val="30"/>
          <w:szCs w:val="30"/>
        </w:rPr>
      </w:pPr>
      <w:r>
        <w:rPr>
          <w:rFonts w:hint="eastAsia" w:ascii="仿宋_GB2312" w:hAnsi="宋体" w:eastAsia="仿宋_GB2312"/>
          <w:sz w:val="30"/>
          <w:szCs w:val="30"/>
        </w:rPr>
        <w:t>绩效自评结果会应用到下一年度的预算编制中，绩效自评结果会按照区财政的要求进行公开。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26C358"/>
    <w:multiLevelType w:val="singleLevel"/>
    <w:tmpl w:val="7B26C35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2F7D712F"/>
    <w:rsid w:val="00055E16"/>
    <w:rsid w:val="00066216"/>
    <w:rsid w:val="0012399A"/>
    <w:rsid w:val="00211FC9"/>
    <w:rsid w:val="0026197F"/>
    <w:rsid w:val="00275931"/>
    <w:rsid w:val="003F5BED"/>
    <w:rsid w:val="0057762D"/>
    <w:rsid w:val="005C2A89"/>
    <w:rsid w:val="0064705F"/>
    <w:rsid w:val="006D3E2C"/>
    <w:rsid w:val="007B2F17"/>
    <w:rsid w:val="007B3A4D"/>
    <w:rsid w:val="008244D9"/>
    <w:rsid w:val="008C2D72"/>
    <w:rsid w:val="00A05B8F"/>
    <w:rsid w:val="00A24E42"/>
    <w:rsid w:val="00B12866"/>
    <w:rsid w:val="00BD1A16"/>
    <w:rsid w:val="00CA185E"/>
    <w:rsid w:val="00CA49CC"/>
    <w:rsid w:val="00D57430"/>
    <w:rsid w:val="00DB1700"/>
    <w:rsid w:val="00F323CF"/>
    <w:rsid w:val="201052C8"/>
    <w:rsid w:val="2BE10696"/>
    <w:rsid w:val="2F7D712F"/>
    <w:rsid w:val="41E06EDA"/>
    <w:rsid w:val="4ABA2B6C"/>
    <w:rsid w:val="557A33E3"/>
    <w:rsid w:val="6094253D"/>
    <w:rsid w:val="64DD09ED"/>
    <w:rsid w:val="6D1D02EE"/>
    <w:rsid w:val="79781D3D"/>
    <w:rsid w:val="7C312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4"/>
    <w:unhideWhenUsed/>
    <w:qFormat/>
    <w:uiPriority w:val="99"/>
    <w:pPr>
      <w:widowControl/>
      <w:adjustRightInd w:val="0"/>
      <w:snapToGrid w:val="0"/>
      <w:spacing w:after="120"/>
      <w:jc w:val="left"/>
    </w:pPr>
    <w:rPr>
      <w:rFonts w:ascii="Tahoma" w:hAnsi="Tahoma" w:eastAsia="微软雅黑"/>
      <w:kern w:val="0"/>
      <w:sz w:val="22"/>
      <w:szCs w:val="2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font41"/>
    <w:basedOn w:val="6"/>
    <w:qFormat/>
    <w:uiPriority w:val="0"/>
    <w:rPr>
      <w:rFonts w:hint="eastAsia" w:ascii="宋体" w:hAnsi="宋体" w:eastAsia="宋体" w:cs="宋体"/>
      <w:color w:val="000000"/>
      <w:sz w:val="18"/>
      <w:szCs w:val="18"/>
      <w:u w:val="none"/>
    </w:rPr>
  </w:style>
  <w:style w:type="character" w:customStyle="1" w:styleId="8">
    <w:name w:val="font31"/>
    <w:basedOn w:val="6"/>
    <w:qFormat/>
    <w:uiPriority w:val="0"/>
    <w:rPr>
      <w:rFonts w:hint="default" w:ascii="Times New Roman" w:hAnsi="Times New Roman" w:cs="Times New Roman"/>
      <w:color w:val="000000"/>
      <w:sz w:val="18"/>
      <w:szCs w:val="18"/>
      <w:u w:val="none"/>
    </w:rPr>
  </w:style>
  <w:style w:type="character" w:customStyle="1" w:styleId="9">
    <w:name w:val="font21"/>
    <w:basedOn w:val="6"/>
    <w:qFormat/>
    <w:uiPriority w:val="0"/>
    <w:rPr>
      <w:rFonts w:hint="eastAsia" w:ascii="宋体" w:hAnsi="宋体" w:eastAsia="宋体" w:cs="宋体"/>
      <w:color w:val="FF0000"/>
      <w:sz w:val="18"/>
      <w:szCs w:val="18"/>
      <w:u w:val="none"/>
    </w:rPr>
  </w:style>
  <w:style w:type="character" w:customStyle="1" w:styleId="10">
    <w:name w:val="font11"/>
    <w:basedOn w:val="6"/>
    <w:qFormat/>
    <w:uiPriority w:val="0"/>
    <w:rPr>
      <w:rFonts w:hint="default" w:ascii="Times New Roman" w:hAnsi="Times New Roman" w:cs="Times New Roman"/>
      <w:color w:val="FF0000"/>
      <w:sz w:val="18"/>
      <w:szCs w:val="18"/>
      <w:u w:val="none"/>
    </w:rPr>
  </w:style>
  <w:style w:type="paragraph" w:styleId="11">
    <w:name w:val="List Paragraph"/>
    <w:basedOn w:val="1"/>
    <w:qFormat/>
    <w:uiPriority w:val="99"/>
    <w:pPr>
      <w:ind w:firstLine="420" w:firstLineChars="200"/>
    </w:pPr>
    <w:rPr>
      <w:rFonts w:ascii="Calibri" w:hAnsi="Calibri"/>
      <w:szCs w:val="22"/>
    </w:rPr>
  </w:style>
  <w:style w:type="paragraph" w:customStyle="1" w:styleId="12">
    <w:name w:val="样式1"/>
    <w:basedOn w:val="1"/>
    <w:qFormat/>
    <w:uiPriority w:val="0"/>
    <w:pPr>
      <w:spacing w:line="640" w:lineRule="exact"/>
    </w:pPr>
    <w:rPr>
      <w:rFonts w:eastAsia="仿宋_GB2312"/>
      <w:sz w:val="32"/>
    </w:rPr>
  </w:style>
  <w:style w:type="paragraph" w:customStyle="1" w:styleId="13">
    <w:name w:val="列出段落1"/>
    <w:basedOn w:val="1"/>
    <w:qFormat/>
    <w:uiPriority w:val="99"/>
    <w:pPr>
      <w:ind w:firstLine="420" w:firstLineChars="200"/>
    </w:pPr>
    <w:rPr>
      <w:rFonts w:ascii="Calibri" w:hAnsi="Calibri"/>
      <w:szCs w:val="22"/>
    </w:rPr>
  </w:style>
  <w:style w:type="character" w:customStyle="1" w:styleId="14">
    <w:name w:val="正文文本 Char"/>
    <w:basedOn w:val="6"/>
    <w:link w:val="2"/>
    <w:qFormat/>
    <w:uiPriority w:val="99"/>
    <w:rPr>
      <w:rFonts w:ascii="Tahoma" w:hAnsi="Tahoma" w:eastAsia="微软雅黑"/>
      <w:sz w:val="22"/>
      <w:szCs w:val="22"/>
    </w:rPr>
  </w:style>
  <w:style w:type="character" w:customStyle="1" w:styleId="15">
    <w:name w:val="页眉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4841</Words>
  <Characters>5121</Characters>
  <Lines>37</Lines>
  <Paragraphs>10</Paragraphs>
  <TotalTime>202</TotalTime>
  <ScaleCrop>false</ScaleCrop>
  <LinksUpToDate>false</LinksUpToDate>
  <CharactersWithSpaces>5129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2021-02-23T08:02:00Z</dcterms:created>
  <dc:creator>hom</dc:creator>
  <cp:lastModifiedBy>Administrator</cp:lastModifiedBy>
  <cp:lastPrinted>2021-02-23T08:52:00Z</cp:lastPrinted>
  <dcterms:modified xsi:type="dcterms:W3CDTF">2023-04-14T07:26:35Z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A1E251431AC04D5194BCABC30B2CE3CD_13</vt:lpwstr>
  </property>
</Properties>
</file>