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 xml:space="preserve">雨花区20 </w:t>
      </w:r>
      <w:r>
        <w:rPr>
          <w:rFonts w:hint="eastAsia" w:eastAsia="方正小标宋简体"/>
          <w:bCs/>
          <w:sz w:val="46"/>
          <w:szCs w:val="46"/>
          <w:lang w:val="en-US" w:eastAsia="zh-CN"/>
        </w:rPr>
        <w:t>22</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长沙市雨花区园林绿化维护中心</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315001</w:t>
      </w:r>
      <w:r>
        <w:rPr>
          <w:rFonts w:hint="eastAsia" w:eastAsia="仿宋_GB2312"/>
          <w:sz w:val="32"/>
          <w:u w:val="single"/>
        </w:rPr>
        <w:t xml:space="preserve">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 年</w:t>
      </w:r>
      <w:r>
        <w:rPr>
          <w:rFonts w:hint="eastAsia" w:eastAsia="仿宋_GB2312"/>
          <w:sz w:val="32"/>
          <w:lang w:val="en-US" w:eastAsia="zh-CN"/>
        </w:rPr>
        <w:t>5</w:t>
      </w:r>
      <w:r>
        <w:rPr>
          <w:rFonts w:hint="eastAsia" w:eastAsia="仿宋_GB2312"/>
          <w:sz w:val="32"/>
        </w:rPr>
        <w:t>月</w:t>
      </w:r>
      <w:r>
        <w:rPr>
          <w:rFonts w:hint="eastAsia" w:eastAsia="仿宋_GB2312"/>
          <w:sz w:val="32"/>
          <w:lang w:val="en-US" w:eastAsia="zh-CN"/>
        </w:rPr>
        <w:t>4</w:t>
      </w:r>
      <w:r>
        <w:rPr>
          <w:rFonts w:hint="eastAsia" w:eastAsia="仿宋_GB2312"/>
          <w:sz w:val="32"/>
        </w:rPr>
        <w:t xml:space="preserve"> 日</w:t>
      </w:r>
    </w:p>
    <w:p>
      <w:pPr>
        <w:autoSpaceDN w:val="0"/>
        <w:jc w:val="center"/>
        <w:textAlignment w:val="center"/>
        <w:rPr>
          <w:rFonts w:hint="eastAsia" w:eastAsia="仿宋_GB2312"/>
          <w:sz w:val="32"/>
          <w:szCs w:val="32"/>
        </w:rPr>
      </w:pPr>
      <w:r>
        <w:rPr>
          <w:rFonts w:hint="eastAsia" w:eastAsia="仿宋_GB2312"/>
          <w:sz w:val="32"/>
        </w:rPr>
        <w:t>雨花区财政</w:t>
      </w:r>
      <w:r>
        <w:rPr>
          <w:rFonts w:hint="eastAsia" w:eastAsia="仿宋_GB2312"/>
          <w:sz w:val="32"/>
          <w:szCs w:val="32"/>
        </w:rPr>
        <w:t>局（制）</w:t>
      </w:r>
    </w:p>
    <w:p>
      <w:pPr>
        <w:autoSpaceDN w:val="0"/>
        <w:jc w:val="center"/>
        <w:textAlignment w:val="center"/>
        <w:rPr>
          <w:rFonts w:hint="eastAsia" w:eastAsia="仿宋_GB2312"/>
          <w:sz w:val="32"/>
          <w:szCs w:val="32"/>
        </w:rPr>
        <w:sectPr>
          <w:footerReference r:id="rId4" w:type="default"/>
          <w:headerReference r:id="rId3" w:type="even"/>
          <w:footerReference r:id="rId5" w:type="even"/>
          <w:pgSz w:w="11906" w:h="16838"/>
          <w:pgMar w:top="1701" w:right="1417" w:bottom="1701" w:left="1417" w:header="851" w:footer="992" w:gutter="0"/>
          <w:pgNumType w:fmt="numberInDash" w:start="8"/>
          <w:cols w:space="720" w:num="1"/>
          <w:titlePg/>
          <w:docGrid w:type="linesAndChars" w:linePitch="602" w:charSpace="-782"/>
        </w:sectPr>
      </w:pPr>
    </w:p>
    <w:p>
      <w:pPr>
        <w:spacing w:line="348" w:lineRule="auto"/>
        <w:rPr>
          <w:rFonts w:hint="eastAsia" w:eastAsia="黑体" w:cs="黑体"/>
          <w:bCs/>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p>
    <w:p>
      <w:pPr>
        <w:spacing w:line="560" w:lineRule="exact"/>
        <w:rPr>
          <w:rFonts w:ascii="宋体" w:hAnsi="宋体" w:cs="宋体"/>
          <w:kern w:val="0"/>
          <w:sz w:val="24"/>
        </w:rPr>
      </w:pPr>
      <w:r>
        <w:rPr>
          <w:rFonts w:ascii="宋体" w:hAnsi="宋体" w:cs="宋体"/>
          <w:kern w:val="0"/>
          <w:sz w:val="24"/>
        </w:rPr>
        <w:tab/>
      </w:r>
      <w:r>
        <w:rPr>
          <w:rFonts w:ascii="宋体" w:hAnsi="宋体" w:cs="宋体"/>
          <w:kern w:val="0"/>
          <w:sz w:val="24"/>
        </w:rPr>
        <w:tab/>
      </w:r>
    </w:p>
    <w:p>
      <w:pPr>
        <w:widowControl/>
        <w:ind w:left="93"/>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12"/>
        <w:tblW w:w="10600" w:type="dxa"/>
        <w:jc w:val="center"/>
        <w:tblLayout w:type="fixed"/>
        <w:tblCellMar>
          <w:top w:w="0" w:type="dxa"/>
          <w:left w:w="108" w:type="dxa"/>
          <w:bottom w:w="0" w:type="dxa"/>
          <w:right w:w="108" w:type="dxa"/>
        </w:tblCellMar>
      </w:tblPr>
      <w:tblGrid>
        <w:gridCol w:w="518"/>
        <w:gridCol w:w="439"/>
        <w:gridCol w:w="675"/>
        <w:gridCol w:w="439"/>
        <w:gridCol w:w="1009"/>
        <w:gridCol w:w="416"/>
        <w:gridCol w:w="2999"/>
        <w:gridCol w:w="3470"/>
        <w:gridCol w:w="635"/>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67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29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评价标准</w:t>
            </w:r>
          </w:p>
        </w:tc>
        <w:tc>
          <w:tcPr>
            <w:tcW w:w="347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指标说明</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得分</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675" w:type="dxa"/>
            <w:vMerge w:val="restar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nil"/>
              <w:right w:val="nil"/>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34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编制数：机构编制部门核定批复的部门（单位）的人员编制数。</w:t>
            </w:r>
          </w:p>
        </w:tc>
        <w:tc>
          <w:tcPr>
            <w:tcW w:w="635"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4.5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635"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CellMar>
            <w:top w:w="0" w:type="dxa"/>
            <w:left w:w="108" w:type="dxa"/>
            <w:bottom w:w="0" w:type="dxa"/>
            <w:right w:w="108" w:type="dxa"/>
          </w:tblCellMar>
        </w:tblPrEx>
        <w:trPr>
          <w:trHeight w:val="1160"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楼堂馆所面积控制率=实际建设面积/批准建设面积×100% 。</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楼堂馆所投资预算控制率=实际投资金额/批准投资金额×100% 。</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公用经费控制率=（实际支出公用经费总额/预算安排公用经费总额）×100%。</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公用经费支出是指部门基本支出中的一般商品和服务支出。</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highlight w:val="red"/>
              </w:rPr>
            </w:pPr>
          </w:p>
        </w:tc>
        <w:tc>
          <w:tcPr>
            <w:tcW w:w="4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highlight w:val="red"/>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highlight w:val="red"/>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highlight w:val="red"/>
              </w:rPr>
            </w:pPr>
          </w:p>
        </w:tc>
        <w:tc>
          <w:tcPr>
            <w:tcW w:w="100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41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政府采购执行率=（实际政府采购金额/政府采购预算数）×100%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w:t>
            </w:r>
          </w:p>
        </w:tc>
        <w:tc>
          <w:tcPr>
            <w:tcW w:w="635"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①有内部财务管理制度、会计核算制度等管理制度，2分；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②有本部门厉行节约制度,2分；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③相关管理制度合法、合规、完整，2分；④相关管理制度得到有效执行，2分。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6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3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009" w:type="dxa"/>
            <w:tcBorders>
              <w:top w:val="nil"/>
              <w:left w:val="nil"/>
              <w:bottom w:val="nil"/>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根据绩效办2015年对各部门为民办实事和部门重点工程与重点工作考核分数折算。</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该项得分=（实际产出数/计划产出数）*8</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416" w:type="dxa"/>
            <w:vMerge w:val="restart"/>
            <w:tcBorders>
              <w:top w:val="nil"/>
              <w:left w:val="single" w:color="auto" w:sz="4" w:space="0"/>
              <w:bottom w:val="nil"/>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6469"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635" w:type="dxa"/>
            <w:vMerge w:val="restart"/>
            <w:tcBorders>
              <w:top w:val="nil"/>
              <w:left w:val="nil"/>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416" w:type="dxa"/>
            <w:vMerge w:val="continue"/>
            <w:tcBorders>
              <w:top w:val="nil"/>
              <w:left w:val="single" w:color="auto" w:sz="4" w:space="0"/>
              <w:bottom w:val="nil"/>
              <w:right w:val="single" w:color="auto" w:sz="4" w:space="0"/>
            </w:tcBorders>
            <w:noWrap w:val="0"/>
            <w:vAlign w:val="center"/>
          </w:tcPr>
          <w:p>
            <w:pPr>
              <w:widowControl/>
              <w:jc w:val="left"/>
              <w:rPr>
                <w:rFonts w:ascii="仿宋_GB2312" w:hAnsi="宋体" w:eastAsia="仿宋_GB2312" w:cs="宋体"/>
                <w:kern w:val="0"/>
                <w:sz w:val="20"/>
                <w:szCs w:val="20"/>
              </w:rPr>
            </w:pPr>
          </w:p>
        </w:tc>
        <w:tc>
          <w:tcPr>
            <w:tcW w:w="6469"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p>
        </w:tc>
        <w:tc>
          <w:tcPr>
            <w:tcW w:w="635" w:type="dxa"/>
            <w:vMerge w:val="continue"/>
            <w:tcBorders>
              <w:left w:val="nil"/>
              <w:bottom w:val="nil"/>
              <w:right w:val="single" w:color="auto" w:sz="4" w:space="0"/>
            </w:tcBorders>
            <w:noWrap w:val="0"/>
            <w:vAlign w:val="center"/>
          </w:tcPr>
          <w:p>
            <w:pPr>
              <w:widowControl/>
              <w:jc w:val="center"/>
              <w:rPr>
                <w:rFonts w:hint="eastAsia" w:ascii="宋体" w:hAnsi="宋体" w:eastAsia="宋体" w:cs="宋体"/>
                <w:kern w:val="0"/>
                <w:sz w:val="24"/>
                <w:lang w:val="en-US" w:eastAsia="zh-CN"/>
              </w:rPr>
            </w:pP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90%（含）以上计6分；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80%（含）-90%，计4分；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70%（含）-80%，计2分；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低于70%计0分。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4</w:t>
            </w:r>
          </w:p>
        </w:tc>
      </w:tr>
    </w:tbl>
    <w:p>
      <w:pPr>
        <w:rPr>
          <w:rFonts w:ascii="黑体" w:eastAsia="黑体"/>
          <w:sz w:val="28"/>
          <w:szCs w:val="28"/>
        </w:rPr>
      </w:pPr>
    </w:p>
    <w:p>
      <w:pPr>
        <w:spacing w:line="560" w:lineRule="exact"/>
        <w:rPr>
          <w:rFonts w:ascii="宋体" w:hAnsi="宋体" w:cs="宋体"/>
          <w:kern w:val="0"/>
          <w:sz w:val="24"/>
        </w:rPr>
      </w:pPr>
      <w:r>
        <w:rPr>
          <w:rFonts w:ascii="黑体" w:eastAsia="黑体"/>
          <w:sz w:val="28"/>
          <w:szCs w:val="28"/>
        </w:rPr>
        <w:br w:type="page"/>
      </w: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7530" w:leftChars="43" w:hanging="7440" w:hangingChars="3100"/>
        <w:jc w:val="left"/>
        <w:rPr>
          <w:rFonts w:ascii="宋体" w:hAnsi="宋体" w:cs="宋体"/>
          <w:kern w:val="0"/>
          <w:sz w:val="24"/>
        </w:rPr>
      </w:pPr>
      <w:r>
        <w:rPr>
          <w:rFonts w:hint="eastAsia" w:ascii="宋体" w:hAnsi="宋体" w:cs="宋体"/>
          <w:kern w:val="0"/>
          <w:sz w:val="24"/>
        </w:rPr>
        <w:t>填报单位：</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hint="eastAsia" w:ascii="宋体" w:hAnsi="宋体" w:cs="宋体"/>
          <w:kern w:val="0"/>
          <w:sz w:val="24"/>
          <w:lang w:eastAsia="zh-CN"/>
        </w:rPr>
        <w:t>单位：万元</w:t>
      </w:r>
      <w:r>
        <w:rPr>
          <w:rFonts w:ascii="宋体" w:hAnsi="宋体" w:cs="宋体"/>
          <w:kern w:val="0"/>
          <w:sz w:val="24"/>
        </w:rPr>
        <w:tab/>
      </w:r>
    </w:p>
    <w:tbl>
      <w:tblPr>
        <w:tblStyle w:val="12"/>
        <w:tblW w:w="0" w:type="auto"/>
        <w:jc w:val="center"/>
        <w:tblLayout w:type="fixed"/>
        <w:tblCellMar>
          <w:top w:w="0" w:type="dxa"/>
          <w:left w:w="108" w:type="dxa"/>
          <w:bottom w:w="0" w:type="dxa"/>
          <w:right w:w="108" w:type="dxa"/>
        </w:tblCellMar>
      </w:tblPr>
      <w:tblGrid>
        <w:gridCol w:w="3550"/>
        <w:gridCol w:w="1190"/>
        <w:gridCol w:w="984"/>
        <w:gridCol w:w="1316"/>
        <w:gridCol w:w="1252"/>
        <w:gridCol w:w="1008"/>
        <w:gridCol w:w="1190"/>
      </w:tblGrid>
      <w:tr>
        <w:tblPrEx>
          <w:tblCellMar>
            <w:top w:w="0" w:type="dxa"/>
            <w:left w:w="108" w:type="dxa"/>
            <w:bottom w:w="0" w:type="dxa"/>
            <w:right w:w="108" w:type="dxa"/>
          </w:tblCellMar>
        </w:tblPrEx>
        <w:trPr>
          <w:trHeight w:val="763" w:hRule="atLeast"/>
          <w:jc w:val="center"/>
        </w:trPr>
        <w:tc>
          <w:tcPr>
            <w:tcW w:w="35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财政供养人员情况</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编制数</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w:t>
            </w:r>
            <w:r>
              <w:rPr>
                <w:rFonts w:hint="eastAsia" w:ascii="宋体" w:hAnsi="宋体" w:cs="宋体"/>
                <w:b/>
                <w:bCs/>
                <w:kern w:val="0"/>
                <w:sz w:val="24"/>
                <w:lang w:val="en-US" w:eastAsia="zh-CN"/>
              </w:rPr>
              <w:t>22</w:t>
            </w:r>
            <w:r>
              <w:rPr>
                <w:rFonts w:hint="eastAsia" w:ascii="宋体" w:hAnsi="宋体" w:cs="宋体"/>
                <w:b/>
                <w:bCs/>
                <w:kern w:val="0"/>
                <w:sz w:val="24"/>
              </w:rPr>
              <w:t>年实际在职人数</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51</w:t>
            </w:r>
            <w:r>
              <w:rPr>
                <w:rFonts w:hint="default" w:ascii="宋体" w:hAnsi="宋体" w:eastAsia="宋体" w:cs="宋体"/>
                <w:kern w:val="0"/>
                <w:sz w:val="24"/>
                <w:lang w:val="en-US" w:eastAsia="zh-CN"/>
              </w:rPr>
              <w:t>　</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　</w:t>
            </w:r>
            <w:r>
              <w:rPr>
                <w:rFonts w:hint="eastAsia" w:ascii="宋体" w:hAnsi="宋体" w:eastAsia="宋体" w:cs="宋体"/>
                <w:kern w:val="0"/>
                <w:sz w:val="24"/>
                <w:lang w:val="en-US" w:eastAsia="zh-CN"/>
              </w:rPr>
              <w:t>52</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101.96%</w:t>
            </w:r>
            <w:r>
              <w:rPr>
                <w:rFonts w:hint="default" w:ascii="宋体" w:hAnsi="宋体" w:eastAsia="宋体" w:cs="宋体"/>
                <w:kern w:val="0"/>
                <w:sz w:val="24"/>
                <w:lang w:val="en-US" w:eastAsia="zh-CN"/>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经费控制情况</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2021</w:t>
            </w:r>
            <w:r>
              <w:rPr>
                <w:rFonts w:hint="eastAsia" w:ascii="宋体" w:hAnsi="宋体" w:cs="宋体"/>
                <w:b/>
                <w:bCs/>
                <w:kern w:val="0"/>
                <w:sz w:val="24"/>
              </w:rPr>
              <w:t>年决算数</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2022</w:t>
            </w:r>
            <w:r>
              <w:rPr>
                <w:rFonts w:hint="eastAsia" w:ascii="宋体" w:hAnsi="宋体" w:cs="宋体"/>
                <w:b/>
                <w:bCs/>
                <w:kern w:val="0"/>
                <w:sz w:val="24"/>
              </w:rPr>
              <w:t>年预算数</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2022</w:t>
            </w:r>
            <w:r>
              <w:rPr>
                <w:rFonts w:hint="eastAsia" w:ascii="宋体" w:hAnsi="宋体" w:cs="宋体"/>
                <w:b/>
                <w:bCs/>
                <w:kern w:val="0"/>
                <w:sz w:val="24"/>
              </w:rPr>
              <w:t>年决算数</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三公经费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1、公务用车购置和维护经费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其中：公车购置</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公车运行维护</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2、出国经费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3、公务接待</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项目支出：</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7334.12</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3665.38</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5186.15</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rPr>
            </w:pPr>
            <w:r>
              <w:rPr>
                <w:rFonts w:hint="eastAsia" w:ascii="宋体" w:hAnsi="宋体" w:eastAsia="宋体" w:cs="宋体"/>
                <w:kern w:val="0"/>
                <w:sz w:val="24"/>
              </w:rPr>
              <w:t xml:space="preserve">   1、</w:t>
            </w:r>
            <w:r>
              <w:rPr>
                <w:rFonts w:hint="eastAsia" w:ascii="宋体" w:hAnsi="宋体" w:eastAsia="宋体" w:cs="宋体"/>
                <w:kern w:val="0"/>
                <w:sz w:val="24"/>
                <w:lang w:eastAsia="zh-CN"/>
              </w:rPr>
              <w:t>维护</w:t>
            </w:r>
            <w:r>
              <w:rPr>
                <w:rFonts w:hint="eastAsia" w:ascii="宋体" w:hAnsi="宋体" w:eastAsia="宋体" w:cs="宋体"/>
                <w:kern w:val="0"/>
                <w:sz w:val="24"/>
              </w:rPr>
              <w:t>业务工作专项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3938.07</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3665.38</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2990.66</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rPr>
            </w:pPr>
            <w:r>
              <w:rPr>
                <w:rFonts w:hint="eastAsia" w:ascii="宋体" w:hAnsi="宋体" w:eastAsia="宋体" w:cs="宋体"/>
                <w:kern w:val="0"/>
                <w:sz w:val="24"/>
              </w:rPr>
              <w:t xml:space="preserve">   2、工程建设专项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3396.05</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2195.49</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公用经费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78.61</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129.74</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125.27</w:t>
            </w: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其中：办公经费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lang w:val="en-US" w:eastAsia="zh-CN"/>
              </w:rPr>
              <w:t>32</w:t>
            </w: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lang w:val="en-US" w:eastAsia="zh-CN"/>
              </w:rPr>
              <w:t>38.3972</w:t>
            </w: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lang w:val="en-US" w:eastAsia="zh-CN"/>
              </w:rPr>
              <w:t>35.84</w:t>
            </w:r>
            <w:r>
              <w:rPr>
                <w:rFonts w:hint="eastAsia" w:ascii="宋体" w:hAnsi="宋体" w:cs="宋体"/>
                <w:color w:val="FF0000"/>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水费、电费、差旅费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lang w:val="en-US" w:eastAsia="zh-CN"/>
              </w:rPr>
              <w:t>7.84</w:t>
            </w: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lang w:val="en-US" w:eastAsia="zh-CN"/>
              </w:rPr>
              <w:t>9</w:t>
            </w: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FF0000"/>
                <w:kern w:val="0"/>
                <w:sz w:val="24"/>
                <w:lang w:val="en-US" w:eastAsia="zh-CN"/>
              </w:rPr>
            </w:pPr>
            <w:r>
              <w:rPr>
                <w:rFonts w:hint="eastAsia" w:ascii="宋体" w:hAnsi="宋体" w:cs="宋体"/>
                <w:color w:val="FF0000"/>
                <w:kern w:val="0"/>
                <w:sz w:val="24"/>
                <w:lang w:val="en-US" w:eastAsia="zh-CN"/>
              </w:rPr>
              <w:t>7</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会议费、培训费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lang w:val="en-US" w:eastAsia="zh-CN"/>
              </w:rPr>
              <w:t>0</w:t>
            </w: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lang w:val="en-US" w:eastAsia="zh-CN"/>
              </w:rPr>
              <w:t>0</w:t>
            </w: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FF0000"/>
                <w:kern w:val="0"/>
                <w:sz w:val="24"/>
                <w:lang w:val="en-US" w:eastAsia="zh-CN"/>
              </w:rPr>
            </w:pPr>
            <w:r>
              <w:rPr>
                <w:rFonts w:hint="eastAsia" w:ascii="宋体" w:hAnsi="宋体" w:cs="宋体"/>
                <w:color w:val="FF0000"/>
                <w:kern w:val="0"/>
                <w:sz w:val="24"/>
                <w:lang w:val="en-US" w:eastAsia="zh-CN"/>
              </w:rPr>
              <w:t>0</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政府采购金额</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4F81BD"/>
                <w:kern w:val="0"/>
                <w:sz w:val="24"/>
                <w:highlight w:val="cyan"/>
                <w:lang w:val="en-US" w:eastAsia="zh-CN"/>
              </w:rPr>
            </w:pPr>
            <w:r>
              <w:rPr>
                <w:rFonts w:hint="eastAsia" w:ascii="宋体" w:hAnsi="宋体" w:eastAsia="宋体" w:cs="宋体"/>
                <w:kern w:val="0"/>
                <w:sz w:val="24"/>
                <w:lang w:val="en-US" w:eastAsia="zh-CN"/>
              </w:rPr>
              <w:t>1279.99</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color w:val="4F81BD"/>
                <w:kern w:val="0"/>
                <w:sz w:val="28"/>
                <w:szCs w:val="28"/>
                <w:highlight w:val="cyan"/>
                <w:lang w:val="en-US"/>
              </w:rPr>
            </w:pPr>
            <w:r>
              <w:rPr>
                <w:rFonts w:hint="eastAsia" w:ascii="宋体" w:hAnsi="宋体" w:eastAsia="宋体" w:cs="宋体"/>
                <w:kern w:val="0"/>
                <w:sz w:val="24"/>
                <w:lang w:val="en-US" w:eastAsia="zh-CN"/>
              </w:rPr>
              <w:t>948.27</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部门整体支出预算调整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7242.75</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7242.75</w:t>
            </w:r>
            <w:r>
              <w:rPr>
                <w:rFonts w:hint="eastAsia" w:ascii="宋体" w:hAnsi="宋体" w:cs="宋体"/>
                <w:kern w:val="0"/>
                <w:sz w:val="24"/>
              </w:rPr>
              <w:t>　</w:t>
            </w:r>
          </w:p>
        </w:tc>
      </w:tr>
      <w:tr>
        <w:tblPrEx>
          <w:tblCellMar>
            <w:top w:w="0" w:type="dxa"/>
            <w:left w:w="108" w:type="dxa"/>
            <w:bottom w:w="0" w:type="dxa"/>
            <w:right w:w="108" w:type="dxa"/>
          </w:tblCellMar>
        </w:tblPrEx>
        <w:trPr>
          <w:trHeight w:val="1154" w:hRule="atLeast"/>
          <w:jc w:val="center"/>
        </w:trPr>
        <w:tc>
          <w:tcPr>
            <w:tcW w:w="35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楼堂馆所控制情况</w:t>
            </w:r>
          </w:p>
          <w:p>
            <w:pPr>
              <w:widowControl/>
              <w:jc w:val="center"/>
              <w:rPr>
                <w:rFonts w:ascii="宋体" w:hAnsi="宋体" w:cs="宋体"/>
                <w:kern w:val="0"/>
                <w:sz w:val="24"/>
              </w:rPr>
            </w:pPr>
            <w:r>
              <w:rPr>
                <w:rFonts w:hint="eastAsia" w:ascii="宋体" w:hAnsi="宋体" w:cs="宋体"/>
                <w:kern w:val="0"/>
                <w:sz w:val="24"/>
              </w:rPr>
              <w:t>（2019年完工项目）</w:t>
            </w:r>
          </w:p>
        </w:tc>
        <w:tc>
          <w:tcPr>
            <w:tcW w:w="11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批复规模</w:t>
            </w:r>
          </w:p>
          <w:p>
            <w:pPr>
              <w:widowControl/>
              <w:jc w:val="center"/>
              <w:rPr>
                <w:rFonts w:ascii="宋体" w:hAnsi="宋体" w:cs="宋体"/>
                <w:b/>
                <w:bCs/>
                <w:kern w:val="0"/>
                <w:sz w:val="24"/>
              </w:rPr>
            </w:pPr>
            <w:r>
              <w:rPr>
                <w:rFonts w:hint="eastAsia" w:ascii="宋体" w:hAnsi="宋体" w:cs="宋体"/>
                <w:b/>
                <w:bCs/>
                <w:kern w:val="0"/>
                <w:sz w:val="24"/>
              </w:rPr>
              <w:t>（㎡）</w:t>
            </w:r>
          </w:p>
        </w:tc>
        <w:tc>
          <w:tcPr>
            <w:tcW w:w="9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实际规模</w:t>
            </w:r>
          </w:p>
          <w:p>
            <w:pPr>
              <w:widowControl/>
              <w:jc w:val="center"/>
              <w:rPr>
                <w:rFonts w:ascii="宋体" w:hAnsi="宋体" w:cs="宋体"/>
                <w:b/>
                <w:bCs/>
                <w:kern w:val="0"/>
                <w:sz w:val="24"/>
              </w:rPr>
            </w:pPr>
            <w:r>
              <w:rPr>
                <w:rFonts w:hint="eastAsia" w:ascii="宋体" w:hAnsi="宋体" w:cs="宋体"/>
                <w:b/>
                <w:bCs/>
                <w:kern w:val="0"/>
                <w:sz w:val="24"/>
              </w:rPr>
              <w:t>（㎡）</w:t>
            </w:r>
          </w:p>
        </w:tc>
        <w:tc>
          <w:tcPr>
            <w:tcW w:w="131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规模控制率</w:t>
            </w:r>
          </w:p>
        </w:tc>
        <w:tc>
          <w:tcPr>
            <w:tcW w:w="125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预算投资</w:t>
            </w:r>
          </w:p>
          <w:p>
            <w:pPr>
              <w:widowControl/>
              <w:jc w:val="center"/>
              <w:rPr>
                <w:rFonts w:ascii="宋体" w:hAnsi="宋体" w:cs="宋体"/>
                <w:b/>
                <w:bCs/>
                <w:kern w:val="0"/>
                <w:sz w:val="24"/>
              </w:rPr>
            </w:pPr>
            <w:r>
              <w:rPr>
                <w:rFonts w:hint="eastAsia" w:ascii="宋体" w:hAnsi="宋体" w:cs="宋体"/>
                <w:b/>
                <w:bCs/>
                <w:kern w:val="0"/>
                <w:sz w:val="24"/>
              </w:rPr>
              <w:t>（万元）</w:t>
            </w:r>
          </w:p>
        </w:tc>
        <w:tc>
          <w:tcPr>
            <w:tcW w:w="10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实际投资</w:t>
            </w:r>
          </w:p>
          <w:p>
            <w:pPr>
              <w:widowControl/>
              <w:jc w:val="center"/>
              <w:rPr>
                <w:rFonts w:ascii="宋体" w:hAnsi="宋体" w:cs="宋体"/>
                <w:b/>
                <w:bCs/>
                <w:kern w:val="0"/>
                <w:sz w:val="24"/>
              </w:rPr>
            </w:pPr>
            <w:r>
              <w:rPr>
                <w:rFonts w:hint="eastAsia" w:ascii="宋体" w:hAnsi="宋体" w:cs="宋体"/>
                <w:b/>
                <w:bCs/>
                <w:kern w:val="0"/>
                <w:sz w:val="24"/>
              </w:rPr>
              <w:t>（万元）</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投资概算控制率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98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25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厉行节约保障措施</w:t>
            </w:r>
          </w:p>
        </w:tc>
        <w:tc>
          <w:tcPr>
            <w:tcW w:w="694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1、严格部门预算管理 2、硬化预算约束 3、坚决落实过紧日子各项要求</w:t>
            </w:r>
            <w:r>
              <w:rPr>
                <w:rFonts w:hint="eastAsia" w:ascii="宋体" w:hAnsi="宋体" w:cs="宋体"/>
                <w:kern w:val="0"/>
                <w:sz w:val="24"/>
              </w:rPr>
              <w:t>　</w:t>
            </w:r>
          </w:p>
        </w:tc>
      </w:tr>
      <w:tr>
        <w:tblPrEx>
          <w:tblCellMar>
            <w:top w:w="0" w:type="dxa"/>
            <w:left w:w="108" w:type="dxa"/>
            <w:bottom w:w="0" w:type="dxa"/>
            <w:right w:w="108" w:type="dxa"/>
          </w:tblCellMar>
        </w:tblPrEx>
        <w:trPr>
          <w:trHeight w:val="700" w:hRule="atLeast"/>
          <w:jc w:val="center"/>
        </w:trPr>
        <w:tc>
          <w:tcPr>
            <w:tcW w:w="10490" w:type="dxa"/>
            <w:gridSpan w:val="7"/>
            <w:tcBorders>
              <w:top w:val="single" w:color="auto" w:sz="4" w:space="0"/>
              <w:left w:val="nil"/>
              <w:bottom w:val="nil"/>
              <w:right w:val="nil"/>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说明：“项目支出”需要填报除专项资金和基本支出以外的所有项目情况，包括业务工作项目、运行维护项目等；“公用经费”填报基本支出中的一般商品和服务支出。</w:t>
            </w:r>
          </w:p>
        </w:tc>
      </w:tr>
    </w:tbl>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宋体" w:eastAsia="黑体" w:cs="宋体"/>
          <w:kern w:val="0"/>
          <w:sz w:val="32"/>
          <w:szCs w:val="32"/>
        </w:rPr>
      </w:pPr>
      <w:r>
        <w:rPr>
          <w:rFonts w:hint="eastAsia" w:ascii="黑体" w:hAnsi="宋体" w:eastAsia="黑体" w:cs="宋体"/>
          <w:kern w:val="0"/>
          <w:sz w:val="32"/>
          <w:szCs w:val="32"/>
        </w:rPr>
        <w:t>附件3</w:t>
      </w:r>
    </w:p>
    <w:p>
      <w:pPr>
        <w:jc w:val="center"/>
        <w:rPr>
          <w:rFonts w:hint="eastAsia"/>
          <w:b/>
          <w:sz w:val="44"/>
          <w:szCs w:val="44"/>
        </w:rPr>
      </w:pPr>
      <w:r>
        <w:rPr>
          <w:rFonts w:hint="eastAsia"/>
          <w:b/>
          <w:sz w:val="44"/>
          <w:szCs w:val="44"/>
        </w:rPr>
        <w:t xml:space="preserve">部门整体支出绩效报告 </w:t>
      </w:r>
    </w:p>
    <w:p>
      <w:pPr>
        <w:ind w:firstLine="750" w:firstLineChars="250"/>
        <w:rPr>
          <w:rFonts w:hint="eastAsia"/>
          <w:sz w:val="30"/>
          <w:szCs w:val="30"/>
        </w:rPr>
      </w:pPr>
    </w:p>
    <w:p>
      <w:pPr>
        <w:ind w:firstLine="753" w:firstLineChars="250"/>
        <w:rPr>
          <w:rFonts w:hint="eastAsia" w:ascii="仿宋_GB2312" w:eastAsia="仿宋_GB2312"/>
          <w:b/>
          <w:sz w:val="30"/>
          <w:szCs w:val="30"/>
        </w:rPr>
      </w:pPr>
      <w:r>
        <w:rPr>
          <w:rFonts w:hint="eastAsia" w:ascii="黑体" w:hAnsi="黑体" w:eastAsia="黑体" w:cs="黑体"/>
          <w:b/>
          <w:sz w:val="30"/>
          <w:szCs w:val="30"/>
        </w:rPr>
        <w:t>一、部门概况</w:t>
      </w:r>
      <w:r>
        <w:rPr>
          <w:rFonts w:hint="eastAsia" w:ascii="仿宋_GB2312" w:eastAsia="仿宋_GB2312"/>
          <w:b/>
          <w:sz w:val="30"/>
          <w:szCs w:val="30"/>
        </w:rPr>
        <w:t xml:space="preserve"> </w:t>
      </w:r>
    </w:p>
    <w:p>
      <w:pPr>
        <w:ind w:firstLine="602" w:firstLineChars="200"/>
        <w:rPr>
          <w:rFonts w:hint="eastAsia" w:ascii="仿宋_GB2312" w:eastAsia="仿宋_GB2312"/>
          <w:sz w:val="30"/>
          <w:szCs w:val="30"/>
        </w:rPr>
      </w:pPr>
      <w:r>
        <w:rPr>
          <w:rFonts w:hint="eastAsia" w:ascii="楷体_GB2312" w:hAnsi="楷体_GB2312" w:eastAsia="楷体_GB2312" w:cs="楷体_GB2312"/>
          <w:b/>
          <w:bCs/>
          <w:sz w:val="30"/>
          <w:szCs w:val="30"/>
        </w:rPr>
        <w:t>（一）部门基本情况（包括部门的在职人员情况、机构 设置、主要职能及重点工作计划等）</w:t>
      </w:r>
      <w:r>
        <w:rPr>
          <w:rFonts w:hint="eastAsia" w:ascii="仿宋_GB2312" w:eastAsia="仿宋_GB2312"/>
          <w:sz w:val="30"/>
          <w:szCs w:val="30"/>
        </w:rPr>
        <w:t>。</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我中心为长沙市雨花区城市管理和综合执法局所属公益一类事业单位，正科级。202</w:t>
      </w:r>
      <w:r>
        <w:rPr>
          <w:rFonts w:hint="eastAsia" w:ascii="仿宋_GB2312" w:hAnsi="微软雅黑" w:eastAsia="仿宋_GB2312" w:cs="宋体"/>
          <w:color w:val="313131"/>
          <w:kern w:val="0"/>
          <w:sz w:val="30"/>
          <w:szCs w:val="30"/>
          <w:lang w:val="en-US" w:eastAsia="zh-CN"/>
        </w:rPr>
        <w:t>2</w:t>
      </w:r>
      <w:r>
        <w:rPr>
          <w:rFonts w:hint="eastAsia" w:ascii="仿宋_GB2312" w:hAnsi="微软雅黑" w:eastAsia="仿宋_GB2312" w:cs="宋体"/>
          <w:color w:val="313131"/>
          <w:kern w:val="0"/>
          <w:sz w:val="30"/>
          <w:szCs w:val="30"/>
        </w:rPr>
        <w:t>年中心内设党政综合管理办公室、维护管理办公室、物资管理办公室、工程建设办公室、财务室、绿委办公室，下设北、中、南、</w:t>
      </w:r>
      <w:r>
        <w:rPr>
          <w:rFonts w:hint="eastAsia" w:ascii="仿宋_GB2312" w:hAnsi="微软雅黑" w:eastAsia="仿宋_GB2312" w:cs="宋体"/>
          <w:color w:val="313131"/>
          <w:kern w:val="0"/>
          <w:sz w:val="30"/>
          <w:szCs w:val="30"/>
          <w:lang w:eastAsia="zh-CN"/>
        </w:rPr>
        <w:t>东</w:t>
      </w:r>
      <w:r>
        <w:rPr>
          <w:rFonts w:hint="eastAsia" w:ascii="仿宋_GB2312" w:hAnsi="微软雅黑" w:eastAsia="仿宋_GB2312" w:cs="宋体"/>
          <w:color w:val="313131"/>
          <w:kern w:val="0"/>
          <w:sz w:val="30"/>
          <w:szCs w:val="30"/>
        </w:rPr>
        <w:t>4个维护所。中心现有职工</w:t>
      </w:r>
      <w:r>
        <w:rPr>
          <w:rFonts w:hint="eastAsia" w:ascii="仿宋_GB2312" w:hAnsi="微软雅黑" w:eastAsia="仿宋_GB2312" w:cs="宋体"/>
          <w:b w:val="0"/>
          <w:bCs w:val="0"/>
          <w:color w:val="313131"/>
          <w:kern w:val="0"/>
          <w:sz w:val="30"/>
          <w:szCs w:val="30"/>
          <w:lang w:val="en-US" w:eastAsia="zh-CN"/>
        </w:rPr>
        <w:t>99</w:t>
      </w:r>
      <w:r>
        <w:rPr>
          <w:rFonts w:hint="eastAsia" w:ascii="仿宋_GB2312" w:hAnsi="微软雅黑" w:eastAsia="仿宋_GB2312" w:cs="宋体"/>
          <w:color w:val="313131"/>
          <w:kern w:val="0"/>
          <w:sz w:val="30"/>
          <w:szCs w:val="30"/>
        </w:rPr>
        <w:t>人，其中在职人员5</w:t>
      </w:r>
      <w:r>
        <w:rPr>
          <w:rFonts w:hint="eastAsia" w:ascii="仿宋_GB2312" w:hAnsi="微软雅黑" w:eastAsia="仿宋_GB2312" w:cs="宋体"/>
          <w:color w:val="313131"/>
          <w:kern w:val="0"/>
          <w:sz w:val="30"/>
          <w:szCs w:val="30"/>
          <w:lang w:val="en-US" w:eastAsia="zh-CN"/>
        </w:rPr>
        <w:t>2</w:t>
      </w:r>
      <w:r>
        <w:rPr>
          <w:rFonts w:hint="eastAsia" w:ascii="仿宋_GB2312" w:hAnsi="微软雅黑" w:eastAsia="仿宋_GB2312" w:cs="宋体"/>
          <w:color w:val="313131"/>
          <w:kern w:val="0"/>
          <w:sz w:val="30"/>
          <w:szCs w:val="30"/>
        </w:rPr>
        <w:t>人（含人才引进1人），退休人员4</w:t>
      </w:r>
      <w:r>
        <w:rPr>
          <w:rFonts w:hint="eastAsia" w:ascii="仿宋_GB2312" w:hAnsi="微软雅黑" w:eastAsia="仿宋_GB2312" w:cs="宋体"/>
          <w:color w:val="313131"/>
          <w:kern w:val="0"/>
          <w:sz w:val="30"/>
          <w:szCs w:val="30"/>
          <w:lang w:val="en-US" w:eastAsia="zh-CN"/>
        </w:rPr>
        <w:t>7</w:t>
      </w:r>
      <w:r>
        <w:rPr>
          <w:rFonts w:hint="eastAsia" w:ascii="仿宋_GB2312" w:hAnsi="微软雅黑" w:eastAsia="仿宋_GB2312" w:cs="宋体"/>
          <w:color w:val="313131"/>
          <w:kern w:val="0"/>
          <w:sz w:val="30"/>
          <w:szCs w:val="30"/>
        </w:rPr>
        <w:t>人，另有政府雇员20人和维护作业人员</w:t>
      </w:r>
      <w:r>
        <w:rPr>
          <w:rFonts w:hint="eastAsia" w:ascii="仿宋_GB2312" w:hAnsi="微软雅黑" w:eastAsia="仿宋_GB2312" w:cs="宋体"/>
          <w:color w:val="313131"/>
          <w:kern w:val="0"/>
          <w:sz w:val="30"/>
          <w:szCs w:val="30"/>
          <w:lang w:val="en-US" w:eastAsia="zh-CN"/>
        </w:rPr>
        <w:t>277</w:t>
      </w:r>
      <w:r>
        <w:rPr>
          <w:rFonts w:hint="eastAsia" w:ascii="仿宋_GB2312" w:hAnsi="微软雅黑" w:eastAsia="仿宋_GB2312" w:cs="宋体"/>
          <w:color w:val="313131"/>
          <w:kern w:val="0"/>
          <w:sz w:val="30"/>
          <w:szCs w:val="30"/>
        </w:rPr>
        <w:t>人。我中心经费主要来源为市、区两级政府拨款。</w:t>
      </w:r>
    </w:p>
    <w:p>
      <w:pPr>
        <w:widowControl/>
        <w:shd w:val="clear" w:color="auto" w:fill="FFFFFF"/>
        <w:ind w:firstLine="602" w:firstLineChars="200"/>
        <w:jc w:val="left"/>
        <w:rPr>
          <w:rFonts w:ascii="仿宋_GB2312" w:hAnsi="微软雅黑" w:eastAsia="仿宋_GB2312" w:cs="宋体"/>
          <w:color w:val="313131"/>
          <w:kern w:val="0"/>
          <w:sz w:val="30"/>
          <w:szCs w:val="30"/>
        </w:rPr>
      </w:pPr>
      <w:r>
        <w:rPr>
          <w:rFonts w:hint="eastAsia" w:ascii="仿宋_GB2312" w:hAnsi="微软雅黑" w:eastAsia="仿宋_GB2312" w:cs="宋体"/>
          <w:b/>
          <w:color w:val="313131"/>
          <w:kern w:val="0"/>
          <w:sz w:val="30"/>
          <w:szCs w:val="30"/>
        </w:rPr>
        <w:t>1.主要职责职能</w:t>
      </w:r>
      <w:r>
        <w:rPr>
          <w:rFonts w:hint="eastAsia" w:ascii="仿宋_GB2312" w:hAnsi="微软雅黑" w:eastAsia="仿宋_GB2312" w:cs="宋体"/>
          <w:color w:val="313131"/>
          <w:kern w:val="0"/>
          <w:sz w:val="30"/>
          <w:szCs w:val="30"/>
        </w:rPr>
        <w:t>：</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（1）负责贯彻落实中央、省、市有关城市园林绿化法律、法规。</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（2）对公共道路绿化、公园、社区公园及其设施进行维护（维修）。</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（3）负责城区公园、绿地建设。</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（4）指导辖区单位开展园林绿化工作，负责辖区绿地的核查、统计，新增绿地的申报。</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（5）负责辖区内古树名木的管理和保护，组织辖区全民义务植树。</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（6）负责按照相关规定办理树木移植、修枝、砍伐、绿地占用手续的查勘工作及绿化工程的设计审查、移交、验收的技术性工作。</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（7）完成上级交办的其他任务。</w:t>
      </w:r>
    </w:p>
    <w:p>
      <w:pPr>
        <w:ind w:firstLine="602" w:firstLineChars="200"/>
        <w:rPr>
          <w:rFonts w:hint="default"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2.2022年重大工作计划</w:t>
      </w:r>
    </w:p>
    <w:p>
      <w:pPr>
        <w:widowControl/>
        <w:shd w:val="clear" w:color="auto" w:fill="FFFFFF"/>
        <w:ind w:firstLine="748"/>
        <w:jc w:val="left"/>
        <w:rPr>
          <w:rFonts w:hint="eastAsia" w:ascii="仿宋_GB2312" w:hAnsi="微软雅黑" w:eastAsia="仿宋_GB2312" w:cs="宋体"/>
          <w:color w:val="313131"/>
          <w:kern w:val="0"/>
          <w:sz w:val="30"/>
          <w:szCs w:val="30"/>
          <w:lang w:val="en-US" w:eastAsia="zh-CN"/>
        </w:rPr>
      </w:pPr>
      <w:r>
        <w:rPr>
          <w:rFonts w:hint="eastAsia" w:ascii="仿宋_GB2312" w:hAnsi="微软雅黑" w:eastAsia="仿宋_GB2312" w:cs="宋体"/>
          <w:color w:val="313131"/>
          <w:kern w:val="0"/>
          <w:sz w:val="30"/>
          <w:szCs w:val="30"/>
          <w:lang w:val="en-US" w:eastAsia="zh-CN"/>
        </w:rPr>
        <w:t>（1）重大节会花化彩化。围绕</w:t>
      </w:r>
      <w:r>
        <w:rPr>
          <w:rFonts w:hint="eastAsia" w:ascii="仿宋_GB2312" w:hAnsi="微软雅黑" w:eastAsia="仿宋_GB2312" w:cs="宋体"/>
          <w:color w:val="313131"/>
          <w:kern w:val="0"/>
          <w:sz w:val="30"/>
          <w:szCs w:val="30"/>
          <w:lang w:val="zh-CN" w:eastAsia="zh-CN"/>
        </w:rPr>
        <w:t>重大节会，对辖区</w:t>
      </w:r>
      <w:r>
        <w:rPr>
          <w:rFonts w:hint="eastAsia" w:ascii="仿宋_GB2312" w:hAnsi="微软雅黑" w:eastAsia="仿宋_GB2312" w:cs="宋体"/>
          <w:color w:val="313131"/>
          <w:kern w:val="0"/>
          <w:sz w:val="30"/>
          <w:szCs w:val="30"/>
          <w:lang w:val="en-US" w:eastAsia="zh-CN"/>
        </w:rPr>
        <w:t>重要道路和</w:t>
      </w:r>
      <w:r>
        <w:rPr>
          <w:rFonts w:hint="eastAsia" w:ascii="仿宋_GB2312" w:hAnsi="微软雅黑" w:eastAsia="仿宋_GB2312" w:cs="宋体"/>
          <w:color w:val="313131"/>
          <w:kern w:val="0"/>
          <w:sz w:val="30"/>
          <w:szCs w:val="30"/>
          <w:lang w:val="zh-CN" w:eastAsia="zh-CN"/>
        </w:rPr>
        <w:t>重要区域周边开展花化彩化，</w:t>
      </w:r>
      <w:r>
        <w:rPr>
          <w:rFonts w:hint="eastAsia" w:ascii="仿宋_GB2312" w:hAnsi="微软雅黑" w:eastAsia="仿宋_GB2312" w:cs="宋体"/>
          <w:color w:val="313131"/>
          <w:kern w:val="0"/>
          <w:sz w:val="30"/>
          <w:szCs w:val="30"/>
        </w:rPr>
        <w:t>布置</w:t>
      </w:r>
      <w:r>
        <w:rPr>
          <w:rFonts w:hint="eastAsia" w:ascii="仿宋_GB2312" w:hAnsi="微软雅黑" w:eastAsia="仿宋_GB2312" w:cs="宋体"/>
          <w:color w:val="313131"/>
          <w:kern w:val="0"/>
          <w:sz w:val="30"/>
          <w:szCs w:val="30"/>
          <w:lang w:eastAsia="zh-CN"/>
        </w:rPr>
        <w:t>时令鲜花</w:t>
      </w:r>
      <w:r>
        <w:rPr>
          <w:rFonts w:hint="eastAsia" w:ascii="仿宋_GB2312" w:hAnsi="微软雅黑" w:eastAsia="仿宋_GB2312" w:cs="宋体"/>
          <w:color w:val="313131"/>
          <w:kern w:val="0"/>
          <w:sz w:val="30"/>
          <w:szCs w:val="30"/>
          <w:lang w:val="en-US" w:eastAsia="zh-CN"/>
        </w:rPr>
        <w:t>，营造热烈浓厚的氛围，展现雨花精致精美的</w:t>
      </w:r>
      <w:r>
        <w:rPr>
          <w:rFonts w:hint="eastAsia" w:ascii="仿宋_GB2312" w:hAnsi="微软雅黑" w:eastAsia="仿宋_GB2312" w:cs="宋体"/>
          <w:color w:val="313131"/>
          <w:kern w:val="0"/>
          <w:sz w:val="30"/>
          <w:szCs w:val="30"/>
          <w:lang w:eastAsia="zh-CN"/>
        </w:rPr>
        <w:t>绿化面貌</w:t>
      </w:r>
      <w:r>
        <w:rPr>
          <w:rFonts w:hint="eastAsia" w:ascii="仿宋_GB2312" w:hAnsi="微软雅黑" w:eastAsia="仿宋_GB2312" w:cs="宋体"/>
          <w:color w:val="313131"/>
          <w:kern w:val="0"/>
          <w:sz w:val="30"/>
          <w:szCs w:val="30"/>
          <w:lang w:val="en-US" w:eastAsia="zh-CN"/>
        </w:rPr>
        <w:t>。</w:t>
      </w:r>
    </w:p>
    <w:p>
      <w:pPr>
        <w:widowControl/>
        <w:shd w:val="clear" w:color="auto" w:fill="FFFFFF"/>
        <w:ind w:firstLine="748"/>
        <w:jc w:val="left"/>
        <w:rPr>
          <w:rFonts w:hint="eastAsia" w:ascii="仿宋_GB2312" w:hAnsi="微软雅黑" w:eastAsia="仿宋_GB2312" w:cs="宋体"/>
          <w:color w:val="313131"/>
          <w:kern w:val="0"/>
          <w:sz w:val="30"/>
          <w:szCs w:val="30"/>
          <w:lang w:val="en-US" w:eastAsia="zh-CN"/>
        </w:rPr>
      </w:pPr>
      <w:r>
        <w:rPr>
          <w:rFonts w:hint="eastAsia" w:ascii="仿宋_GB2312" w:hAnsi="微软雅黑" w:eastAsia="仿宋_GB2312" w:cs="宋体"/>
          <w:color w:val="313131"/>
          <w:kern w:val="0"/>
          <w:sz w:val="30"/>
          <w:szCs w:val="30"/>
          <w:lang w:val="en-US" w:eastAsia="zh-CN"/>
        </w:rPr>
        <w:t>（2）轨道交通7号线树木迁移。全力支持轨道交通7号线建设，配合做好雨花区段涉及11个站台的树木迁移。</w:t>
      </w:r>
    </w:p>
    <w:p>
      <w:pPr>
        <w:widowControl/>
        <w:shd w:val="clear" w:color="auto" w:fill="FFFFFF"/>
        <w:ind w:firstLine="748"/>
        <w:jc w:val="left"/>
        <w:rPr>
          <w:rFonts w:hint="eastAsia" w:ascii="仿宋_GB2312" w:hAnsi="微软雅黑" w:eastAsia="仿宋_GB2312" w:cs="宋体"/>
          <w:color w:val="313131"/>
          <w:kern w:val="0"/>
          <w:sz w:val="30"/>
          <w:szCs w:val="30"/>
          <w:lang w:val="en-US" w:eastAsia="zh-CN"/>
        </w:rPr>
      </w:pPr>
      <w:r>
        <w:rPr>
          <w:rFonts w:hint="eastAsia" w:ascii="仿宋_GB2312" w:hAnsi="微软雅黑" w:eastAsia="仿宋_GB2312" w:cs="宋体"/>
          <w:color w:val="313131"/>
          <w:kern w:val="0"/>
          <w:sz w:val="30"/>
          <w:szCs w:val="30"/>
          <w:lang w:val="en-US" w:eastAsia="zh-CN"/>
        </w:rPr>
        <w:t>（3）落实综合性公园体制改革。牵头协调、全力推进桂花公园管理处、沙湾公园管理处改革任务，进一步挖掘公园的经营创收能力，激发干部职工的工作积极性，增强队伍的凝聚力和归属感。</w:t>
      </w:r>
    </w:p>
    <w:p>
      <w:pPr>
        <w:widowControl/>
        <w:shd w:val="clear" w:color="auto" w:fill="FFFFFF"/>
        <w:ind w:firstLine="748"/>
        <w:jc w:val="left"/>
        <w:rPr>
          <w:rFonts w:hint="eastAsia" w:ascii="仿宋_GB2312" w:hAnsi="微软雅黑" w:eastAsia="仿宋_GB2312" w:cs="宋体"/>
          <w:color w:val="313131"/>
          <w:kern w:val="0"/>
          <w:sz w:val="30"/>
          <w:szCs w:val="30"/>
          <w:lang w:val="en-US" w:eastAsia="zh-CN"/>
        </w:rPr>
      </w:pPr>
      <w:r>
        <w:rPr>
          <w:rFonts w:hint="eastAsia" w:ascii="仿宋_GB2312" w:hAnsi="微软雅黑" w:eastAsia="仿宋_GB2312" w:cs="宋体"/>
          <w:color w:val="313131"/>
          <w:kern w:val="0"/>
          <w:sz w:val="30"/>
          <w:szCs w:val="30"/>
          <w:lang w:val="en-US" w:eastAsia="zh-CN"/>
        </w:rPr>
        <w:t>（4）安装高压喷淋设施。根据市、区蓝天办的安排，在辖区内高速出入口、重要路段、人行天桥等15处点位安装高压喷淋设施，助力全区空气优良天数比例不低于83.6%的指标达标。</w:t>
      </w:r>
    </w:p>
    <w:p>
      <w:pPr>
        <w:widowControl/>
        <w:shd w:val="clear" w:color="auto" w:fill="FFFFFF"/>
        <w:ind w:firstLine="748"/>
        <w:jc w:val="left"/>
        <w:rPr>
          <w:rFonts w:hint="eastAsia" w:ascii="仿宋_GB2312" w:hAnsi="微软雅黑" w:eastAsia="仿宋_GB2312" w:cs="宋体"/>
          <w:color w:val="313131"/>
          <w:kern w:val="0"/>
          <w:sz w:val="30"/>
          <w:szCs w:val="30"/>
          <w:lang w:val="en-US" w:eastAsia="zh-CN"/>
        </w:rPr>
      </w:pPr>
      <w:r>
        <w:rPr>
          <w:rFonts w:hint="eastAsia" w:ascii="仿宋_GB2312" w:hAnsi="微软雅黑" w:eastAsia="仿宋_GB2312" w:cs="宋体"/>
          <w:color w:val="313131"/>
          <w:kern w:val="0"/>
          <w:sz w:val="30"/>
          <w:szCs w:val="30"/>
          <w:lang w:val="en-US" w:eastAsia="zh-CN"/>
        </w:rPr>
        <w:t>（5）创市级“人民满意公园”。桂花公园管理处狮子山园区成功创建“长沙市人民满意公园”。</w:t>
      </w:r>
    </w:p>
    <w:p>
      <w:pPr>
        <w:widowControl/>
        <w:shd w:val="clear" w:color="auto" w:fill="FFFFFF"/>
        <w:ind w:firstLine="748"/>
        <w:jc w:val="left"/>
        <w:rPr>
          <w:rFonts w:hint="eastAsia" w:ascii="仿宋_GB2312" w:hAnsi="微软雅黑" w:eastAsia="仿宋_GB2312" w:cs="宋体"/>
          <w:color w:val="313131"/>
          <w:kern w:val="0"/>
          <w:sz w:val="30"/>
          <w:szCs w:val="30"/>
          <w:lang w:val="en-US" w:eastAsia="zh-CN"/>
        </w:rPr>
      </w:pPr>
      <w:r>
        <w:rPr>
          <w:rFonts w:hint="eastAsia" w:ascii="仿宋_GB2312" w:hAnsi="微软雅黑" w:eastAsia="仿宋_GB2312" w:cs="宋体"/>
          <w:color w:val="313131"/>
          <w:kern w:val="0"/>
          <w:sz w:val="30"/>
          <w:szCs w:val="30"/>
          <w:lang w:val="en-US" w:eastAsia="zh-CN"/>
        </w:rPr>
        <w:t>（6）全面核实雨花绿量。认真准备资料积极配合市财评对雨花区近年增加的绿化面积分类进行核实。</w:t>
      </w:r>
    </w:p>
    <w:p>
      <w:pPr>
        <w:widowControl/>
        <w:shd w:val="clear" w:color="auto" w:fill="FFFFFF"/>
        <w:ind w:firstLine="602" w:firstLineChars="200"/>
        <w:rPr>
          <w:rFonts w:hint="eastAsia" w:ascii="楷体_GB2312" w:hAnsi="楷体_GB2312" w:eastAsia="楷体_GB2312" w:cs="楷体_GB2312"/>
          <w:b w:val="0"/>
          <w:bCs w:val="0"/>
          <w:sz w:val="30"/>
          <w:szCs w:val="30"/>
        </w:rPr>
      </w:pPr>
      <w:r>
        <w:rPr>
          <w:rFonts w:hint="eastAsia" w:ascii="楷体_GB2312" w:hAnsi="楷体_GB2312" w:eastAsia="楷体_GB2312" w:cs="楷体_GB2312"/>
          <w:b/>
          <w:bCs/>
          <w:sz w:val="30"/>
          <w:szCs w:val="30"/>
        </w:rPr>
        <w:t>（二）部门整体支出规模、使用方向和主要内容、涉及 范围等。</w:t>
      </w:r>
      <w:r>
        <w:rPr>
          <w:rFonts w:hint="eastAsia" w:ascii="楷体_GB2312" w:hAnsi="楷体_GB2312" w:eastAsia="楷体_GB2312" w:cs="楷体_GB2312"/>
          <w:b w:val="0"/>
          <w:bCs w:val="0"/>
          <w:sz w:val="30"/>
          <w:szCs w:val="30"/>
        </w:rPr>
        <w:t xml:space="preserve"> </w:t>
      </w:r>
    </w:p>
    <w:p>
      <w:pPr>
        <w:pStyle w:val="7"/>
        <w:rPr>
          <w:rFonts w:hint="eastAsia" w:ascii="仿宋_GB2312" w:eastAsia="仿宋_GB2312"/>
          <w:sz w:val="30"/>
          <w:szCs w:val="30"/>
          <w:lang w:val="en-US" w:eastAsia="zh-CN"/>
        </w:rPr>
      </w:pPr>
      <w:r>
        <w:rPr>
          <w:rFonts w:hint="eastAsia" w:ascii="仿宋_GB2312" w:eastAsia="仿宋_GB2312"/>
          <w:sz w:val="30"/>
          <w:szCs w:val="30"/>
          <w:lang w:val="en-US" w:eastAsia="zh-CN"/>
        </w:rPr>
        <w:t>2022年我部门本级总收入7242.75万元，其中财政拨款收入7242.75万元、经营收入0万元、其他收入0万元。总支出7242.75万元，其中基本支出2056.60万元  项目支出5186.15万元。</w:t>
      </w:r>
    </w:p>
    <w:p>
      <w:pPr>
        <w:pStyle w:val="7"/>
        <w:rPr>
          <w:rFonts w:hint="eastAsia" w:ascii="仿宋_GB2312" w:eastAsia="仿宋_GB2312"/>
          <w:sz w:val="30"/>
          <w:szCs w:val="30"/>
          <w:lang w:val="en-US" w:eastAsia="zh-CN"/>
        </w:rPr>
      </w:pPr>
      <w:r>
        <w:rPr>
          <w:rFonts w:hint="eastAsia" w:ascii="仿宋_GB2312" w:eastAsia="仿宋_GB2312"/>
          <w:sz w:val="30"/>
          <w:szCs w:val="30"/>
          <w:lang w:val="en-US" w:eastAsia="zh-CN"/>
        </w:rPr>
        <w:t>“基本支出”核算的主要内容是在职人员工资、社会保障缴费、临时工工资、退休人员退休费以及保障机关正常运转完成日常工作任务而发生的商品和服务支出。</w:t>
      </w:r>
    </w:p>
    <w:p>
      <w:pPr>
        <w:pStyle w:val="7"/>
        <w:rPr>
          <w:rFonts w:hint="eastAsia" w:ascii="仿宋_GB2312" w:hAnsi="Times New Roman" w:eastAsia="仿宋_GB2312" w:cs="Times New Roman"/>
          <w:sz w:val="30"/>
          <w:szCs w:val="30"/>
          <w:lang w:val="en-US" w:eastAsia="zh-CN"/>
        </w:rPr>
      </w:pPr>
      <w:r>
        <w:rPr>
          <w:rFonts w:hint="eastAsia" w:ascii="仿宋_GB2312" w:eastAsia="仿宋_GB2312"/>
          <w:sz w:val="30"/>
          <w:szCs w:val="30"/>
          <w:lang w:val="en-US" w:eastAsia="zh-CN"/>
        </w:rPr>
        <w:t>“项目支出”核算的主要内容是我中心</w:t>
      </w:r>
      <w:r>
        <w:rPr>
          <w:rFonts w:hint="eastAsia" w:ascii="仿宋_GB2312" w:hAnsi="Times New Roman" w:eastAsia="仿宋_GB2312" w:cs="Times New Roman"/>
          <w:sz w:val="30"/>
          <w:szCs w:val="30"/>
          <w:lang w:val="en-US" w:eastAsia="zh-CN"/>
        </w:rPr>
        <w:t>维护业务工作专项资金及工程建设专项资金。</w:t>
      </w:r>
    </w:p>
    <w:p>
      <w:pPr>
        <w:ind w:firstLine="602" w:firstLineChars="200"/>
        <w:rPr>
          <w:rFonts w:hint="eastAsia" w:ascii="仿宋_GB2312" w:eastAsia="仿宋_GB2312"/>
          <w:b/>
          <w:sz w:val="30"/>
          <w:szCs w:val="30"/>
        </w:rPr>
      </w:pPr>
      <w:r>
        <w:rPr>
          <w:rFonts w:hint="eastAsia" w:ascii="黑体" w:hAnsi="黑体" w:eastAsia="黑体" w:cs="黑体"/>
          <w:b/>
          <w:sz w:val="30"/>
          <w:szCs w:val="30"/>
        </w:rPr>
        <w:t>二、部门整体支出管理及使用情况</w:t>
      </w:r>
      <w:r>
        <w:rPr>
          <w:rFonts w:hint="eastAsia" w:ascii="仿宋_GB2312" w:eastAsia="仿宋_GB2312"/>
          <w:b/>
          <w:sz w:val="30"/>
          <w:szCs w:val="30"/>
        </w:rPr>
        <w:t xml:space="preserve"> </w:t>
      </w:r>
    </w:p>
    <w:p>
      <w:pPr>
        <w:ind w:firstLine="602" w:firstLineChars="200"/>
        <w:rPr>
          <w:rFonts w:hint="eastAsia" w:ascii="仿宋_GB2312" w:eastAsia="仿宋_GB2312"/>
          <w:sz w:val="30"/>
          <w:szCs w:val="30"/>
        </w:rPr>
      </w:pPr>
      <w:r>
        <w:rPr>
          <w:rFonts w:hint="eastAsia" w:ascii="楷体_GB2312" w:hAnsi="楷体_GB2312" w:eastAsia="楷体_GB2312" w:cs="楷体_GB2312"/>
          <w:b/>
          <w:bCs/>
          <w:sz w:val="30"/>
          <w:szCs w:val="30"/>
        </w:rPr>
        <w:t>（一）基本支出 介绍基本支出的主要用途、范围以及资金的管理情况， 尤其是“三公”经费的使用和管理情况。</w:t>
      </w:r>
    </w:p>
    <w:p>
      <w:pPr>
        <w:ind w:firstLine="600" w:firstLineChars="200"/>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rPr>
        <w:t xml:space="preserve"> 1.基本支出：是指为保障单位机构正常运转、完成日常工作任务而发生的各项支出。</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 xml:space="preserve">  202</w:t>
      </w:r>
      <w:r>
        <w:rPr>
          <w:rFonts w:hint="eastAsia" w:ascii="仿宋_GB2312" w:hAnsi="Times New Roman" w:eastAsia="仿宋_GB2312" w:cs="Times New Roman"/>
          <w:sz w:val="30"/>
          <w:szCs w:val="30"/>
          <w:lang w:val="en-US" w:eastAsia="zh-CN"/>
        </w:rPr>
        <w:t>2</w:t>
      </w:r>
      <w:r>
        <w:rPr>
          <w:rFonts w:hint="eastAsia" w:ascii="仿宋_GB2312" w:hAnsi="Times New Roman" w:eastAsia="仿宋_GB2312" w:cs="Times New Roman"/>
          <w:sz w:val="30"/>
          <w:szCs w:val="30"/>
        </w:rPr>
        <w:t>年度我中心预算支出年初预算为</w:t>
      </w:r>
      <w:r>
        <w:rPr>
          <w:rFonts w:hint="eastAsia" w:ascii="仿宋_GB2312" w:hAnsi="Times New Roman" w:eastAsia="仿宋_GB2312" w:cs="Times New Roman"/>
          <w:sz w:val="30"/>
          <w:szCs w:val="30"/>
          <w:lang w:val="en-US" w:eastAsia="zh-CN"/>
        </w:rPr>
        <w:t>5614.58</w:t>
      </w:r>
      <w:r>
        <w:rPr>
          <w:rFonts w:hint="eastAsia" w:ascii="仿宋_GB2312" w:hAnsi="Times New Roman" w:eastAsia="仿宋_GB2312" w:cs="Times New Roman"/>
          <w:sz w:val="30"/>
          <w:szCs w:val="30"/>
        </w:rPr>
        <w:t>万元，其中基本支出年初预算</w:t>
      </w:r>
      <w:r>
        <w:rPr>
          <w:rFonts w:hint="eastAsia" w:ascii="仿宋_GB2312" w:hAnsi="Times New Roman" w:eastAsia="仿宋_GB2312" w:cs="Times New Roman"/>
          <w:sz w:val="30"/>
          <w:szCs w:val="30"/>
          <w:lang w:val="en-US" w:eastAsia="zh-CN"/>
        </w:rPr>
        <w:t>1949.2</w:t>
      </w:r>
      <w:r>
        <w:rPr>
          <w:rFonts w:hint="eastAsia" w:ascii="仿宋_GB2312" w:hAnsi="Times New Roman" w:eastAsia="仿宋_GB2312" w:cs="Times New Roman"/>
          <w:sz w:val="30"/>
          <w:szCs w:val="30"/>
        </w:rPr>
        <w:t>万元。</w:t>
      </w:r>
      <w:r>
        <w:rPr>
          <w:rFonts w:hint="eastAsia" w:ascii="仿宋_GB2312" w:hAnsi="Times New Roman" w:eastAsia="仿宋_GB2312" w:cs="Times New Roman"/>
          <w:sz w:val="30"/>
          <w:szCs w:val="30"/>
          <w:lang w:eastAsia="zh-CN"/>
        </w:rPr>
        <w:t>截至</w:t>
      </w:r>
      <w:r>
        <w:rPr>
          <w:rFonts w:hint="eastAsia" w:ascii="仿宋_GB2312" w:hAnsi="Times New Roman" w:eastAsia="仿宋_GB2312" w:cs="Times New Roman"/>
          <w:sz w:val="30"/>
          <w:szCs w:val="30"/>
        </w:rPr>
        <w:t>202</w:t>
      </w:r>
      <w:r>
        <w:rPr>
          <w:rFonts w:hint="eastAsia" w:ascii="仿宋_GB2312" w:hAnsi="Times New Roman" w:eastAsia="仿宋_GB2312" w:cs="Times New Roman"/>
          <w:sz w:val="30"/>
          <w:szCs w:val="30"/>
          <w:lang w:val="en-US" w:eastAsia="zh-CN"/>
        </w:rPr>
        <w:t>2</w:t>
      </w:r>
      <w:r>
        <w:rPr>
          <w:rFonts w:hint="eastAsia" w:ascii="仿宋_GB2312" w:hAnsi="Times New Roman" w:eastAsia="仿宋_GB2312" w:cs="Times New Roman"/>
          <w:sz w:val="30"/>
          <w:szCs w:val="30"/>
        </w:rPr>
        <w:t>年12月31日我中心工资福利支出实际支出</w:t>
      </w:r>
      <w:r>
        <w:rPr>
          <w:rFonts w:hint="eastAsia" w:ascii="仿宋_GB2312" w:hAnsi="Times New Roman" w:eastAsia="仿宋_GB2312" w:cs="Times New Roman"/>
          <w:sz w:val="30"/>
          <w:szCs w:val="30"/>
          <w:lang w:val="en-US" w:eastAsia="zh-CN"/>
        </w:rPr>
        <w:t>1479.76</w:t>
      </w:r>
      <w:r>
        <w:rPr>
          <w:rFonts w:hint="eastAsia" w:ascii="仿宋_GB2312" w:hAnsi="Times New Roman" w:eastAsia="仿宋_GB2312" w:cs="Times New Roman"/>
          <w:sz w:val="30"/>
          <w:szCs w:val="30"/>
        </w:rPr>
        <w:t>万元，商品服务支出实际支出</w:t>
      </w:r>
      <w:r>
        <w:rPr>
          <w:rFonts w:hint="eastAsia" w:ascii="仿宋_GB2312" w:hAnsi="Times New Roman" w:eastAsia="仿宋_GB2312" w:cs="Times New Roman"/>
          <w:sz w:val="30"/>
          <w:szCs w:val="30"/>
          <w:lang w:val="en-US" w:eastAsia="zh-CN"/>
        </w:rPr>
        <w:t>125.27</w:t>
      </w:r>
      <w:r>
        <w:rPr>
          <w:rFonts w:hint="eastAsia" w:ascii="仿宋_GB2312" w:hAnsi="Times New Roman" w:eastAsia="仿宋_GB2312" w:cs="Times New Roman"/>
          <w:sz w:val="30"/>
          <w:szCs w:val="30"/>
        </w:rPr>
        <w:t>万元，对个人和家庭补助实际支出</w:t>
      </w:r>
      <w:r>
        <w:rPr>
          <w:rFonts w:hint="eastAsia" w:ascii="仿宋_GB2312" w:hAnsi="Times New Roman" w:eastAsia="仿宋_GB2312" w:cs="Times New Roman"/>
          <w:sz w:val="30"/>
          <w:szCs w:val="30"/>
          <w:lang w:val="en-US" w:eastAsia="zh-CN"/>
        </w:rPr>
        <w:t>451.57</w:t>
      </w:r>
      <w:r>
        <w:rPr>
          <w:rFonts w:hint="eastAsia" w:ascii="仿宋_GB2312" w:hAnsi="Times New Roman" w:eastAsia="仿宋_GB2312" w:cs="Times New Roman"/>
          <w:sz w:val="30"/>
          <w:szCs w:val="30"/>
        </w:rPr>
        <w:t>万元。</w:t>
      </w:r>
    </w:p>
    <w:p>
      <w:pPr>
        <w:ind w:firstLine="600" w:firstLineChars="200"/>
        <w:rPr>
          <w:rFonts w:hint="eastAsia" w:ascii="仿宋_GB2312" w:eastAsia="仿宋_GB2312"/>
          <w:sz w:val="30"/>
          <w:szCs w:val="30"/>
        </w:rPr>
      </w:pPr>
      <w:r>
        <w:rPr>
          <w:rFonts w:hint="eastAsia" w:ascii="仿宋_GB2312" w:hAnsi="Times New Roman" w:eastAsia="仿宋_GB2312" w:cs="Times New Roman"/>
          <w:sz w:val="30"/>
          <w:szCs w:val="30"/>
        </w:rPr>
        <w:t xml:space="preserve">详见下表：  </w:t>
      </w:r>
      <w:r>
        <w:rPr>
          <w:rFonts w:hint="eastAsia" w:ascii="仿宋_GB2312" w:eastAsia="仿宋_GB2312"/>
          <w:sz w:val="30"/>
          <w:szCs w:val="30"/>
        </w:rPr>
        <w:t xml:space="preserve">                               </w:t>
      </w:r>
    </w:p>
    <w:tbl>
      <w:tblPr>
        <w:tblStyle w:val="12"/>
        <w:tblpPr w:leftFromText="180" w:rightFromText="180" w:vertAnchor="text" w:horzAnchor="page" w:tblpX="1773" w:tblpY="744"/>
        <w:tblOverlap w:val="never"/>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2171"/>
        <w:gridCol w:w="1261"/>
        <w:gridCol w:w="1246"/>
        <w:gridCol w:w="1581"/>
        <w:gridCol w:w="163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17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预算项目</w:t>
            </w:r>
          </w:p>
        </w:tc>
        <w:tc>
          <w:tcPr>
            <w:tcW w:w="126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本年预算</w:t>
            </w:r>
          </w:p>
        </w:tc>
        <w:tc>
          <w:tcPr>
            <w:tcW w:w="124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本年追加</w:t>
            </w:r>
          </w:p>
        </w:tc>
        <w:tc>
          <w:tcPr>
            <w:tcW w:w="158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本年</w:t>
            </w:r>
            <w:r>
              <w:rPr>
                <w:rFonts w:hint="eastAsia" w:ascii="宋体" w:hAnsi="宋体" w:cs="宋体"/>
                <w:kern w:val="0"/>
                <w:sz w:val="18"/>
                <w:szCs w:val="18"/>
              </w:rPr>
              <w:t>实际支出</w:t>
            </w:r>
          </w:p>
        </w:tc>
        <w:tc>
          <w:tcPr>
            <w:tcW w:w="1638"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kern w:val="0"/>
                <w:sz w:val="18"/>
                <w:szCs w:val="18"/>
                <w:lang w:eastAsia="zh-CN"/>
              </w:rPr>
            </w:pPr>
            <w:r>
              <w:rPr>
                <w:rFonts w:hint="eastAsia" w:ascii="宋体" w:hAnsi="宋体" w:cs="宋体"/>
                <w:kern w:val="0"/>
                <w:sz w:val="18"/>
                <w:szCs w:val="18"/>
                <w:lang w:eastAsia="zh-CN"/>
              </w:rPr>
              <w:t>财政收回</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17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工资福利支出</w:t>
            </w:r>
          </w:p>
        </w:tc>
        <w:tc>
          <w:tcPr>
            <w:tcW w:w="126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1520.11</w:t>
            </w:r>
          </w:p>
        </w:tc>
        <w:tc>
          <w:tcPr>
            <w:tcW w:w="124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58.44</w:t>
            </w:r>
          </w:p>
        </w:tc>
        <w:tc>
          <w:tcPr>
            <w:tcW w:w="158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1479.76</w:t>
            </w:r>
          </w:p>
        </w:tc>
        <w:tc>
          <w:tcPr>
            <w:tcW w:w="1638"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98.79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17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商品服务支出</w:t>
            </w:r>
          </w:p>
        </w:tc>
        <w:tc>
          <w:tcPr>
            <w:tcW w:w="126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129.74</w:t>
            </w:r>
          </w:p>
        </w:tc>
        <w:tc>
          <w:tcPr>
            <w:tcW w:w="124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0.72</w:t>
            </w:r>
          </w:p>
        </w:tc>
        <w:tc>
          <w:tcPr>
            <w:tcW w:w="158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125.27</w:t>
            </w:r>
          </w:p>
        </w:tc>
        <w:tc>
          <w:tcPr>
            <w:tcW w:w="1638"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5.19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17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对个人和家庭补助</w:t>
            </w:r>
          </w:p>
        </w:tc>
        <w:tc>
          <w:tcPr>
            <w:tcW w:w="126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299.35</w:t>
            </w:r>
          </w:p>
        </w:tc>
        <w:tc>
          <w:tcPr>
            <w:tcW w:w="124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190.52</w:t>
            </w:r>
          </w:p>
        </w:tc>
        <w:tc>
          <w:tcPr>
            <w:tcW w:w="158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451.57</w:t>
            </w:r>
          </w:p>
        </w:tc>
        <w:tc>
          <w:tcPr>
            <w:tcW w:w="1638"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38.3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17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合计</w:t>
            </w:r>
          </w:p>
        </w:tc>
        <w:tc>
          <w:tcPr>
            <w:tcW w:w="126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1949.2</w:t>
            </w:r>
          </w:p>
        </w:tc>
        <w:tc>
          <w:tcPr>
            <w:tcW w:w="124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249.68</w:t>
            </w:r>
          </w:p>
        </w:tc>
        <w:tc>
          <w:tcPr>
            <w:tcW w:w="158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2056.6</w:t>
            </w:r>
          </w:p>
        </w:tc>
        <w:tc>
          <w:tcPr>
            <w:tcW w:w="1638"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142.28</w:t>
            </w:r>
          </w:p>
        </w:tc>
      </w:tr>
    </w:tbl>
    <w:p>
      <w:pPr>
        <w:spacing w:line="520" w:lineRule="exact"/>
        <w:ind w:firstLine="5880" w:firstLineChars="2800"/>
        <w:jc w:val="left"/>
        <w:rPr>
          <w:rFonts w:ascii="仿宋_GB2312" w:eastAsia="仿宋_GB2312"/>
          <w:sz w:val="30"/>
          <w:szCs w:val="30"/>
        </w:rPr>
      </w:pPr>
      <w:r>
        <w:rPr>
          <w:rFonts w:ascii="宋体" w:hAnsi="宋体" w:cs="宋体"/>
          <w:color w:val="666666"/>
          <w:kern w:val="0"/>
          <w:szCs w:val="21"/>
        </w:rPr>
        <w:t>单位：万</w:t>
      </w:r>
      <w:r>
        <w:rPr>
          <w:rFonts w:hint="eastAsia" w:ascii="宋体" w:hAnsi="宋体" w:cs="宋体"/>
          <w:color w:val="666666"/>
          <w:kern w:val="0"/>
          <w:szCs w:val="21"/>
          <w:lang w:eastAsia="zh-CN"/>
        </w:rPr>
        <w:t>元</w:t>
      </w:r>
    </w:p>
    <w:p>
      <w:pPr>
        <w:rPr>
          <w:rFonts w:hint="eastAsia" w:ascii="仿宋_GB2312" w:hAnsi="Times New Roman" w:eastAsia="仿宋_GB2312" w:cs="Times New Roman"/>
          <w:sz w:val="30"/>
          <w:szCs w:val="30"/>
        </w:rPr>
      </w:pPr>
    </w:p>
    <w:p>
      <w:pPr>
        <w:ind w:firstLine="602"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b/>
          <w:bCs/>
          <w:sz w:val="30"/>
          <w:szCs w:val="30"/>
        </w:rPr>
        <w:t>2.“三公”经费使用管理情况</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202</w:t>
      </w:r>
      <w:r>
        <w:rPr>
          <w:rFonts w:hint="eastAsia" w:ascii="仿宋_GB2312" w:hAnsi="Times New Roman" w:eastAsia="仿宋_GB2312" w:cs="Times New Roman"/>
          <w:sz w:val="30"/>
          <w:szCs w:val="30"/>
          <w:lang w:val="en-US" w:eastAsia="zh-CN"/>
        </w:rPr>
        <w:t>2</w:t>
      </w:r>
      <w:r>
        <w:rPr>
          <w:rFonts w:hint="eastAsia" w:ascii="仿宋_GB2312" w:hAnsi="Times New Roman" w:eastAsia="仿宋_GB2312" w:cs="Times New Roman"/>
          <w:sz w:val="30"/>
          <w:szCs w:val="30"/>
        </w:rPr>
        <w:t>年“三公经费”支出0万元，其中公务用车运行维护费0万元，公务接待费0万元，因公出国费0万元。</w:t>
      </w:r>
      <w:r>
        <w:rPr>
          <w:rFonts w:hint="eastAsia" w:ascii="仿宋_GB2312" w:hAnsi="Times New Roman" w:eastAsia="仿宋_GB2312" w:cs="Times New Roman"/>
          <w:sz w:val="30"/>
          <w:szCs w:val="30"/>
          <w:lang w:eastAsia="zh-CN"/>
        </w:rPr>
        <w:t>与</w:t>
      </w:r>
      <w:r>
        <w:rPr>
          <w:rFonts w:hint="eastAsia" w:ascii="仿宋_GB2312" w:hAnsi="Times New Roman" w:eastAsia="仿宋_GB2312" w:cs="Times New Roman"/>
          <w:sz w:val="30"/>
          <w:szCs w:val="30"/>
        </w:rPr>
        <w:t>上年“三公经费”</w:t>
      </w:r>
      <w:r>
        <w:rPr>
          <w:rFonts w:hint="eastAsia" w:ascii="仿宋_GB2312" w:hAnsi="Times New Roman" w:eastAsia="仿宋_GB2312" w:cs="Times New Roman"/>
          <w:sz w:val="30"/>
          <w:szCs w:val="30"/>
          <w:lang w:eastAsia="zh-CN"/>
        </w:rPr>
        <w:t>持平</w:t>
      </w:r>
      <w:r>
        <w:rPr>
          <w:rFonts w:hint="eastAsia" w:ascii="仿宋_GB2312" w:hAnsi="Times New Roman" w:eastAsia="仿宋_GB2312" w:cs="Times New Roman"/>
          <w:sz w:val="30"/>
          <w:szCs w:val="30"/>
        </w:rPr>
        <w:t>。</w:t>
      </w:r>
    </w:p>
    <w:p>
      <w:pPr>
        <w:spacing w:line="520" w:lineRule="exact"/>
        <w:ind w:firstLine="600" w:firstLineChars="200"/>
        <w:jc w:val="left"/>
        <w:rPr>
          <w:rFonts w:hint="eastAsia" w:ascii="仿宋_GB2312" w:eastAsia="仿宋_GB2312"/>
          <w:sz w:val="30"/>
          <w:szCs w:val="30"/>
        </w:rPr>
      </w:pPr>
    </w:p>
    <w:tbl>
      <w:tblPr>
        <w:tblStyle w:val="12"/>
        <w:tblW w:w="8678"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2310"/>
        <w:gridCol w:w="1613"/>
        <w:gridCol w:w="1614"/>
        <w:gridCol w:w="1556"/>
        <w:gridCol w:w="158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678" w:type="dxa"/>
            <w:gridSpan w:val="5"/>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ascii="宋体" w:hAnsi="宋体" w:cs="宋体"/>
                <w:kern w:val="0"/>
                <w:sz w:val="18"/>
                <w:szCs w:val="18"/>
              </w:rPr>
            </w:pPr>
            <w:r>
              <w:rPr>
                <w:rFonts w:ascii="宋体" w:hAnsi="宋体" w:cs="宋体"/>
                <w:kern w:val="0"/>
                <w:sz w:val="18"/>
                <w:szCs w:val="18"/>
              </w:rPr>
              <w:t>三公经费明细表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310" w:type="dxa"/>
            <w:tcBorders>
              <w:top w:val="outset" w:color="000000" w:sz="6" w:space="0"/>
              <w:left w:val="outset" w:color="000000" w:sz="6" w:space="0"/>
              <w:bottom w:val="outset" w:color="000000" w:sz="6" w:space="0"/>
              <w:right w:val="outset" w:color="000000" w:sz="6" w:space="0"/>
            </w:tcBorders>
            <w:noWrap w:val="0"/>
            <w:vAlign w:val="center"/>
          </w:tcPr>
          <w:p>
            <w:pPr>
              <w:widowControl/>
              <w:jc w:val="left"/>
              <w:rPr>
                <w:rFonts w:ascii="宋体" w:hAnsi="宋体" w:cs="宋体"/>
                <w:kern w:val="0"/>
                <w:sz w:val="18"/>
                <w:szCs w:val="18"/>
              </w:rPr>
            </w:pPr>
          </w:p>
        </w:tc>
        <w:tc>
          <w:tcPr>
            <w:tcW w:w="1613" w:type="dxa"/>
            <w:tcBorders>
              <w:top w:val="outset" w:color="000000" w:sz="6" w:space="0"/>
              <w:left w:val="outset" w:color="000000" w:sz="6" w:space="0"/>
              <w:bottom w:val="outset" w:color="000000" w:sz="6" w:space="0"/>
              <w:right w:val="outset" w:color="000000" w:sz="6" w:space="0"/>
            </w:tcBorders>
            <w:noWrap w:val="0"/>
            <w:vAlign w:val="center"/>
          </w:tcPr>
          <w:p>
            <w:pPr>
              <w:widowControl/>
              <w:jc w:val="left"/>
              <w:rPr>
                <w:rFonts w:ascii="宋体" w:hAnsi="宋体" w:cs="宋体"/>
                <w:kern w:val="0"/>
                <w:sz w:val="18"/>
                <w:szCs w:val="18"/>
              </w:rPr>
            </w:pPr>
          </w:p>
        </w:tc>
        <w:tc>
          <w:tcPr>
            <w:tcW w:w="1614" w:type="dxa"/>
            <w:tcBorders>
              <w:top w:val="outset" w:color="000000" w:sz="6" w:space="0"/>
              <w:left w:val="outset" w:color="000000" w:sz="6" w:space="0"/>
              <w:bottom w:val="outset" w:color="000000" w:sz="6" w:space="0"/>
              <w:right w:val="outset" w:color="000000" w:sz="6" w:space="0"/>
            </w:tcBorders>
            <w:noWrap w:val="0"/>
            <w:vAlign w:val="center"/>
          </w:tcPr>
          <w:p>
            <w:pPr>
              <w:widowControl/>
              <w:jc w:val="left"/>
              <w:rPr>
                <w:rFonts w:ascii="宋体" w:hAnsi="宋体" w:cs="宋体"/>
                <w:kern w:val="0"/>
                <w:sz w:val="18"/>
                <w:szCs w:val="18"/>
              </w:rPr>
            </w:pPr>
          </w:p>
        </w:tc>
        <w:tc>
          <w:tcPr>
            <w:tcW w:w="1556" w:type="dxa"/>
            <w:tcBorders>
              <w:top w:val="outset" w:color="000000" w:sz="6" w:space="0"/>
              <w:left w:val="outset" w:color="000000" w:sz="6" w:space="0"/>
              <w:bottom w:val="outset" w:color="000000" w:sz="6" w:space="0"/>
              <w:right w:val="outset" w:color="000000" w:sz="6" w:space="0"/>
            </w:tcBorders>
            <w:noWrap w:val="0"/>
            <w:vAlign w:val="center"/>
          </w:tcPr>
          <w:p>
            <w:pPr>
              <w:widowControl/>
              <w:jc w:val="left"/>
              <w:rPr>
                <w:rFonts w:ascii="宋体" w:hAnsi="宋体" w:cs="宋体"/>
                <w:kern w:val="0"/>
                <w:sz w:val="18"/>
                <w:szCs w:val="18"/>
              </w:rPr>
            </w:pPr>
          </w:p>
        </w:tc>
        <w:tc>
          <w:tcPr>
            <w:tcW w:w="158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单位：万元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31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项目</w:t>
            </w:r>
          </w:p>
        </w:tc>
        <w:tc>
          <w:tcPr>
            <w:tcW w:w="161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20</w:t>
            </w:r>
            <w:r>
              <w:rPr>
                <w:rFonts w:hint="eastAsia" w:ascii="宋体" w:hAnsi="宋体" w:cs="宋体"/>
                <w:kern w:val="0"/>
                <w:sz w:val="18"/>
                <w:szCs w:val="18"/>
              </w:rPr>
              <w:t>2</w:t>
            </w:r>
            <w:r>
              <w:rPr>
                <w:rFonts w:hint="eastAsia" w:ascii="宋体" w:hAnsi="宋体" w:cs="宋体"/>
                <w:kern w:val="0"/>
                <w:sz w:val="18"/>
                <w:szCs w:val="18"/>
                <w:lang w:val="en-US" w:eastAsia="zh-CN"/>
              </w:rPr>
              <w:t>1</w:t>
            </w:r>
            <w:r>
              <w:rPr>
                <w:rFonts w:ascii="宋体" w:hAnsi="宋体" w:cs="宋体"/>
                <w:kern w:val="0"/>
                <w:sz w:val="18"/>
                <w:szCs w:val="18"/>
              </w:rPr>
              <w:t>年决算数</w:t>
            </w:r>
          </w:p>
        </w:tc>
        <w:tc>
          <w:tcPr>
            <w:tcW w:w="161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20</w:t>
            </w:r>
            <w:r>
              <w:rPr>
                <w:rFonts w:hint="eastAsia" w:ascii="宋体" w:hAnsi="宋体" w:cs="宋体"/>
                <w:kern w:val="0"/>
                <w:sz w:val="18"/>
                <w:szCs w:val="18"/>
                <w:lang w:val="en-US" w:eastAsia="zh-CN"/>
              </w:rPr>
              <w:t>22</w:t>
            </w:r>
            <w:r>
              <w:rPr>
                <w:rFonts w:ascii="宋体" w:hAnsi="宋体" w:cs="宋体"/>
                <w:kern w:val="0"/>
                <w:sz w:val="18"/>
                <w:szCs w:val="18"/>
              </w:rPr>
              <w:t>年决算数</w:t>
            </w:r>
          </w:p>
        </w:tc>
        <w:tc>
          <w:tcPr>
            <w:tcW w:w="155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比上年增减数</w:t>
            </w:r>
          </w:p>
        </w:tc>
        <w:tc>
          <w:tcPr>
            <w:tcW w:w="158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比上年增减率</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31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三公经费合计</w:t>
            </w:r>
          </w:p>
        </w:tc>
        <w:tc>
          <w:tcPr>
            <w:tcW w:w="161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cs="宋体"/>
                <w:kern w:val="0"/>
                <w:sz w:val="18"/>
                <w:szCs w:val="18"/>
              </w:rPr>
            </w:pPr>
            <w:r>
              <w:rPr>
                <w:rFonts w:hint="eastAsia" w:ascii="宋体" w:hAnsi="宋体" w:cs="宋体"/>
                <w:kern w:val="0"/>
                <w:sz w:val="18"/>
                <w:szCs w:val="18"/>
              </w:rPr>
              <w:t>0</w:t>
            </w:r>
          </w:p>
        </w:tc>
        <w:tc>
          <w:tcPr>
            <w:tcW w:w="161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0</w:t>
            </w:r>
          </w:p>
        </w:tc>
        <w:tc>
          <w:tcPr>
            <w:tcW w:w="155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0</w:t>
            </w:r>
          </w:p>
        </w:tc>
        <w:tc>
          <w:tcPr>
            <w:tcW w:w="158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kern w:val="0"/>
                <w:sz w:val="18"/>
                <w:szCs w:val="18"/>
                <w:lang w:eastAsia="zh-CN"/>
              </w:rPr>
            </w:pPr>
            <w:r>
              <w:rPr>
                <w:rFonts w:ascii="宋体" w:hAnsi="宋体" w:cs="宋体"/>
                <w:kern w:val="0"/>
                <w:sz w:val="18"/>
                <w:szCs w:val="18"/>
              </w:rPr>
              <w:t>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31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因公出国经费</w:t>
            </w:r>
          </w:p>
        </w:tc>
        <w:tc>
          <w:tcPr>
            <w:tcW w:w="1613" w:type="dxa"/>
            <w:tcBorders>
              <w:top w:val="outset" w:color="000000" w:sz="6" w:space="0"/>
              <w:left w:val="outset" w:color="000000" w:sz="6" w:space="0"/>
              <w:bottom w:val="outset" w:color="000000" w:sz="6" w:space="0"/>
              <w:right w:val="outset" w:color="000000" w:sz="6"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0</w:t>
            </w:r>
          </w:p>
        </w:tc>
        <w:tc>
          <w:tcPr>
            <w:tcW w:w="1614" w:type="dxa"/>
            <w:tcBorders>
              <w:top w:val="outset" w:color="000000" w:sz="6" w:space="0"/>
              <w:left w:val="outset" w:color="000000" w:sz="6" w:space="0"/>
              <w:bottom w:val="outset" w:color="000000" w:sz="6" w:space="0"/>
              <w:right w:val="outset" w:color="000000" w:sz="6"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0</w:t>
            </w:r>
          </w:p>
        </w:tc>
        <w:tc>
          <w:tcPr>
            <w:tcW w:w="1556" w:type="dxa"/>
            <w:tcBorders>
              <w:top w:val="outset" w:color="000000" w:sz="6" w:space="0"/>
              <w:left w:val="outset" w:color="000000" w:sz="6" w:space="0"/>
              <w:bottom w:val="outset" w:color="000000" w:sz="6" w:space="0"/>
              <w:right w:val="outset" w:color="000000" w:sz="6"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0</w:t>
            </w:r>
          </w:p>
        </w:tc>
        <w:tc>
          <w:tcPr>
            <w:tcW w:w="158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31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公务用车运行及购置</w:t>
            </w:r>
          </w:p>
        </w:tc>
        <w:tc>
          <w:tcPr>
            <w:tcW w:w="161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cs="宋体"/>
                <w:kern w:val="0"/>
                <w:sz w:val="18"/>
                <w:szCs w:val="18"/>
                <w:lang w:val="en-US" w:eastAsia="zh-CN" w:bidi="ar-SA"/>
              </w:rPr>
            </w:pPr>
            <w:r>
              <w:rPr>
                <w:rFonts w:hint="eastAsia" w:ascii="宋体" w:hAnsi="宋体" w:cs="宋体"/>
                <w:kern w:val="0"/>
                <w:sz w:val="18"/>
                <w:szCs w:val="18"/>
              </w:rPr>
              <w:t>0</w:t>
            </w:r>
          </w:p>
        </w:tc>
        <w:tc>
          <w:tcPr>
            <w:tcW w:w="161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0</w:t>
            </w:r>
          </w:p>
        </w:tc>
        <w:tc>
          <w:tcPr>
            <w:tcW w:w="155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0</w:t>
            </w:r>
          </w:p>
        </w:tc>
        <w:tc>
          <w:tcPr>
            <w:tcW w:w="158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kern w:val="0"/>
                <w:sz w:val="18"/>
                <w:szCs w:val="18"/>
                <w:lang w:val="en-US" w:eastAsia="zh-CN" w:bidi="ar-SA"/>
              </w:rPr>
            </w:pPr>
            <w:r>
              <w:rPr>
                <w:rFonts w:ascii="宋体" w:hAnsi="宋体" w:cs="宋体"/>
                <w:kern w:val="0"/>
                <w:sz w:val="18"/>
                <w:szCs w:val="18"/>
              </w:rPr>
              <w:t>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31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公务接待费</w:t>
            </w:r>
          </w:p>
        </w:tc>
        <w:tc>
          <w:tcPr>
            <w:tcW w:w="161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cs="宋体"/>
                <w:kern w:val="0"/>
                <w:sz w:val="18"/>
                <w:szCs w:val="18"/>
              </w:rPr>
            </w:pPr>
            <w:r>
              <w:rPr>
                <w:rFonts w:hint="eastAsia" w:ascii="宋体" w:hAnsi="宋体" w:cs="宋体"/>
                <w:kern w:val="0"/>
                <w:sz w:val="18"/>
                <w:szCs w:val="18"/>
              </w:rPr>
              <w:t>0</w:t>
            </w:r>
          </w:p>
        </w:tc>
        <w:tc>
          <w:tcPr>
            <w:tcW w:w="161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cs="宋体"/>
                <w:kern w:val="0"/>
                <w:sz w:val="18"/>
                <w:szCs w:val="18"/>
              </w:rPr>
            </w:pPr>
            <w:r>
              <w:rPr>
                <w:rFonts w:hint="eastAsia" w:ascii="宋体" w:hAnsi="宋体" w:cs="宋体"/>
                <w:kern w:val="0"/>
                <w:sz w:val="18"/>
                <w:szCs w:val="18"/>
              </w:rPr>
              <w:t>0</w:t>
            </w:r>
          </w:p>
        </w:tc>
        <w:tc>
          <w:tcPr>
            <w:tcW w:w="155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cs="宋体"/>
                <w:kern w:val="0"/>
                <w:sz w:val="18"/>
                <w:szCs w:val="18"/>
              </w:rPr>
            </w:pPr>
            <w:r>
              <w:rPr>
                <w:rFonts w:hint="eastAsia" w:ascii="宋体" w:hAnsi="宋体" w:cs="宋体"/>
                <w:kern w:val="0"/>
                <w:sz w:val="18"/>
                <w:szCs w:val="18"/>
              </w:rPr>
              <w:t>0</w:t>
            </w:r>
          </w:p>
        </w:tc>
        <w:tc>
          <w:tcPr>
            <w:tcW w:w="158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宋体" w:hAnsi="宋体" w:cs="宋体"/>
                <w:kern w:val="0"/>
                <w:sz w:val="18"/>
                <w:szCs w:val="18"/>
              </w:rPr>
            </w:pPr>
            <w:r>
              <w:rPr>
                <w:rFonts w:ascii="宋体" w:hAnsi="宋体" w:cs="宋体"/>
                <w:kern w:val="0"/>
                <w:sz w:val="18"/>
                <w:szCs w:val="18"/>
              </w:rPr>
              <w:t>0.00%</w:t>
            </w:r>
          </w:p>
        </w:tc>
      </w:tr>
    </w:tbl>
    <w:p>
      <w:pPr>
        <w:widowControl/>
        <w:spacing w:line="480" w:lineRule="auto"/>
        <w:ind w:firstLine="480"/>
        <w:rPr>
          <w:rFonts w:hint="eastAsia" w:ascii="仿宋_GB2312" w:eastAsia="仿宋_GB2312"/>
          <w:sz w:val="30"/>
          <w:szCs w:val="30"/>
        </w:rPr>
      </w:pPr>
    </w:p>
    <w:p>
      <w:pPr>
        <w:ind w:firstLine="640" w:firstLineChars="200"/>
        <w:rPr>
          <w:rFonts w:hint="eastAsia" w:ascii="仿宋_GB2312" w:eastAsia="仿宋_GB2312"/>
          <w:sz w:val="30"/>
          <w:szCs w:val="30"/>
        </w:rPr>
      </w:pPr>
      <w:r>
        <w:rPr>
          <w:rFonts w:hint="eastAsia" w:ascii="仿宋_GB2312" w:hAnsi="仿宋_GB2312" w:eastAsia="仿宋_GB2312" w:cs="仿宋_GB2312"/>
          <w:sz w:val="32"/>
          <w:szCs w:val="32"/>
        </w:rPr>
        <w:t>从整体情况来看，我中心基本按照年初预算进行部门整体支出。在支出过程中，能遵守各项规章制度，严格控制费用开支，“三公经费”同比</w:t>
      </w:r>
      <w:r>
        <w:rPr>
          <w:rFonts w:hint="eastAsia" w:ascii="仿宋_GB2312" w:hAnsi="仿宋_GB2312" w:eastAsia="仿宋_GB2312" w:cs="仿宋_GB2312"/>
          <w:sz w:val="32"/>
          <w:szCs w:val="32"/>
          <w:lang w:eastAsia="zh-CN"/>
        </w:rPr>
        <w:t>上年持平</w:t>
      </w:r>
      <w:r>
        <w:rPr>
          <w:rFonts w:hint="eastAsia" w:ascii="仿宋_GB2312" w:hAnsi="仿宋_GB2312" w:eastAsia="仿宋_GB2312" w:cs="仿宋_GB2312"/>
          <w:sz w:val="32"/>
          <w:szCs w:val="32"/>
        </w:rPr>
        <w:t>；基本支出均按计划组织实施，并加强了监督，达到了节约、高效的支出目标。</w:t>
      </w:r>
    </w:p>
    <w:p>
      <w:pPr>
        <w:ind w:firstLine="602" w:firstLineChars="200"/>
        <w:rPr>
          <w:rFonts w:hint="eastAsia" w:ascii="仿宋_GB2312" w:eastAsia="仿宋_GB2312"/>
          <w:sz w:val="30"/>
          <w:szCs w:val="30"/>
        </w:rPr>
      </w:pPr>
      <w:r>
        <w:rPr>
          <w:rFonts w:hint="eastAsia" w:ascii="楷体_GB2312" w:hAnsi="楷体_GB2312" w:eastAsia="楷体_GB2312" w:cs="楷体_GB2312"/>
          <w:b/>
          <w:bCs/>
          <w:sz w:val="30"/>
          <w:szCs w:val="30"/>
        </w:rPr>
        <w:t>（二）专项支出</w:t>
      </w:r>
      <w:r>
        <w:rPr>
          <w:rFonts w:hint="eastAsia" w:ascii="仿宋_GB2312" w:eastAsia="仿宋_GB2312"/>
          <w:sz w:val="30"/>
          <w:szCs w:val="30"/>
        </w:rPr>
        <w:t xml:space="preserve"> </w:t>
      </w:r>
    </w:p>
    <w:p>
      <w:pPr>
        <w:ind w:firstLine="602" w:firstLineChars="200"/>
        <w:rPr>
          <w:rFonts w:hint="eastAsia" w:ascii="仿宋_GB2312" w:eastAsia="仿宋_GB2312"/>
          <w:sz w:val="30"/>
          <w:szCs w:val="30"/>
        </w:rPr>
      </w:pPr>
      <w:r>
        <w:rPr>
          <w:rFonts w:hint="eastAsia" w:ascii="仿宋_GB2312" w:eastAsia="仿宋_GB2312"/>
          <w:b/>
          <w:bCs/>
          <w:sz w:val="30"/>
          <w:szCs w:val="30"/>
        </w:rPr>
        <w:t>1</w:t>
      </w:r>
      <w:r>
        <w:rPr>
          <w:rFonts w:hint="eastAsia" w:ascii="仿宋_GB2312" w:eastAsia="仿宋_GB2312"/>
          <w:b/>
          <w:bCs/>
          <w:sz w:val="30"/>
          <w:szCs w:val="30"/>
          <w:lang w:eastAsia="zh-CN"/>
        </w:rPr>
        <w:t>.</w:t>
      </w:r>
      <w:r>
        <w:rPr>
          <w:rFonts w:hint="eastAsia" w:ascii="仿宋_GB2312" w:eastAsia="仿宋_GB2312"/>
          <w:b/>
          <w:bCs/>
          <w:sz w:val="30"/>
          <w:szCs w:val="30"/>
        </w:rPr>
        <w:t>专项资金（包括财政资金、自筹资金等）安排落实、 总投入等情况分析</w:t>
      </w:r>
      <w:r>
        <w:rPr>
          <w:rFonts w:hint="eastAsia" w:ascii="仿宋_GB2312" w:eastAsia="仿宋_GB2312"/>
          <w:sz w:val="30"/>
          <w:szCs w:val="30"/>
        </w:rPr>
        <w:t>。</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我中心根据202</w:t>
      </w:r>
      <w:r>
        <w:rPr>
          <w:rFonts w:hint="eastAsia" w:ascii="仿宋_GB2312" w:hAnsi="Times New Roman" w:eastAsia="仿宋_GB2312" w:cs="Times New Roman"/>
          <w:sz w:val="30"/>
          <w:szCs w:val="30"/>
          <w:lang w:val="en-US" w:eastAsia="zh-CN"/>
        </w:rPr>
        <w:t>2</w:t>
      </w:r>
      <w:r>
        <w:rPr>
          <w:rFonts w:hint="eastAsia" w:ascii="仿宋_GB2312" w:hAnsi="Times New Roman" w:eastAsia="仿宋_GB2312" w:cs="Times New Roman"/>
          <w:sz w:val="30"/>
          <w:szCs w:val="30"/>
        </w:rPr>
        <w:t>年园林绿化维护项目预算情况，为合理保障通过园林绿化维护项目的完成，实施了如下具体业务项目：</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rPr>
        <w:t>（1）</w:t>
      </w:r>
      <w:r>
        <w:rPr>
          <w:rFonts w:hint="default" w:ascii="仿宋_GB2312" w:hAnsi="Times New Roman" w:eastAsia="仿宋_GB2312" w:cs="Times New Roman"/>
          <w:sz w:val="30"/>
          <w:szCs w:val="30"/>
        </w:rPr>
        <w:t>202</w:t>
      </w:r>
      <w:r>
        <w:rPr>
          <w:rFonts w:hint="eastAsia" w:ascii="仿宋_GB2312" w:hAnsi="Times New Roman" w:eastAsia="仿宋_GB2312" w:cs="Times New Roman"/>
          <w:sz w:val="30"/>
          <w:szCs w:val="30"/>
          <w:lang w:val="en-US" w:eastAsia="zh-CN"/>
        </w:rPr>
        <w:t>2</w:t>
      </w:r>
      <w:r>
        <w:rPr>
          <w:rFonts w:hint="default" w:ascii="仿宋_GB2312" w:hAnsi="Times New Roman" w:eastAsia="仿宋_GB2312" w:cs="Times New Roman"/>
          <w:sz w:val="30"/>
          <w:szCs w:val="30"/>
        </w:rPr>
        <w:t>年业务车辆费用</w:t>
      </w:r>
      <w:r>
        <w:rPr>
          <w:rFonts w:hint="eastAsia" w:ascii="仿宋_GB2312" w:hAnsi="Times New Roman" w:eastAsia="仿宋_GB2312" w:cs="Times New Roman"/>
          <w:sz w:val="30"/>
          <w:szCs w:val="30"/>
        </w:rPr>
        <w:t>项目：该支出主要为园林绿化业务工程车辆保险、燃油费、修理支出提供费用保障，确保车辆状态良好，保障维护作业工作正常开展</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项目资金到位情况：指标文号（</w:t>
      </w:r>
      <w:r>
        <w:rPr>
          <w:rFonts w:hint="eastAsia" w:ascii="仿宋_GB2312" w:hAnsi="Times New Roman" w:eastAsia="仿宋_GB2312" w:cs="Times New Roman"/>
          <w:sz w:val="30"/>
          <w:szCs w:val="30"/>
          <w:lang w:val="en-US" w:eastAsia="zh-CN"/>
        </w:rPr>
        <w:t>雨预安字[2022]1号</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金额</w:t>
      </w:r>
      <w:r>
        <w:rPr>
          <w:rFonts w:hint="eastAsia" w:ascii="仿宋_GB2312" w:hAnsi="Times New Roman" w:eastAsia="仿宋_GB2312" w:cs="Times New Roman"/>
          <w:sz w:val="30"/>
          <w:szCs w:val="30"/>
          <w:lang w:val="en-US" w:eastAsia="zh-CN"/>
        </w:rPr>
        <w:t>220万元，</w:t>
      </w:r>
      <w:r>
        <w:rPr>
          <w:rFonts w:hint="eastAsia" w:ascii="仿宋_GB2312" w:hAnsi="Times New Roman" w:eastAsia="仿宋_GB2312" w:cs="Times New Roman"/>
          <w:sz w:val="30"/>
          <w:szCs w:val="30"/>
        </w:rPr>
        <w:t>资金到位率100%</w:t>
      </w:r>
      <w:r>
        <w:rPr>
          <w:rFonts w:hint="eastAsia" w:ascii="仿宋_GB2312" w:hAnsi="Times New Roman" w:eastAsia="仿宋_GB2312" w:cs="Times New Roman"/>
          <w:sz w:val="30"/>
          <w:szCs w:val="30"/>
          <w:lang w:eastAsia="zh-CN"/>
        </w:rPr>
        <w:t>。</w:t>
      </w:r>
    </w:p>
    <w:p>
      <w:pPr>
        <w:ind w:firstLine="600" w:firstLineChars="200"/>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rPr>
        <w:t>（2）</w:t>
      </w:r>
      <w:r>
        <w:rPr>
          <w:rFonts w:hint="eastAsia" w:ascii="仿宋_GB2312" w:hAnsi="Times New Roman" w:eastAsia="仿宋_GB2312" w:cs="Times New Roman"/>
          <w:sz w:val="30"/>
          <w:szCs w:val="30"/>
          <w:lang w:val="en-US" w:eastAsia="zh-CN"/>
        </w:rPr>
        <w:t>2022年</w:t>
      </w:r>
      <w:r>
        <w:rPr>
          <w:rFonts w:hint="eastAsia" w:ascii="仿宋_GB2312" w:hAnsi="Times New Roman" w:eastAsia="仿宋_GB2312" w:cs="Times New Roman"/>
          <w:sz w:val="30"/>
          <w:szCs w:val="30"/>
        </w:rPr>
        <w:t>专用材料费项目：该支出主要</w:t>
      </w:r>
      <w:r>
        <w:rPr>
          <w:rFonts w:hint="eastAsia" w:ascii="仿宋_GB2312" w:hAnsi="Times New Roman" w:eastAsia="仿宋_GB2312" w:cs="Times New Roman"/>
          <w:sz w:val="30"/>
          <w:szCs w:val="30"/>
          <w:lang w:eastAsia="zh-CN"/>
        </w:rPr>
        <w:t>用于</w:t>
      </w:r>
      <w:r>
        <w:rPr>
          <w:rFonts w:hint="eastAsia" w:ascii="仿宋_GB2312" w:hAnsi="Times New Roman" w:eastAsia="仿宋_GB2312" w:cs="Times New Roman"/>
          <w:sz w:val="30"/>
          <w:szCs w:val="30"/>
          <w:lang w:val="en-US" w:eastAsia="zh-CN"/>
        </w:rPr>
        <w:t>购置专用材料、维护工具等生产物资</w:t>
      </w:r>
      <w:r>
        <w:rPr>
          <w:rFonts w:hint="eastAsia" w:ascii="仿宋_GB2312" w:hAnsi="Times New Roman" w:eastAsia="仿宋_GB2312" w:cs="Times New Roman"/>
          <w:sz w:val="30"/>
          <w:szCs w:val="30"/>
        </w:rPr>
        <w:t>，保障维护作业工作正常开展</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项目资金到位情况：指标文号（</w:t>
      </w:r>
      <w:r>
        <w:rPr>
          <w:rFonts w:hint="eastAsia" w:ascii="仿宋_GB2312" w:hAnsi="Times New Roman" w:eastAsia="仿宋_GB2312" w:cs="Times New Roman"/>
          <w:sz w:val="30"/>
          <w:szCs w:val="30"/>
          <w:lang w:val="en-US" w:eastAsia="zh-CN"/>
        </w:rPr>
        <w:t>雨预安字[2022]1号</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金额</w:t>
      </w:r>
      <w:r>
        <w:rPr>
          <w:rFonts w:hint="eastAsia" w:ascii="仿宋_GB2312" w:hAnsi="Times New Roman" w:eastAsia="仿宋_GB2312" w:cs="Times New Roman"/>
          <w:sz w:val="30"/>
          <w:szCs w:val="30"/>
          <w:lang w:val="en-US" w:eastAsia="zh-CN"/>
        </w:rPr>
        <w:t>110万元，</w:t>
      </w:r>
      <w:r>
        <w:rPr>
          <w:rFonts w:hint="eastAsia" w:ascii="仿宋_GB2312" w:hAnsi="Times New Roman" w:eastAsia="仿宋_GB2312" w:cs="Times New Roman"/>
          <w:sz w:val="30"/>
          <w:szCs w:val="30"/>
        </w:rPr>
        <w:t>资金到位率100%</w:t>
      </w:r>
      <w:r>
        <w:rPr>
          <w:rFonts w:hint="eastAsia" w:ascii="仿宋_GB2312" w:hAnsi="Times New Roman" w:eastAsia="仿宋_GB2312" w:cs="Times New Roman"/>
          <w:sz w:val="30"/>
          <w:szCs w:val="30"/>
          <w:lang w:eastAsia="zh-CN"/>
        </w:rPr>
        <w:t>。</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rPr>
        <w:t>（3）</w:t>
      </w:r>
      <w:r>
        <w:rPr>
          <w:rFonts w:hint="eastAsia" w:ascii="仿宋_GB2312" w:hAnsi="Times New Roman" w:eastAsia="仿宋_GB2312" w:cs="Times New Roman"/>
          <w:sz w:val="30"/>
          <w:szCs w:val="30"/>
          <w:lang w:val="en-US" w:eastAsia="zh-CN"/>
        </w:rPr>
        <w:t>2022年</w:t>
      </w:r>
      <w:r>
        <w:rPr>
          <w:rFonts w:hint="eastAsia" w:ascii="仿宋_GB2312" w:hAnsi="Times New Roman" w:eastAsia="仿宋_GB2312" w:cs="Times New Roman"/>
          <w:sz w:val="30"/>
          <w:szCs w:val="30"/>
        </w:rPr>
        <w:t>苗木</w:t>
      </w:r>
      <w:r>
        <w:rPr>
          <w:rFonts w:hint="eastAsia" w:ascii="仿宋_GB2312" w:hAnsi="Times New Roman" w:eastAsia="仿宋_GB2312" w:cs="Times New Roman"/>
          <w:sz w:val="30"/>
          <w:szCs w:val="30"/>
          <w:lang w:eastAsia="zh-CN"/>
        </w:rPr>
        <w:t>花卉</w:t>
      </w:r>
      <w:r>
        <w:rPr>
          <w:rFonts w:hint="eastAsia" w:ascii="仿宋_GB2312" w:hAnsi="Times New Roman" w:eastAsia="仿宋_GB2312" w:cs="Times New Roman"/>
          <w:sz w:val="30"/>
          <w:szCs w:val="30"/>
        </w:rPr>
        <w:t>经费项目：该支出主要</w:t>
      </w:r>
      <w:r>
        <w:rPr>
          <w:rFonts w:hint="eastAsia" w:ascii="仿宋_GB2312" w:hAnsi="Times New Roman" w:eastAsia="仿宋_GB2312" w:cs="Times New Roman"/>
          <w:sz w:val="30"/>
          <w:szCs w:val="30"/>
          <w:lang w:eastAsia="zh-CN"/>
        </w:rPr>
        <w:t>用于对缺绿公共区域和设施缺损部位及时进行苗木补栽补种和重点路段花卉的摆放及更换。</w:t>
      </w:r>
      <w:r>
        <w:rPr>
          <w:rFonts w:hint="eastAsia" w:ascii="仿宋_GB2312" w:hAnsi="Times New Roman" w:eastAsia="仿宋_GB2312" w:cs="Times New Roman"/>
          <w:sz w:val="30"/>
          <w:szCs w:val="30"/>
        </w:rPr>
        <w:t>项目资金到位情况：指标文号（</w:t>
      </w:r>
      <w:r>
        <w:rPr>
          <w:rFonts w:hint="eastAsia" w:ascii="仿宋_GB2312" w:hAnsi="Times New Roman" w:eastAsia="仿宋_GB2312" w:cs="Times New Roman"/>
          <w:sz w:val="30"/>
          <w:szCs w:val="30"/>
          <w:lang w:val="en-US" w:eastAsia="zh-CN"/>
        </w:rPr>
        <w:t>雨预安字[2022]1号</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金额</w:t>
      </w:r>
      <w:r>
        <w:rPr>
          <w:rFonts w:hint="eastAsia" w:ascii="仿宋_GB2312" w:hAnsi="Times New Roman" w:eastAsia="仿宋_GB2312" w:cs="Times New Roman"/>
          <w:sz w:val="30"/>
          <w:szCs w:val="30"/>
          <w:lang w:val="en-US" w:eastAsia="zh-CN"/>
        </w:rPr>
        <w:t>800万元，</w:t>
      </w:r>
      <w:r>
        <w:rPr>
          <w:rFonts w:hint="eastAsia" w:ascii="仿宋_GB2312" w:hAnsi="Times New Roman" w:eastAsia="仿宋_GB2312" w:cs="Times New Roman"/>
          <w:sz w:val="30"/>
          <w:szCs w:val="30"/>
        </w:rPr>
        <w:t>资金到位率100%</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指标文号（</w:t>
      </w:r>
      <w:r>
        <w:rPr>
          <w:rFonts w:hint="eastAsia" w:ascii="仿宋_GB2312" w:hAnsi="Times New Roman" w:eastAsia="仿宋_GB2312" w:cs="Times New Roman"/>
          <w:sz w:val="30"/>
          <w:szCs w:val="30"/>
          <w:lang w:val="en-US" w:eastAsia="zh-CN"/>
        </w:rPr>
        <w:t>财预字[2022]0155号</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金额</w:t>
      </w:r>
      <w:r>
        <w:rPr>
          <w:rFonts w:hint="eastAsia" w:ascii="仿宋_GB2312" w:hAnsi="Times New Roman" w:eastAsia="仿宋_GB2312" w:cs="Times New Roman"/>
          <w:sz w:val="30"/>
          <w:szCs w:val="30"/>
          <w:lang w:val="en-US" w:eastAsia="zh-CN"/>
        </w:rPr>
        <w:t>1615万元，</w:t>
      </w:r>
      <w:r>
        <w:rPr>
          <w:rFonts w:hint="eastAsia" w:ascii="仿宋_GB2312" w:hAnsi="Times New Roman" w:eastAsia="仿宋_GB2312" w:cs="Times New Roman"/>
          <w:sz w:val="30"/>
          <w:szCs w:val="30"/>
        </w:rPr>
        <w:t>资金到位率100%</w:t>
      </w:r>
      <w:r>
        <w:rPr>
          <w:rFonts w:hint="eastAsia" w:ascii="仿宋_GB2312" w:hAnsi="Times New Roman" w:eastAsia="仿宋_GB2312" w:cs="Times New Roman"/>
          <w:sz w:val="30"/>
          <w:szCs w:val="30"/>
          <w:lang w:eastAsia="zh-CN"/>
        </w:rPr>
        <w:t>。</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rPr>
        <w:t>（4）</w:t>
      </w:r>
      <w:r>
        <w:rPr>
          <w:rFonts w:hint="eastAsia" w:ascii="仿宋_GB2312" w:hAnsi="Times New Roman" w:eastAsia="仿宋_GB2312" w:cs="Times New Roman"/>
          <w:sz w:val="30"/>
          <w:szCs w:val="30"/>
          <w:lang w:val="en-US" w:eastAsia="zh-CN"/>
        </w:rPr>
        <w:t>2022年</w:t>
      </w:r>
      <w:r>
        <w:rPr>
          <w:rFonts w:hint="eastAsia" w:ascii="仿宋_GB2312" w:hAnsi="Times New Roman" w:eastAsia="仿宋_GB2312" w:cs="Times New Roman"/>
          <w:sz w:val="30"/>
          <w:szCs w:val="30"/>
        </w:rPr>
        <w:t>农药化肥项目：该支出主要通过购置农药化肥对辖区苗木进行防病治虫，确保苗木生长良好。项目资金到位情况：指标文号（</w:t>
      </w:r>
      <w:r>
        <w:rPr>
          <w:rFonts w:hint="eastAsia" w:ascii="仿宋_GB2312" w:hAnsi="Times New Roman" w:eastAsia="仿宋_GB2312" w:cs="Times New Roman"/>
          <w:sz w:val="30"/>
          <w:szCs w:val="30"/>
          <w:lang w:val="en-US" w:eastAsia="zh-CN"/>
        </w:rPr>
        <w:t>雨预安字[2022]1号</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金额</w:t>
      </w:r>
      <w:r>
        <w:rPr>
          <w:rFonts w:hint="eastAsia" w:ascii="仿宋_GB2312" w:hAnsi="Times New Roman" w:eastAsia="仿宋_GB2312" w:cs="Times New Roman"/>
          <w:sz w:val="30"/>
          <w:szCs w:val="30"/>
          <w:lang w:val="en-US" w:eastAsia="zh-CN"/>
        </w:rPr>
        <w:t>90万元，</w:t>
      </w:r>
      <w:r>
        <w:rPr>
          <w:rFonts w:hint="eastAsia" w:ascii="仿宋_GB2312" w:hAnsi="Times New Roman" w:eastAsia="仿宋_GB2312" w:cs="Times New Roman"/>
          <w:sz w:val="30"/>
          <w:szCs w:val="30"/>
        </w:rPr>
        <w:t>资金到位率100%</w:t>
      </w:r>
      <w:r>
        <w:rPr>
          <w:rFonts w:hint="eastAsia" w:ascii="仿宋_GB2312" w:hAnsi="Times New Roman" w:eastAsia="仿宋_GB2312" w:cs="Times New Roman"/>
          <w:sz w:val="30"/>
          <w:szCs w:val="30"/>
          <w:lang w:eastAsia="zh-CN"/>
        </w:rPr>
        <w:t>。</w:t>
      </w:r>
    </w:p>
    <w:p>
      <w:pPr>
        <w:ind w:firstLine="600" w:firstLineChars="200"/>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rPr>
        <w:t>（5）</w:t>
      </w:r>
      <w:r>
        <w:rPr>
          <w:rFonts w:hint="eastAsia" w:ascii="仿宋_GB2312" w:hAnsi="Times New Roman" w:eastAsia="仿宋_GB2312" w:cs="Times New Roman"/>
          <w:sz w:val="30"/>
          <w:szCs w:val="30"/>
          <w:lang w:val="en-US" w:eastAsia="zh-CN"/>
        </w:rPr>
        <w:t>2022年</w:t>
      </w:r>
      <w:r>
        <w:rPr>
          <w:rFonts w:hint="eastAsia" w:ascii="仿宋_GB2312" w:hAnsi="Times New Roman" w:eastAsia="仿宋_GB2312" w:cs="Times New Roman"/>
          <w:sz w:val="30"/>
          <w:szCs w:val="30"/>
        </w:rPr>
        <w:t>其他维护费用项目：该支出主要</w:t>
      </w:r>
      <w:r>
        <w:rPr>
          <w:rFonts w:hint="eastAsia" w:ascii="仿宋_GB2312" w:hAnsi="Times New Roman" w:eastAsia="仿宋_GB2312" w:cs="Times New Roman"/>
          <w:sz w:val="30"/>
          <w:szCs w:val="30"/>
          <w:lang w:eastAsia="zh-CN"/>
        </w:rPr>
        <w:t>用于</w:t>
      </w:r>
      <w:r>
        <w:rPr>
          <w:rFonts w:hint="eastAsia" w:ascii="仿宋_GB2312" w:hAnsi="Times New Roman" w:eastAsia="仿宋_GB2312" w:cs="Times New Roman"/>
          <w:sz w:val="30"/>
          <w:szCs w:val="30"/>
        </w:rPr>
        <w:t>做好园林垃圾处理，确保公园广场水电和园林机械设备正常良好；保障一线员工劳保福利及临时性突击性专项任务完成及其他相关工作正常运转</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项目资金到位情况：指标文号（</w:t>
      </w:r>
      <w:r>
        <w:rPr>
          <w:rFonts w:hint="eastAsia" w:ascii="仿宋_GB2312" w:hAnsi="Times New Roman" w:eastAsia="仿宋_GB2312" w:cs="Times New Roman"/>
          <w:sz w:val="30"/>
          <w:szCs w:val="30"/>
          <w:lang w:val="en-US" w:eastAsia="zh-CN"/>
        </w:rPr>
        <w:t>雨预安字[2022]1号</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金额</w:t>
      </w:r>
      <w:r>
        <w:rPr>
          <w:rFonts w:hint="eastAsia" w:ascii="仿宋_GB2312" w:hAnsi="Times New Roman" w:eastAsia="仿宋_GB2312" w:cs="Times New Roman"/>
          <w:sz w:val="30"/>
          <w:szCs w:val="30"/>
          <w:lang w:val="en-US" w:eastAsia="zh-CN"/>
        </w:rPr>
        <w:t>464万元，</w:t>
      </w:r>
      <w:r>
        <w:rPr>
          <w:rFonts w:hint="eastAsia" w:ascii="仿宋_GB2312" w:hAnsi="Times New Roman" w:eastAsia="仿宋_GB2312" w:cs="Times New Roman"/>
          <w:sz w:val="30"/>
          <w:szCs w:val="30"/>
        </w:rPr>
        <w:t>资金到位率100%</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指标文号（</w:t>
      </w:r>
      <w:r>
        <w:rPr>
          <w:rFonts w:hint="eastAsia" w:ascii="仿宋_GB2312" w:hAnsi="Times New Roman" w:eastAsia="仿宋_GB2312" w:cs="Times New Roman"/>
          <w:sz w:val="30"/>
          <w:szCs w:val="30"/>
          <w:lang w:val="en-US" w:eastAsia="zh-CN"/>
        </w:rPr>
        <w:t>财预字[2022]0155号</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金额</w:t>
      </w:r>
      <w:r>
        <w:rPr>
          <w:rFonts w:hint="eastAsia" w:ascii="仿宋_GB2312" w:hAnsi="Times New Roman" w:eastAsia="仿宋_GB2312" w:cs="Times New Roman"/>
          <w:sz w:val="30"/>
          <w:szCs w:val="30"/>
          <w:lang w:val="en-US" w:eastAsia="zh-CN"/>
        </w:rPr>
        <w:t>1615万元，</w:t>
      </w:r>
      <w:r>
        <w:rPr>
          <w:rFonts w:hint="eastAsia" w:ascii="仿宋_GB2312" w:hAnsi="Times New Roman" w:eastAsia="仿宋_GB2312" w:cs="Times New Roman"/>
          <w:sz w:val="30"/>
          <w:szCs w:val="30"/>
        </w:rPr>
        <w:t>资金到位率100%</w:t>
      </w:r>
      <w:r>
        <w:rPr>
          <w:rFonts w:hint="eastAsia" w:ascii="仿宋_GB2312" w:hAnsi="Times New Roman" w:eastAsia="仿宋_GB2312" w:cs="Times New Roman"/>
          <w:sz w:val="30"/>
          <w:szCs w:val="30"/>
          <w:lang w:eastAsia="zh-CN"/>
        </w:rPr>
        <w:t>。</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rPr>
        <w:t>（6）</w:t>
      </w:r>
      <w:r>
        <w:rPr>
          <w:rFonts w:hint="default" w:ascii="仿宋_GB2312" w:hAnsi="Times New Roman" w:eastAsia="仿宋_GB2312" w:cs="Times New Roman"/>
          <w:sz w:val="30"/>
          <w:szCs w:val="30"/>
        </w:rPr>
        <w:t>202</w:t>
      </w:r>
      <w:r>
        <w:rPr>
          <w:rFonts w:hint="eastAsia" w:ascii="仿宋_GB2312" w:hAnsi="Times New Roman" w:eastAsia="仿宋_GB2312" w:cs="Times New Roman"/>
          <w:sz w:val="30"/>
          <w:szCs w:val="30"/>
          <w:lang w:val="en-US" w:eastAsia="zh-CN"/>
        </w:rPr>
        <w:t>2</w:t>
      </w:r>
      <w:r>
        <w:rPr>
          <w:rFonts w:hint="default" w:ascii="仿宋_GB2312" w:hAnsi="Times New Roman" w:eastAsia="仿宋_GB2312" w:cs="Times New Roman"/>
          <w:sz w:val="30"/>
          <w:szCs w:val="30"/>
        </w:rPr>
        <w:t>年维护民工经费</w:t>
      </w:r>
      <w:r>
        <w:rPr>
          <w:rFonts w:hint="eastAsia" w:ascii="仿宋_GB2312" w:hAnsi="Times New Roman" w:eastAsia="仿宋_GB2312" w:cs="Times New Roman"/>
          <w:sz w:val="30"/>
          <w:szCs w:val="30"/>
        </w:rPr>
        <w:t>项目：该支出主要用于一线维护人员各项工资奖金发放及购买人员保险等，确保维护工作的稳定开展。项目资金到位情况：指标文号（</w:t>
      </w:r>
      <w:r>
        <w:rPr>
          <w:rFonts w:hint="eastAsia" w:ascii="仿宋_GB2312" w:hAnsi="Times New Roman" w:eastAsia="仿宋_GB2312" w:cs="Times New Roman"/>
          <w:sz w:val="30"/>
          <w:szCs w:val="30"/>
          <w:lang w:val="en-US" w:eastAsia="zh-CN"/>
        </w:rPr>
        <w:t>雨预安字[2022]1号</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金额</w:t>
      </w:r>
      <w:r>
        <w:rPr>
          <w:rFonts w:hint="eastAsia" w:ascii="仿宋_GB2312" w:hAnsi="Times New Roman" w:eastAsia="仿宋_GB2312" w:cs="Times New Roman"/>
          <w:sz w:val="30"/>
          <w:szCs w:val="30"/>
          <w:lang w:val="en-US" w:eastAsia="zh-CN"/>
        </w:rPr>
        <w:t>1509.38万元，</w:t>
      </w:r>
      <w:r>
        <w:rPr>
          <w:rFonts w:hint="eastAsia" w:ascii="仿宋_GB2312" w:hAnsi="Times New Roman" w:eastAsia="仿宋_GB2312" w:cs="Times New Roman"/>
          <w:sz w:val="30"/>
          <w:szCs w:val="30"/>
        </w:rPr>
        <w:t>资金到位率100%</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指标文号（</w:t>
      </w:r>
      <w:r>
        <w:rPr>
          <w:rFonts w:hint="eastAsia" w:ascii="仿宋_GB2312" w:hAnsi="Times New Roman" w:eastAsia="仿宋_GB2312" w:cs="Times New Roman"/>
          <w:sz w:val="30"/>
          <w:szCs w:val="30"/>
          <w:lang w:val="en-US" w:eastAsia="zh-CN"/>
        </w:rPr>
        <w:t>财预字[2022]0155号</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金额</w:t>
      </w:r>
      <w:r>
        <w:rPr>
          <w:rFonts w:hint="eastAsia" w:ascii="仿宋_GB2312" w:hAnsi="Times New Roman" w:eastAsia="仿宋_GB2312" w:cs="Times New Roman"/>
          <w:sz w:val="30"/>
          <w:szCs w:val="30"/>
          <w:lang w:val="en-US" w:eastAsia="zh-CN"/>
        </w:rPr>
        <w:t>1615万元，</w:t>
      </w:r>
      <w:r>
        <w:rPr>
          <w:rFonts w:hint="eastAsia" w:ascii="仿宋_GB2312" w:hAnsi="Times New Roman" w:eastAsia="仿宋_GB2312" w:cs="Times New Roman"/>
          <w:sz w:val="30"/>
          <w:szCs w:val="30"/>
        </w:rPr>
        <w:t>资金到位率100%</w:t>
      </w:r>
      <w:r>
        <w:rPr>
          <w:rFonts w:hint="eastAsia" w:ascii="仿宋_GB2312" w:hAnsi="Times New Roman" w:eastAsia="仿宋_GB2312" w:cs="Times New Roman"/>
          <w:sz w:val="30"/>
          <w:szCs w:val="30"/>
          <w:lang w:eastAsia="zh-CN"/>
        </w:rPr>
        <w:t>。</w:t>
      </w:r>
      <w:r>
        <w:rPr>
          <w:rFonts w:hint="default" w:ascii="Times New Roman" w:hAnsi="Times New Roman" w:eastAsia="仿宋_GB2312" w:cs="Times New Roman"/>
          <w:color w:val="000000"/>
          <w:sz w:val="21"/>
          <w:szCs w:val="21"/>
        </w:rPr>
        <w:t xml:space="preserve"> </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val="en-US" w:eastAsia="zh-CN"/>
        </w:rPr>
        <w:t>7</w:t>
      </w:r>
      <w:r>
        <w:rPr>
          <w:rFonts w:hint="eastAsia" w:ascii="仿宋_GB2312" w:hAnsi="Times New Roman" w:eastAsia="仿宋_GB2312" w:cs="Times New Roman"/>
          <w:sz w:val="30"/>
          <w:szCs w:val="30"/>
        </w:rPr>
        <w:t>）</w:t>
      </w:r>
      <w:r>
        <w:rPr>
          <w:rFonts w:hint="default" w:ascii="仿宋_GB2312" w:hAnsi="Times New Roman" w:eastAsia="仿宋_GB2312" w:cs="Times New Roman"/>
          <w:sz w:val="30"/>
          <w:szCs w:val="30"/>
        </w:rPr>
        <w:t xml:space="preserve"> </w:t>
      </w:r>
      <w:r>
        <w:rPr>
          <w:rFonts w:hint="default" w:ascii="仿宋_GB2312" w:hAnsi="Times New Roman" w:eastAsia="仿宋_GB2312" w:cs="Times New Roman"/>
          <w:sz w:val="30"/>
          <w:szCs w:val="30"/>
          <w:lang w:eastAsia="zh-CN"/>
        </w:rPr>
        <w:t>202</w:t>
      </w:r>
      <w:r>
        <w:rPr>
          <w:rFonts w:hint="eastAsia" w:ascii="仿宋_GB2312" w:hAnsi="Times New Roman" w:eastAsia="仿宋_GB2312" w:cs="Times New Roman"/>
          <w:sz w:val="30"/>
          <w:szCs w:val="30"/>
          <w:lang w:val="en-US" w:eastAsia="zh-CN"/>
        </w:rPr>
        <w:t>2</w:t>
      </w:r>
      <w:r>
        <w:rPr>
          <w:rFonts w:hint="default" w:ascii="仿宋_GB2312" w:hAnsi="Times New Roman" w:eastAsia="仿宋_GB2312" w:cs="Times New Roman"/>
          <w:sz w:val="30"/>
          <w:szCs w:val="30"/>
          <w:lang w:eastAsia="zh-CN"/>
        </w:rPr>
        <w:t>年</w:t>
      </w:r>
      <w:r>
        <w:rPr>
          <w:rFonts w:hint="eastAsia" w:ascii="仿宋_GB2312" w:hAnsi="Times New Roman" w:eastAsia="仿宋_GB2312" w:cs="Times New Roman"/>
          <w:sz w:val="30"/>
          <w:szCs w:val="30"/>
          <w:lang w:eastAsia="zh-CN"/>
        </w:rPr>
        <w:t>绿化</w:t>
      </w:r>
      <w:r>
        <w:rPr>
          <w:rFonts w:hint="default" w:ascii="仿宋_GB2312" w:hAnsi="Times New Roman" w:eastAsia="仿宋_GB2312" w:cs="Times New Roman"/>
          <w:sz w:val="30"/>
          <w:szCs w:val="30"/>
          <w:lang w:eastAsia="zh-CN"/>
        </w:rPr>
        <w:t>服务外包项目</w:t>
      </w:r>
      <w:r>
        <w:rPr>
          <w:rFonts w:hint="eastAsia" w:ascii="仿宋_GB2312" w:hAnsi="Times New Roman" w:eastAsia="仿宋_GB2312" w:cs="Times New Roman"/>
          <w:sz w:val="30"/>
          <w:szCs w:val="30"/>
          <w:lang w:eastAsia="zh-CN"/>
        </w:rPr>
        <w:t>：该支出主要是</w:t>
      </w:r>
      <w:r>
        <w:rPr>
          <w:rFonts w:hint="default" w:ascii="仿宋_GB2312" w:hAnsi="Times New Roman" w:eastAsia="仿宋_GB2312" w:cs="Times New Roman"/>
          <w:sz w:val="30"/>
          <w:szCs w:val="30"/>
          <w:lang w:eastAsia="zh-CN"/>
        </w:rPr>
        <w:t>保障各个服务外包项目精致精美的维护效果，确保辖区公共绿化品质逐步，打造良好的人居环境。</w:t>
      </w:r>
      <w:r>
        <w:rPr>
          <w:rFonts w:hint="eastAsia" w:ascii="仿宋_GB2312" w:hAnsi="Times New Roman" w:eastAsia="仿宋_GB2312" w:cs="Times New Roman"/>
          <w:sz w:val="30"/>
          <w:szCs w:val="30"/>
        </w:rPr>
        <w:t>项目资金到位情况：指标文号（</w:t>
      </w:r>
      <w:r>
        <w:rPr>
          <w:rFonts w:hint="eastAsia" w:ascii="仿宋_GB2312" w:hAnsi="Times New Roman" w:eastAsia="仿宋_GB2312" w:cs="Times New Roman"/>
          <w:sz w:val="30"/>
          <w:szCs w:val="30"/>
          <w:lang w:val="en-US" w:eastAsia="zh-CN"/>
        </w:rPr>
        <w:t>雨预安字[2022]1号</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金额</w:t>
      </w:r>
      <w:r>
        <w:rPr>
          <w:rFonts w:hint="eastAsia" w:ascii="仿宋_GB2312" w:hAnsi="Times New Roman" w:eastAsia="仿宋_GB2312" w:cs="Times New Roman"/>
          <w:sz w:val="30"/>
          <w:szCs w:val="30"/>
          <w:lang w:val="en-US" w:eastAsia="zh-CN"/>
        </w:rPr>
        <w:t>90万元，</w:t>
      </w:r>
      <w:r>
        <w:rPr>
          <w:rFonts w:hint="eastAsia" w:ascii="仿宋_GB2312" w:hAnsi="Times New Roman" w:eastAsia="仿宋_GB2312" w:cs="Times New Roman"/>
          <w:sz w:val="30"/>
          <w:szCs w:val="30"/>
        </w:rPr>
        <w:t>资金到位率100%</w:t>
      </w:r>
      <w:r>
        <w:rPr>
          <w:rFonts w:hint="eastAsia" w:ascii="仿宋_GB2312" w:hAnsi="Times New Roman" w:eastAsia="仿宋_GB2312" w:cs="Times New Roman"/>
          <w:sz w:val="30"/>
          <w:szCs w:val="30"/>
          <w:lang w:eastAsia="zh-CN"/>
        </w:rPr>
        <w:t>。</w:t>
      </w:r>
    </w:p>
    <w:p>
      <w:pPr>
        <w:ind w:firstLine="600" w:firstLineChars="200"/>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val="en-US" w:eastAsia="zh-CN"/>
        </w:rPr>
        <w:t>8</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val="en-US" w:eastAsia="zh-CN"/>
        </w:rPr>
        <w:t>2022年</w:t>
      </w:r>
      <w:r>
        <w:rPr>
          <w:rFonts w:hint="eastAsia" w:ascii="仿宋_GB2312" w:hAnsi="Times New Roman" w:eastAsia="仿宋_GB2312" w:cs="Times New Roman"/>
          <w:sz w:val="30"/>
          <w:szCs w:val="30"/>
        </w:rPr>
        <w:t>绿委项目：该支出主要为了加强爱绿护绿宣传教育，组织开展义务植树活动，对名木古树进行保护等费用。项目资金到位情况：指标文号（</w:t>
      </w:r>
      <w:r>
        <w:rPr>
          <w:rFonts w:hint="eastAsia" w:ascii="仿宋_GB2312" w:hAnsi="Times New Roman" w:eastAsia="仿宋_GB2312" w:cs="Times New Roman"/>
          <w:sz w:val="30"/>
          <w:szCs w:val="30"/>
          <w:lang w:val="en-US" w:eastAsia="zh-CN"/>
        </w:rPr>
        <w:t>雨预安字[2022]1号</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金额</w:t>
      </w:r>
      <w:r>
        <w:rPr>
          <w:rFonts w:hint="eastAsia" w:ascii="仿宋_GB2312" w:hAnsi="Times New Roman" w:eastAsia="仿宋_GB2312" w:cs="Times New Roman"/>
          <w:sz w:val="30"/>
          <w:szCs w:val="30"/>
          <w:lang w:val="en-US" w:eastAsia="zh-CN"/>
        </w:rPr>
        <w:t>22万元，</w:t>
      </w:r>
      <w:r>
        <w:rPr>
          <w:rFonts w:hint="eastAsia" w:ascii="仿宋_GB2312" w:hAnsi="Times New Roman" w:eastAsia="仿宋_GB2312" w:cs="Times New Roman"/>
          <w:sz w:val="30"/>
          <w:szCs w:val="30"/>
        </w:rPr>
        <w:t>资金到位率100%</w:t>
      </w:r>
      <w:r>
        <w:rPr>
          <w:rFonts w:hint="eastAsia" w:ascii="仿宋_GB2312" w:hAnsi="Times New Roman" w:eastAsia="仿宋_GB2312" w:cs="Times New Roman"/>
          <w:sz w:val="30"/>
          <w:szCs w:val="30"/>
          <w:lang w:eastAsia="zh-CN"/>
        </w:rPr>
        <w:t>。</w:t>
      </w:r>
    </w:p>
    <w:p>
      <w:pPr>
        <w:ind w:firstLine="600" w:firstLineChars="200"/>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val="en-US" w:eastAsia="zh-CN"/>
        </w:rPr>
        <w:t>9</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val="en-US" w:eastAsia="zh-CN"/>
        </w:rPr>
        <w:t>2022年</w:t>
      </w:r>
      <w:r>
        <w:rPr>
          <w:rFonts w:hint="eastAsia" w:ascii="仿宋_GB2312" w:hAnsi="Times New Roman" w:eastAsia="仿宋_GB2312" w:cs="Times New Roman"/>
          <w:sz w:val="30"/>
          <w:szCs w:val="30"/>
          <w:lang w:eastAsia="zh-CN"/>
        </w:rPr>
        <w:t>省植物园基础</w:t>
      </w:r>
      <w:r>
        <w:rPr>
          <w:rFonts w:hint="eastAsia" w:ascii="仿宋_GB2312" w:eastAsia="仿宋_GB2312" w:cs="Times New Roman"/>
          <w:sz w:val="30"/>
          <w:szCs w:val="30"/>
          <w:lang w:eastAsia="zh-CN"/>
        </w:rPr>
        <w:t>设施</w:t>
      </w:r>
      <w:r>
        <w:rPr>
          <w:rFonts w:hint="eastAsia" w:ascii="仿宋_GB2312" w:hAnsi="Times New Roman" w:eastAsia="仿宋_GB2312" w:cs="Times New Roman"/>
          <w:sz w:val="30"/>
          <w:szCs w:val="30"/>
          <w:lang w:eastAsia="zh-CN"/>
        </w:rPr>
        <w:t>建设经费</w:t>
      </w:r>
      <w:r>
        <w:rPr>
          <w:rFonts w:hint="eastAsia" w:ascii="仿宋_GB2312" w:hAnsi="Times New Roman" w:eastAsia="仿宋_GB2312" w:cs="Times New Roman"/>
          <w:sz w:val="30"/>
          <w:szCs w:val="30"/>
        </w:rPr>
        <w:t>项目：该支出主要</w:t>
      </w:r>
      <w:r>
        <w:rPr>
          <w:rFonts w:hint="eastAsia" w:ascii="仿宋_GB2312" w:hAnsi="Times New Roman" w:eastAsia="仿宋_GB2312" w:cs="Times New Roman"/>
          <w:sz w:val="30"/>
          <w:szCs w:val="30"/>
          <w:lang w:eastAsia="zh-CN"/>
        </w:rPr>
        <w:t>是按照合作协议及时支付省植物园基础</w:t>
      </w:r>
      <w:r>
        <w:rPr>
          <w:rFonts w:hint="eastAsia" w:ascii="仿宋_GB2312" w:eastAsia="仿宋_GB2312" w:cs="Times New Roman"/>
          <w:sz w:val="30"/>
          <w:szCs w:val="30"/>
          <w:lang w:eastAsia="zh-CN"/>
        </w:rPr>
        <w:t>设施</w:t>
      </w:r>
      <w:r>
        <w:rPr>
          <w:rFonts w:hint="eastAsia" w:ascii="仿宋_GB2312" w:hAnsi="Times New Roman" w:eastAsia="仿宋_GB2312" w:cs="Times New Roman"/>
          <w:sz w:val="30"/>
          <w:szCs w:val="30"/>
          <w:lang w:eastAsia="zh-CN"/>
        </w:rPr>
        <w:t>建设经费</w:t>
      </w:r>
      <w:r>
        <w:rPr>
          <w:rFonts w:hint="eastAsia" w:ascii="仿宋_GB2312" w:hAnsi="Times New Roman" w:eastAsia="仿宋_GB2312" w:cs="Times New Roman"/>
          <w:sz w:val="30"/>
          <w:szCs w:val="30"/>
        </w:rPr>
        <w:t>。项目资金到位情况：指标文号（</w:t>
      </w:r>
      <w:r>
        <w:rPr>
          <w:rFonts w:hint="eastAsia" w:ascii="仿宋_GB2312" w:hAnsi="Times New Roman" w:eastAsia="仿宋_GB2312" w:cs="Times New Roman"/>
          <w:sz w:val="30"/>
          <w:szCs w:val="30"/>
          <w:lang w:val="en-US" w:eastAsia="zh-CN"/>
        </w:rPr>
        <w:t>雨预安字[2022]1号</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金额</w:t>
      </w:r>
      <w:r>
        <w:rPr>
          <w:rFonts w:hint="eastAsia" w:ascii="仿宋_GB2312" w:hAnsi="Times New Roman" w:eastAsia="仿宋_GB2312" w:cs="Times New Roman"/>
          <w:sz w:val="30"/>
          <w:szCs w:val="30"/>
          <w:lang w:val="en-US" w:eastAsia="zh-CN"/>
        </w:rPr>
        <w:t>300万元，</w:t>
      </w:r>
      <w:r>
        <w:rPr>
          <w:rFonts w:hint="eastAsia" w:ascii="仿宋_GB2312" w:hAnsi="Times New Roman" w:eastAsia="仿宋_GB2312" w:cs="Times New Roman"/>
          <w:sz w:val="30"/>
          <w:szCs w:val="30"/>
        </w:rPr>
        <w:t>资金到位率100%</w:t>
      </w:r>
      <w:r>
        <w:rPr>
          <w:rFonts w:hint="eastAsia" w:ascii="仿宋_GB2312" w:hAnsi="Times New Roman" w:eastAsia="仿宋_GB2312" w:cs="Times New Roman"/>
          <w:sz w:val="30"/>
          <w:szCs w:val="30"/>
          <w:lang w:eastAsia="zh-CN"/>
        </w:rPr>
        <w:t>。</w:t>
      </w:r>
    </w:p>
    <w:p>
      <w:pPr>
        <w:ind w:firstLine="600" w:firstLineChars="200"/>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lang w:val="en-US" w:eastAsia="zh-CN"/>
        </w:rPr>
        <w:t>10</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lang w:val="en-US" w:eastAsia="zh-CN"/>
        </w:rPr>
        <w:t>2022年国家生态园林城市创建经费</w:t>
      </w:r>
      <w:r>
        <w:rPr>
          <w:rFonts w:hint="eastAsia" w:ascii="仿宋_GB2312" w:hAnsi="Times New Roman" w:eastAsia="仿宋_GB2312" w:cs="Times New Roman"/>
          <w:sz w:val="30"/>
          <w:szCs w:val="30"/>
        </w:rPr>
        <w:t>项目：该支出主要</w:t>
      </w:r>
      <w:r>
        <w:rPr>
          <w:rFonts w:hint="eastAsia" w:ascii="仿宋_GB2312" w:hAnsi="Times New Roman" w:eastAsia="仿宋_GB2312" w:cs="Times New Roman"/>
          <w:sz w:val="30"/>
          <w:szCs w:val="30"/>
          <w:lang w:eastAsia="zh-CN"/>
        </w:rPr>
        <w:t>依据上级相关要求，用于顺利完成</w:t>
      </w:r>
      <w:r>
        <w:rPr>
          <w:rFonts w:hint="eastAsia" w:ascii="仿宋_GB2312" w:hAnsi="Times New Roman" w:eastAsia="仿宋_GB2312" w:cs="Times New Roman"/>
          <w:sz w:val="30"/>
          <w:szCs w:val="30"/>
          <w:lang w:val="en-US" w:eastAsia="zh-CN"/>
        </w:rPr>
        <w:t>国家生态园林城市创建任务</w:t>
      </w:r>
      <w:r>
        <w:rPr>
          <w:rFonts w:hint="eastAsia" w:ascii="仿宋_GB2312" w:hAnsi="Times New Roman" w:eastAsia="仿宋_GB2312" w:cs="Times New Roman"/>
          <w:sz w:val="30"/>
          <w:szCs w:val="30"/>
        </w:rPr>
        <w:t>。项目资金到位情况：指标文号（</w:t>
      </w:r>
      <w:r>
        <w:rPr>
          <w:rFonts w:hint="eastAsia" w:ascii="仿宋_GB2312" w:hAnsi="Times New Roman" w:eastAsia="仿宋_GB2312" w:cs="Times New Roman"/>
          <w:sz w:val="30"/>
          <w:szCs w:val="30"/>
          <w:lang w:val="en-US" w:eastAsia="zh-CN"/>
        </w:rPr>
        <w:t>雨预安字[2022]1号</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金额</w:t>
      </w:r>
      <w:r>
        <w:rPr>
          <w:rFonts w:hint="eastAsia" w:ascii="仿宋_GB2312" w:hAnsi="Times New Roman" w:eastAsia="仿宋_GB2312" w:cs="Times New Roman"/>
          <w:sz w:val="30"/>
          <w:szCs w:val="30"/>
          <w:lang w:val="en-US" w:eastAsia="zh-CN"/>
        </w:rPr>
        <w:t>60万元，</w:t>
      </w:r>
      <w:r>
        <w:rPr>
          <w:rFonts w:hint="eastAsia" w:ascii="仿宋_GB2312" w:hAnsi="Times New Roman" w:eastAsia="仿宋_GB2312" w:cs="Times New Roman"/>
          <w:sz w:val="30"/>
          <w:szCs w:val="30"/>
        </w:rPr>
        <w:t>资金到位率100%</w:t>
      </w:r>
      <w:r>
        <w:rPr>
          <w:rFonts w:hint="eastAsia" w:ascii="仿宋_GB2312" w:hAnsi="Times New Roman" w:eastAsia="仿宋_GB2312" w:cs="Times New Roman"/>
          <w:sz w:val="30"/>
          <w:szCs w:val="30"/>
          <w:lang w:eastAsia="zh-CN"/>
        </w:rPr>
        <w:t>。</w:t>
      </w:r>
    </w:p>
    <w:p>
      <w:pPr>
        <w:ind w:firstLine="602" w:firstLineChars="200"/>
        <w:rPr>
          <w:rFonts w:hint="eastAsia" w:ascii="仿宋_GB2312" w:eastAsia="仿宋_GB2312"/>
          <w:b/>
          <w:bCs/>
          <w:sz w:val="30"/>
          <w:szCs w:val="30"/>
        </w:rPr>
      </w:pPr>
      <w:r>
        <w:rPr>
          <w:rFonts w:hint="eastAsia" w:ascii="仿宋_GB2312" w:eastAsia="仿宋_GB2312"/>
          <w:b/>
          <w:bCs/>
          <w:sz w:val="30"/>
          <w:szCs w:val="30"/>
        </w:rPr>
        <w:t>2</w:t>
      </w:r>
      <w:r>
        <w:rPr>
          <w:rFonts w:hint="eastAsia" w:ascii="仿宋_GB2312" w:eastAsia="仿宋_GB2312"/>
          <w:b/>
          <w:bCs/>
          <w:sz w:val="30"/>
          <w:szCs w:val="30"/>
          <w:lang w:eastAsia="zh-CN"/>
        </w:rPr>
        <w:t>.</w:t>
      </w:r>
      <w:r>
        <w:rPr>
          <w:rFonts w:hint="eastAsia" w:ascii="仿宋_GB2312" w:eastAsia="仿宋_GB2312"/>
          <w:b/>
          <w:bCs/>
          <w:sz w:val="30"/>
          <w:szCs w:val="30"/>
        </w:rPr>
        <w:t>专项资金（主要指财政资金）实际使用情况分析。</w:t>
      </w:r>
    </w:p>
    <w:p>
      <w:pPr>
        <w:widowControl/>
        <w:shd w:val="clear" w:color="auto" w:fill="FFFFFF"/>
        <w:ind w:firstLine="748"/>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lang w:eastAsia="zh-CN"/>
        </w:rPr>
        <w:t>截至</w:t>
      </w:r>
      <w:r>
        <w:rPr>
          <w:rFonts w:hint="eastAsia" w:ascii="仿宋_GB2312" w:hAnsi="Times New Roman" w:eastAsia="仿宋_GB2312" w:cs="Times New Roman"/>
          <w:sz w:val="30"/>
          <w:szCs w:val="30"/>
        </w:rPr>
        <w:t>202</w:t>
      </w:r>
      <w:r>
        <w:rPr>
          <w:rFonts w:hint="eastAsia" w:ascii="仿宋_GB2312" w:hAnsi="Times New Roman" w:eastAsia="仿宋_GB2312" w:cs="Times New Roman"/>
          <w:sz w:val="30"/>
          <w:szCs w:val="30"/>
          <w:lang w:val="en-US" w:eastAsia="zh-CN"/>
        </w:rPr>
        <w:t>2</w:t>
      </w:r>
      <w:r>
        <w:rPr>
          <w:rFonts w:hint="eastAsia" w:ascii="仿宋_GB2312" w:hAnsi="Times New Roman" w:eastAsia="仿宋_GB2312" w:cs="Times New Roman"/>
          <w:sz w:val="30"/>
          <w:szCs w:val="30"/>
        </w:rPr>
        <w:t>年12月31日，我中心</w:t>
      </w:r>
      <w:r>
        <w:rPr>
          <w:rFonts w:hint="eastAsia" w:ascii="仿宋_GB2312" w:hAnsi="Times New Roman" w:eastAsia="仿宋_GB2312" w:cs="Times New Roman"/>
          <w:sz w:val="30"/>
          <w:szCs w:val="30"/>
          <w:lang w:eastAsia="zh-CN"/>
        </w:rPr>
        <w:t>维护项目</w:t>
      </w:r>
      <w:r>
        <w:rPr>
          <w:rFonts w:hint="eastAsia" w:ascii="仿宋_GB2312" w:hAnsi="Times New Roman" w:eastAsia="仿宋_GB2312" w:cs="Times New Roman"/>
          <w:sz w:val="30"/>
          <w:szCs w:val="30"/>
        </w:rPr>
        <w:t>业务经费共发生</w:t>
      </w:r>
      <w:r>
        <w:rPr>
          <w:rFonts w:hint="eastAsia" w:ascii="仿宋_GB2312" w:hAnsi="Times New Roman" w:eastAsia="仿宋_GB2312" w:cs="Times New Roman"/>
          <w:sz w:val="30"/>
          <w:szCs w:val="30"/>
          <w:lang w:val="en-US" w:eastAsia="zh-CN"/>
        </w:rPr>
        <w:t>2990.66</w:t>
      </w:r>
      <w:r>
        <w:rPr>
          <w:rFonts w:hint="eastAsia" w:ascii="仿宋_GB2312" w:hAnsi="Times New Roman" w:eastAsia="仿宋_GB2312" w:cs="Times New Roman"/>
          <w:sz w:val="30"/>
          <w:szCs w:val="30"/>
        </w:rPr>
        <w:t>万元，其中</w:t>
      </w:r>
      <w:r>
        <w:rPr>
          <w:rFonts w:hint="eastAsia" w:ascii="仿宋_GB2312" w:hAnsi="Times New Roman" w:eastAsia="仿宋_GB2312" w:cs="Times New Roman"/>
          <w:sz w:val="30"/>
          <w:szCs w:val="30"/>
          <w:lang w:val="en-US" w:eastAsia="zh-CN"/>
        </w:rPr>
        <w:t>2022年</w:t>
      </w:r>
      <w:r>
        <w:rPr>
          <w:rFonts w:hint="eastAsia" w:ascii="仿宋_GB2312" w:hAnsi="Times New Roman" w:eastAsia="仿宋_GB2312" w:cs="Times New Roman"/>
          <w:sz w:val="30"/>
          <w:szCs w:val="30"/>
        </w:rPr>
        <w:t>业务车辆油修保养保险费用</w:t>
      </w:r>
      <w:r>
        <w:rPr>
          <w:rFonts w:hint="eastAsia" w:ascii="仿宋_GB2312" w:hAnsi="Times New Roman" w:eastAsia="仿宋_GB2312" w:cs="Times New Roman"/>
          <w:sz w:val="30"/>
          <w:szCs w:val="30"/>
          <w:lang w:val="en-US" w:eastAsia="zh-CN"/>
        </w:rPr>
        <w:t>219.95</w:t>
      </w:r>
      <w:r>
        <w:rPr>
          <w:rFonts w:hint="eastAsia" w:ascii="仿宋_GB2312" w:hAnsi="Times New Roman" w:eastAsia="仿宋_GB2312" w:cs="Times New Roman"/>
          <w:sz w:val="30"/>
          <w:szCs w:val="30"/>
        </w:rPr>
        <w:t>万元</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专用材料费用</w:t>
      </w:r>
      <w:r>
        <w:rPr>
          <w:rFonts w:hint="eastAsia" w:ascii="仿宋_GB2312" w:hAnsi="Times New Roman" w:eastAsia="仿宋_GB2312" w:cs="Times New Roman"/>
          <w:sz w:val="30"/>
          <w:szCs w:val="30"/>
          <w:lang w:val="en-US" w:eastAsia="zh-CN"/>
        </w:rPr>
        <w:t>110</w:t>
      </w:r>
      <w:r>
        <w:rPr>
          <w:rFonts w:hint="eastAsia" w:ascii="仿宋_GB2312" w:hAnsi="Times New Roman" w:eastAsia="仿宋_GB2312" w:cs="Times New Roman"/>
          <w:sz w:val="30"/>
          <w:szCs w:val="30"/>
        </w:rPr>
        <w:t>万元</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苗木</w:t>
      </w:r>
      <w:r>
        <w:rPr>
          <w:rFonts w:hint="eastAsia" w:ascii="仿宋_GB2312" w:hAnsi="Times New Roman" w:eastAsia="仿宋_GB2312" w:cs="Times New Roman"/>
          <w:sz w:val="30"/>
          <w:szCs w:val="30"/>
          <w:lang w:eastAsia="zh-CN"/>
        </w:rPr>
        <w:t>花卉</w:t>
      </w:r>
      <w:r>
        <w:rPr>
          <w:rFonts w:hint="eastAsia" w:ascii="仿宋_GB2312" w:hAnsi="Times New Roman" w:eastAsia="仿宋_GB2312" w:cs="Times New Roman"/>
          <w:sz w:val="30"/>
          <w:szCs w:val="30"/>
        </w:rPr>
        <w:t>经费</w:t>
      </w:r>
      <w:r>
        <w:rPr>
          <w:rFonts w:hint="eastAsia" w:ascii="仿宋_GB2312" w:hAnsi="Times New Roman" w:eastAsia="仿宋_GB2312" w:cs="Times New Roman"/>
          <w:sz w:val="30"/>
          <w:szCs w:val="30"/>
          <w:lang w:val="en-US" w:eastAsia="zh-CN"/>
        </w:rPr>
        <w:t>531.63</w:t>
      </w:r>
      <w:r>
        <w:rPr>
          <w:rFonts w:hint="eastAsia" w:ascii="仿宋_GB2312" w:hAnsi="Times New Roman" w:eastAsia="仿宋_GB2312" w:cs="Times New Roman"/>
          <w:sz w:val="30"/>
          <w:szCs w:val="30"/>
        </w:rPr>
        <w:t>万元</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农药化肥支出</w:t>
      </w:r>
      <w:r>
        <w:rPr>
          <w:rFonts w:hint="eastAsia" w:ascii="仿宋_GB2312" w:hAnsi="Times New Roman" w:eastAsia="仿宋_GB2312" w:cs="Times New Roman"/>
          <w:sz w:val="30"/>
          <w:szCs w:val="30"/>
          <w:lang w:val="en-US" w:eastAsia="zh-CN"/>
        </w:rPr>
        <w:t>71.92</w:t>
      </w:r>
      <w:r>
        <w:rPr>
          <w:rFonts w:hint="eastAsia" w:ascii="仿宋_GB2312" w:hAnsi="Times New Roman" w:eastAsia="仿宋_GB2312" w:cs="Times New Roman"/>
          <w:sz w:val="30"/>
          <w:szCs w:val="30"/>
        </w:rPr>
        <w:t>万元</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绿委</w:t>
      </w:r>
      <w:r>
        <w:rPr>
          <w:rFonts w:hint="eastAsia" w:ascii="仿宋_GB2312" w:hAnsi="Times New Roman" w:eastAsia="仿宋_GB2312" w:cs="Times New Roman"/>
          <w:sz w:val="30"/>
          <w:szCs w:val="30"/>
          <w:lang w:val="en-US" w:eastAsia="zh-CN"/>
        </w:rPr>
        <w:t>13.09</w:t>
      </w:r>
      <w:r>
        <w:rPr>
          <w:rFonts w:hint="eastAsia" w:ascii="仿宋_GB2312" w:hAnsi="Times New Roman" w:eastAsia="仿宋_GB2312" w:cs="Times New Roman"/>
          <w:sz w:val="30"/>
          <w:szCs w:val="30"/>
        </w:rPr>
        <w:t>万元</w:t>
      </w:r>
      <w:r>
        <w:rPr>
          <w:rFonts w:hint="eastAsia" w:ascii="仿宋_GB2312" w:hAnsi="Times New Roman" w:eastAsia="仿宋_GB2312" w:cs="Times New Roman"/>
          <w:sz w:val="30"/>
          <w:szCs w:val="30"/>
          <w:lang w:eastAsia="zh-CN"/>
        </w:rPr>
        <w:t>、临聘及维护民工工资</w:t>
      </w:r>
      <w:r>
        <w:rPr>
          <w:rFonts w:hint="eastAsia" w:ascii="仿宋_GB2312" w:hAnsi="Times New Roman" w:eastAsia="仿宋_GB2312" w:cs="Times New Roman"/>
          <w:sz w:val="30"/>
          <w:szCs w:val="30"/>
          <w:lang w:val="en-US" w:eastAsia="zh-CN"/>
        </w:rPr>
        <w:t>1216.34万元、其他维护经费220.41万元、</w:t>
      </w:r>
      <w:r>
        <w:rPr>
          <w:rFonts w:hint="eastAsia" w:ascii="仿宋_GB2312" w:hAnsi="Times New Roman" w:eastAsia="仿宋_GB2312" w:cs="Times New Roman"/>
          <w:sz w:val="30"/>
          <w:szCs w:val="30"/>
          <w:lang w:eastAsia="zh-CN"/>
        </w:rPr>
        <w:t>省植物园基础</w:t>
      </w:r>
      <w:r>
        <w:rPr>
          <w:rFonts w:hint="eastAsia" w:ascii="仿宋_GB2312" w:eastAsia="仿宋_GB2312" w:cs="Times New Roman"/>
          <w:sz w:val="30"/>
          <w:szCs w:val="30"/>
          <w:lang w:eastAsia="zh-CN"/>
        </w:rPr>
        <w:t>设施</w:t>
      </w:r>
      <w:r>
        <w:rPr>
          <w:rFonts w:hint="eastAsia" w:ascii="仿宋_GB2312" w:hAnsi="Times New Roman" w:eastAsia="仿宋_GB2312" w:cs="Times New Roman"/>
          <w:sz w:val="30"/>
          <w:szCs w:val="30"/>
          <w:lang w:eastAsia="zh-CN"/>
        </w:rPr>
        <w:t>建设经费</w:t>
      </w:r>
      <w:r>
        <w:rPr>
          <w:rFonts w:hint="eastAsia" w:ascii="仿宋_GB2312" w:hAnsi="Times New Roman" w:eastAsia="仿宋_GB2312" w:cs="Times New Roman"/>
          <w:sz w:val="30"/>
          <w:szCs w:val="30"/>
          <w:lang w:val="en-US" w:eastAsia="zh-CN"/>
        </w:rPr>
        <w:t>115万元、绿化</w:t>
      </w:r>
      <w:r>
        <w:rPr>
          <w:rFonts w:hint="default" w:ascii="仿宋_GB2312" w:hAnsi="Times New Roman" w:eastAsia="仿宋_GB2312" w:cs="Times New Roman"/>
          <w:sz w:val="30"/>
          <w:szCs w:val="30"/>
          <w:lang w:eastAsia="zh-CN"/>
        </w:rPr>
        <w:t>服务外包</w:t>
      </w:r>
      <w:r>
        <w:rPr>
          <w:rFonts w:hint="eastAsia" w:ascii="仿宋_GB2312" w:hAnsi="Times New Roman" w:eastAsia="仿宋_GB2312" w:cs="Times New Roman"/>
          <w:sz w:val="30"/>
          <w:szCs w:val="30"/>
          <w:lang w:val="en-US" w:eastAsia="zh-CN"/>
        </w:rPr>
        <w:t>190.77万元</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使用上年</w:t>
      </w:r>
      <w:r>
        <w:rPr>
          <w:rFonts w:hint="eastAsia" w:ascii="仿宋_GB2312" w:hAnsi="Times New Roman" w:eastAsia="仿宋_GB2312" w:cs="Times New Roman"/>
          <w:sz w:val="30"/>
          <w:szCs w:val="30"/>
          <w:lang w:eastAsia="zh-CN"/>
        </w:rPr>
        <w:t>度市级财政拨款</w:t>
      </w:r>
      <w:r>
        <w:rPr>
          <w:rFonts w:hint="eastAsia" w:ascii="仿宋_GB2312" w:hAnsi="Times New Roman" w:eastAsia="仿宋_GB2312" w:cs="Times New Roman"/>
          <w:sz w:val="30"/>
          <w:szCs w:val="30"/>
        </w:rPr>
        <w:t>合计</w:t>
      </w:r>
      <w:r>
        <w:rPr>
          <w:rFonts w:hint="eastAsia" w:ascii="仿宋_GB2312" w:hAnsi="Times New Roman" w:eastAsia="仿宋_GB2312" w:cs="Times New Roman"/>
          <w:sz w:val="30"/>
          <w:szCs w:val="30"/>
          <w:lang w:val="en-US" w:eastAsia="zh-CN"/>
        </w:rPr>
        <w:t>301.55</w:t>
      </w:r>
      <w:r>
        <w:rPr>
          <w:rFonts w:hint="eastAsia" w:ascii="仿宋_GB2312" w:hAnsi="Times New Roman" w:eastAsia="仿宋_GB2312" w:cs="Times New Roman"/>
          <w:sz w:val="30"/>
          <w:szCs w:val="30"/>
        </w:rPr>
        <w:t>万元</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全年度各</w:t>
      </w:r>
      <w:r>
        <w:rPr>
          <w:rFonts w:hint="eastAsia" w:ascii="仿宋_GB2312" w:hAnsi="Times New Roman" w:eastAsia="仿宋_GB2312" w:cs="Times New Roman"/>
          <w:sz w:val="30"/>
          <w:szCs w:val="30"/>
          <w:lang w:eastAsia="zh-CN"/>
        </w:rPr>
        <w:t>专</w:t>
      </w:r>
      <w:r>
        <w:rPr>
          <w:rFonts w:hint="eastAsia" w:ascii="仿宋_GB2312" w:hAnsi="Times New Roman" w:eastAsia="仿宋_GB2312" w:cs="Times New Roman"/>
          <w:sz w:val="30"/>
          <w:szCs w:val="30"/>
        </w:rPr>
        <w:t>项经费开支均在预算计划之内。</w:t>
      </w:r>
    </w:p>
    <w:p>
      <w:pPr>
        <w:widowControl/>
        <w:shd w:val="clear" w:color="auto" w:fill="FFFFFF"/>
        <w:ind w:firstLine="748"/>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具体明细如下：</w:t>
      </w:r>
    </w:p>
    <w:p>
      <w:pPr>
        <w:widowControl/>
        <w:spacing w:line="480" w:lineRule="auto"/>
        <w:ind w:firstLine="7093" w:firstLineChars="3378"/>
        <w:rPr>
          <w:rFonts w:ascii="宋体" w:hAnsi="宋体" w:cs="宋体"/>
          <w:color w:val="666666"/>
          <w:kern w:val="0"/>
          <w:szCs w:val="21"/>
        </w:rPr>
      </w:pPr>
    </w:p>
    <w:p>
      <w:pPr>
        <w:pStyle w:val="2"/>
        <w:rPr>
          <w:rFonts w:ascii="宋体" w:hAnsi="宋体" w:cs="宋体"/>
          <w:color w:val="666666"/>
          <w:kern w:val="0"/>
          <w:szCs w:val="21"/>
        </w:rPr>
      </w:pPr>
    </w:p>
    <w:p>
      <w:pPr>
        <w:pStyle w:val="3"/>
        <w:rPr>
          <w:rFonts w:ascii="宋体" w:hAnsi="宋体" w:cs="宋体"/>
          <w:color w:val="666666"/>
          <w:kern w:val="0"/>
          <w:szCs w:val="21"/>
        </w:rPr>
      </w:pPr>
    </w:p>
    <w:p>
      <w:pPr>
        <w:pStyle w:val="4"/>
        <w:rPr>
          <w:rFonts w:ascii="宋体" w:hAnsi="宋体" w:cs="宋体"/>
          <w:color w:val="666666"/>
          <w:kern w:val="0"/>
          <w:szCs w:val="21"/>
        </w:rPr>
      </w:pPr>
    </w:p>
    <w:p>
      <w:pPr>
        <w:pStyle w:val="5"/>
      </w:pPr>
    </w:p>
    <w:p>
      <w:pPr>
        <w:widowControl/>
        <w:spacing w:line="480" w:lineRule="auto"/>
        <w:ind w:firstLine="7093" w:firstLineChars="3378"/>
        <w:rPr>
          <w:rFonts w:ascii="宋体" w:hAnsi="宋体" w:cs="宋体"/>
          <w:color w:val="666666"/>
          <w:kern w:val="0"/>
          <w:szCs w:val="21"/>
        </w:rPr>
      </w:pPr>
      <w:r>
        <w:rPr>
          <w:rFonts w:ascii="宋体" w:hAnsi="宋体" w:cs="宋体"/>
          <w:color w:val="666666"/>
          <w:kern w:val="0"/>
          <w:szCs w:val="21"/>
        </w:rPr>
        <w:t>单位：万元</w:t>
      </w:r>
    </w:p>
    <w:tbl>
      <w:tblPr>
        <w:tblStyle w:val="13"/>
        <w:tblW w:w="778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737"/>
        <w:gridCol w:w="1825"/>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noWrap w:val="0"/>
            <w:vAlign w:val="center"/>
          </w:tcPr>
          <w:p>
            <w:pPr>
              <w:widowControl/>
              <w:spacing w:line="480" w:lineRule="auto"/>
              <w:jc w:val="center"/>
              <w:rPr>
                <w:vertAlign w:val="baseline"/>
              </w:rPr>
            </w:pPr>
            <w:r>
              <w:rPr>
                <w:rFonts w:ascii="宋体" w:hAnsi="宋体" w:cs="宋体"/>
                <w:kern w:val="0"/>
                <w:sz w:val="18"/>
                <w:szCs w:val="18"/>
              </w:rPr>
              <w:t>项目名称</w:t>
            </w:r>
          </w:p>
        </w:tc>
        <w:tc>
          <w:tcPr>
            <w:tcW w:w="1737" w:type="dxa"/>
            <w:noWrap w:val="0"/>
            <w:vAlign w:val="center"/>
          </w:tcPr>
          <w:p>
            <w:pPr>
              <w:widowControl/>
              <w:spacing w:line="480" w:lineRule="auto"/>
              <w:jc w:val="center"/>
              <w:rPr>
                <w:rFonts w:hint="eastAsia" w:ascii="宋体" w:hAnsi="宋体" w:eastAsia="宋体" w:cs="宋体"/>
                <w:kern w:val="0"/>
                <w:sz w:val="18"/>
                <w:szCs w:val="18"/>
                <w:lang w:val="en-US" w:eastAsia="zh-CN" w:bidi="ar-SA"/>
              </w:rPr>
            </w:pPr>
            <w:r>
              <w:rPr>
                <w:rFonts w:ascii="宋体" w:hAnsi="宋体" w:cs="宋体"/>
                <w:kern w:val="0"/>
                <w:sz w:val="18"/>
                <w:szCs w:val="18"/>
              </w:rPr>
              <w:t>本年</w:t>
            </w:r>
            <w:r>
              <w:rPr>
                <w:rFonts w:hint="eastAsia" w:ascii="宋体" w:hAnsi="宋体" w:cs="宋体"/>
                <w:kern w:val="0"/>
                <w:sz w:val="18"/>
                <w:szCs w:val="18"/>
                <w:lang w:eastAsia="zh-CN"/>
              </w:rPr>
              <w:t>区级拨款</w:t>
            </w:r>
          </w:p>
        </w:tc>
        <w:tc>
          <w:tcPr>
            <w:tcW w:w="1825" w:type="dxa"/>
            <w:noWrap w:val="0"/>
            <w:vAlign w:val="center"/>
          </w:tcPr>
          <w:p>
            <w:pPr>
              <w:widowControl/>
              <w:spacing w:line="480" w:lineRule="auto"/>
              <w:jc w:val="center"/>
              <w:rPr>
                <w:rFonts w:ascii="宋体" w:hAnsi="宋体" w:cs="宋体"/>
                <w:kern w:val="0"/>
                <w:sz w:val="18"/>
                <w:szCs w:val="18"/>
                <w:lang w:val="en-US" w:eastAsia="zh-CN" w:bidi="ar-SA"/>
              </w:rPr>
            </w:pPr>
            <w:r>
              <w:rPr>
                <w:rFonts w:ascii="宋体" w:hAnsi="宋体" w:cs="宋体"/>
                <w:kern w:val="0"/>
                <w:sz w:val="18"/>
                <w:szCs w:val="18"/>
              </w:rPr>
              <w:t>本年</w:t>
            </w:r>
            <w:r>
              <w:rPr>
                <w:rFonts w:hint="eastAsia" w:ascii="宋体" w:hAnsi="宋体" w:cs="宋体"/>
                <w:kern w:val="0"/>
                <w:sz w:val="18"/>
                <w:szCs w:val="18"/>
                <w:lang w:eastAsia="zh-CN"/>
              </w:rPr>
              <w:t>市级拨款</w:t>
            </w:r>
          </w:p>
        </w:tc>
        <w:tc>
          <w:tcPr>
            <w:tcW w:w="2038" w:type="dxa"/>
            <w:noWrap w:val="0"/>
            <w:vAlign w:val="center"/>
          </w:tcPr>
          <w:p>
            <w:pPr>
              <w:widowControl/>
              <w:spacing w:line="480" w:lineRule="auto"/>
              <w:jc w:val="center"/>
              <w:rPr>
                <w:rFonts w:hint="eastAsia" w:ascii="宋体" w:hAnsi="宋体" w:cs="宋体"/>
                <w:kern w:val="0"/>
                <w:sz w:val="18"/>
                <w:szCs w:val="18"/>
                <w:lang w:val="en-US" w:eastAsia="zh-CN" w:bidi="ar-SA"/>
              </w:rPr>
            </w:pPr>
            <w:r>
              <w:rPr>
                <w:rFonts w:hint="eastAsia" w:ascii="宋体" w:hAnsi="宋体" w:cs="宋体"/>
                <w:kern w:val="0"/>
                <w:sz w:val="18"/>
                <w:szCs w:val="18"/>
              </w:rPr>
              <w:t>本年实际支出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noWrap w:val="0"/>
            <w:vAlign w:val="center"/>
          </w:tcPr>
          <w:p>
            <w:pPr>
              <w:widowControl/>
              <w:spacing w:line="480" w:lineRule="auto"/>
              <w:jc w:val="center"/>
              <w:rPr>
                <w:vertAlign w:val="baseline"/>
              </w:rPr>
            </w:pPr>
            <w:r>
              <w:rPr>
                <w:rFonts w:hint="eastAsia" w:ascii="宋体" w:hAnsi="宋体" w:cs="宋体"/>
                <w:kern w:val="0"/>
                <w:sz w:val="18"/>
                <w:szCs w:val="18"/>
                <w:lang w:val="en-US" w:eastAsia="zh-CN"/>
              </w:rPr>
              <w:t>2022年</w:t>
            </w:r>
            <w:r>
              <w:rPr>
                <w:rFonts w:hint="eastAsia" w:ascii="宋体" w:hAnsi="宋体" w:cs="宋体"/>
                <w:kern w:val="0"/>
                <w:sz w:val="18"/>
                <w:szCs w:val="18"/>
              </w:rPr>
              <w:t>苗木</w:t>
            </w:r>
            <w:r>
              <w:rPr>
                <w:rFonts w:hint="eastAsia" w:ascii="宋体" w:hAnsi="宋体" w:cs="宋体"/>
                <w:kern w:val="0"/>
                <w:sz w:val="18"/>
                <w:szCs w:val="18"/>
                <w:lang w:eastAsia="zh-CN"/>
              </w:rPr>
              <w:t>花卉</w:t>
            </w:r>
            <w:r>
              <w:rPr>
                <w:rFonts w:hint="eastAsia" w:ascii="宋体" w:hAnsi="宋体" w:cs="宋体"/>
                <w:kern w:val="0"/>
                <w:sz w:val="18"/>
                <w:szCs w:val="18"/>
              </w:rPr>
              <w:t>经费</w:t>
            </w:r>
          </w:p>
        </w:tc>
        <w:tc>
          <w:tcPr>
            <w:tcW w:w="1737"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c>
          <w:tcPr>
            <w:tcW w:w="1825"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331.63</w:t>
            </w:r>
          </w:p>
        </w:tc>
        <w:tc>
          <w:tcPr>
            <w:tcW w:w="2038"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noWrap w:val="0"/>
            <w:vAlign w:val="center"/>
          </w:tcPr>
          <w:p>
            <w:pPr>
              <w:widowControl/>
              <w:spacing w:line="480" w:lineRule="auto"/>
              <w:jc w:val="center"/>
              <w:rPr>
                <w:vertAlign w:val="baseline"/>
              </w:rPr>
            </w:pPr>
            <w:r>
              <w:rPr>
                <w:rFonts w:hint="eastAsia" w:ascii="宋体" w:hAnsi="宋体" w:cs="宋体"/>
                <w:kern w:val="0"/>
                <w:sz w:val="18"/>
                <w:szCs w:val="18"/>
                <w:lang w:val="en-US" w:eastAsia="zh-CN"/>
              </w:rPr>
              <w:t>2022年</w:t>
            </w:r>
            <w:r>
              <w:rPr>
                <w:rFonts w:hint="eastAsia" w:ascii="宋体" w:hAnsi="宋体" w:cs="宋体"/>
                <w:kern w:val="0"/>
                <w:sz w:val="18"/>
                <w:szCs w:val="18"/>
              </w:rPr>
              <w:t>专用材料费</w:t>
            </w:r>
          </w:p>
        </w:tc>
        <w:tc>
          <w:tcPr>
            <w:tcW w:w="1737"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w:t>
            </w:r>
          </w:p>
        </w:tc>
        <w:tc>
          <w:tcPr>
            <w:tcW w:w="1825"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p>
        </w:tc>
        <w:tc>
          <w:tcPr>
            <w:tcW w:w="2038"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noWrap w:val="0"/>
            <w:vAlign w:val="center"/>
          </w:tcPr>
          <w:p>
            <w:pPr>
              <w:widowControl/>
              <w:spacing w:line="480" w:lineRule="auto"/>
              <w:jc w:val="center"/>
              <w:rPr>
                <w:vertAlign w:val="baseline"/>
              </w:rPr>
            </w:pPr>
            <w:r>
              <w:rPr>
                <w:rFonts w:hint="eastAsia" w:ascii="宋体" w:hAnsi="宋体" w:cs="宋体"/>
                <w:kern w:val="0"/>
                <w:sz w:val="18"/>
                <w:szCs w:val="18"/>
                <w:lang w:val="en-US" w:eastAsia="zh-CN"/>
              </w:rPr>
              <w:t>2022年</w:t>
            </w:r>
            <w:r>
              <w:rPr>
                <w:rFonts w:hint="eastAsia" w:ascii="宋体" w:hAnsi="宋体" w:cs="宋体"/>
                <w:kern w:val="0"/>
                <w:sz w:val="18"/>
                <w:szCs w:val="18"/>
              </w:rPr>
              <w:t>绿委</w:t>
            </w:r>
          </w:p>
        </w:tc>
        <w:tc>
          <w:tcPr>
            <w:tcW w:w="1737"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13.09</w:t>
            </w:r>
          </w:p>
        </w:tc>
        <w:tc>
          <w:tcPr>
            <w:tcW w:w="1825"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p>
        </w:tc>
        <w:tc>
          <w:tcPr>
            <w:tcW w:w="2038"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noWrap w:val="0"/>
            <w:vAlign w:val="center"/>
          </w:tcPr>
          <w:p>
            <w:pPr>
              <w:widowControl/>
              <w:spacing w:line="480" w:lineRule="auto"/>
              <w:jc w:val="center"/>
              <w:rPr>
                <w:vertAlign w:val="baseline"/>
              </w:rPr>
            </w:pPr>
            <w:r>
              <w:rPr>
                <w:rFonts w:hint="eastAsia" w:ascii="宋体" w:hAnsi="宋体" w:cs="宋体"/>
                <w:kern w:val="0"/>
                <w:sz w:val="18"/>
                <w:szCs w:val="18"/>
                <w:lang w:val="en-US" w:eastAsia="zh-CN"/>
              </w:rPr>
              <w:t>2022年</w:t>
            </w:r>
            <w:r>
              <w:rPr>
                <w:rFonts w:hint="eastAsia" w:ascii="宋体" w:hAnsi="宋体" w:cs="宋体"/>
                <w:kern w:val="0"/>
                <w:sz w:val="18"/>
                <w:szCs w:val="18"/>
              </w:rPr>
              <w:t>业务车辆费用</w:t>
            </w:r>
          </w:p>
        </w:tc>
        <w:tc>
          <w:tcPr>
            <w:tcW w:w="1737"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219.95</w:t>
            </w:r>
          </w:p>
        </w:tc>
        <w:tc>
          <w:tcPr>
            <w:tcW w:w="1825"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p>
        </w:tc>
        <w:tc>
          <w:tcPr>
            <w:tcW w:w="2038"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noWrap w:val="0"/>
            <w:vAlign w:val="center"/>
          </w:tcPr>
          <w:p>
            <w:pPr>
              <w:widowControl/>
              <w:spacing w:line="480" w:lineRule="auto"/>
              <w:jc w:val="center"/>
              <w:rPr>
                <w:vertAlign w:val="baseline"/>
              </w:rPr>
            </w:pPr>
            <w:r>
              <w:rPr>
                <w:rFonts w:hint="eastAsia" w:ascii="宋体" w:hAnsi="宋体" w:cs="宋体"/>
                <w:kern w:val="0"/>
                <w:sz w:val="18"/>
                <w:szCs w:val="18"/>
                <w:lang w:val="en-US" w:eastAsia="zh-CN"/>
              </w:rPr>
              <w:t>2022年</w:t>
            </w:r>
            <w:r>
              <w:rPr>
                <w:rFonts w:hint="eastAsia" w:ascii="宋体" w:hAnsi="宋体" w:cs="宋体"/>
                <w:kern w:val="0"/>
                <w:sz w:val="18"/>
                <w:szCs w:val="18"/>
              </w:rPr>
              <w:t>农药化肥</w:t>
            </w:r>
          </w:p>
        </w:tc>
        <w:tc>
          <w:tcPr>
            <w:tcW w:w="1737"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71.92</w:t>
            </w:r>
          </w:p>
        </w:tc>
        <w:tc>
          <w:tcPr>
            <w:tcW w:w="1825"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p>
        </w:tc>
        <w:tc>
          <w:tcPr>
            <w:tcW w:w="2038"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noWrap w:val="0"/>
            <w:vAlign w:val="center"/>
          </w:tcPr>
          <w:p>
            <w:pPr>
              <w:widowControl/>
              <w:spacing w:line="480" w:lineRule="auto"/>
              <w:jc w:val="center"/>
              <w:rPr>
                <w:vertAlign w:val="baseline"/>
              </w:rPr>
            </w:pPr>
            <w:r>
              <w:rPr>
                <w:rFonts w:hint="eastAsia" w:ascii="宋体" w:hAnsi="宋体" w:cs="宋体"/>
                <w:kern w:val="0"/>
                <w:sz w:val="18"/>
                <w:szCs w:val="18"/>
                <w:lang w:val="en-US" w:eastAsia="zh-CN"/>
              </w:rPr>
              <w:t>2022年</w:t>
            </w:r>
            <w:r>
              <w:rPr>
                <w:rFonts w:hint="eastAsia" w:ascii="宋体" w:hAnsi="宋体" w:cs="宋体"/>
                <w:kern w:val="0"/>
                <w:sz w:val="18"/>
                <w:szCs w:val="18"/>
              </w:rPr>
              <w:t>其他维护费用</w:t>
            </w:r>
          </w:p>
        </w:tc>
        <w:tc>
          <w:tcPr>
            <w:tcW w:w="1737"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w:t>
            </w:r>
          </w:p>
        </w:tc>
        <w:tc>
          <w:tcPr>
            <w:tcW w:w="1825"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136.41</w:t>
            </w:r>
          </w:p>
        </w:tc>
        <w:tc>
          <w:tcPr>
            <w:tcW w:w="2038"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noWrap w:val="0"/>
            <w:vAlign w:val="center"/>
          </w:tcPr>
          <w:p>
            <w:pPr>
              <w:widowControl/>
              <w:spacing w:line="480" w:lineRule="auto"/>
              <w:jc w:val="center"/>
              <w:rPr>
                <w:vertAlign w:val="baseline"/>
              </w:rPr>
            </w:pPr>
            <w:r>
              <w:rPr>
                <w:rFonts w:hint="eastAsia" w:ascii="宋体" w:hAnsi="宋体" w:cs="宋体"/>
                <w:kern w:val="0"/>
                <w:sz w:val="18"/>
                <w:szCs w:val="18"/>
                <w:lang w:val="en-US" w:eastAsia="zh-CN"/>
              </w:rPr>
              <w:t>2022年</w:t>
            </w:r>
            <w:r>
              <w:rPr>
                <w:rFonts w:hint="eastAsia" w:ascii="宋体" w:hAnsi="宋体" w:cs="宋体"/>
                <w:kern w:val="0"/>
                <w:sz w:val="18"/>
                <w:szCs w:val="18"/>
                <w:lang w:eastAsia="zh-CN"/>
              </w:rPr>
              <w:t>维护民工经费</w:t>
            </w:r>
          </w:p>
        </w:tc>
        <w:tc>
          <w:tcPr>
            <w:tcW w:w="1737"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874.38</w:t>
            </w:r>
          </w:p>
        </w:tc>
        <w:tc>
          <w:tcPr>
            <w:tcW w:w="1825"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341.96</w:t>
            </w:r>
          </w:p>
        </w:tc>
        <w:tc>
          <w:tcPr>
            <w:tcW w:w="2038"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1216.34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noWrap w:val="0"/>
            <w:vAlign w:val="center"/>
          </w:tcPr>
          <w:p>
            <w:pPr>
              <w:widowControl/>
              <w:spacing w:line="480" w:lineRule="auto"/>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2022年省植物园基础</w:t>
            </w:r>
            <w:r>
              <w:rPr>
                <w:rFonts w:hint="eastAsia" w:ascii="宋体" w:hAnsi="宋体" w:cs="宋体"/>
                <w:kern w:val="0"/>
                <w:sz w:val="18"/>
                <w:szCs w:val="18"/>
                <w:lang w:val="en-US" w:eastAsia="zh-CN"/>
              </w:rPr>
              <w:t>设施</w:t>
            </w:r>
            <w:bookmarkStart w:id="0" w:name="_GoBack"/>
            <w:bookmarkEnd w:id="0"/>
            <w:r>
              <w:rPr>
                <w:rFonts w:hint="eastAsia" w:ascii="宋体" w:hAnsi="宋体" w:eastAsia="宋体" w:cs="宋体"/>
                <w:kern w:val="0"/>
                <w:sz w:val="18"/>
                <w:szCs w:val="18"/>
                <w:lang w:val="en-US" w:eastAsia="zh-CN"/>
              </w:rPr>
              <w:t>建设经费</w:t>
            </w:r>
          </w:p>
        </w:tc>
        <w:tc>
          <w:tcPr>
            <w:tcW w:w="1737" w:type="dxa"/>
            <w:noWrap w:val="0"/>
            <w:vAlign w:val="center"/>
          </w:tcPr>
          <w:p>
            <w:pPr>
              <w:widowControl/>
              <w:spacing w:line="480" w:lineRule="auto"/>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115</w:t>
            </w:r>
          </w:p>
        </w:tc>
        <w:tc>
          <w:tcPr>
            <w:tcW w:w="1825" w:type="dxa"/>
            <w:noWrap w:val="0"/>
            <w:vAlign w:val="center"/>
          </w:tcPr>
          <w:p>
            <w:pPr>
              <w:widowControl/>
              <w:spacing w:line="480" w:lineRule="auto"/>
              <w:jc w:val="center"/>
              <w:rPr>
                <w:rFonts w:hint="eastAsia" w:ascii="宋体" w:hAnsi="宋体" w:eastAsia="宋体" w:cs="宋体"/>
                <w:kern w:val="0"/>
                <w:sz w:val="18"/>
                <w:szCs w:val="18"/>
                <w:lang w:val="en-US" w:eastAsia="zh-CN" w:bidi="ar-SA"/>
              </w:rPr>
            </w:pPr>
          </w:p>
        </w:tc>
        <w:tc>
          <w:tcPr>
            <w:tcW w:w="2038" w:type="dxa"/>
            <w:noWrap w:val="0"/>
            <w:vAlign w:val="center"/>
          </w:tcPr>
          <w:p>
            <w:pPr>
              <w:widowControl/>
              <w:spacing w:line="480" w:lineRule="auto"/>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noWrap w:val="0"/>
            <w:vAlign w:val="center"/>
          </w:tcPr>
          <w:p>
            <w:pPr>
              <w:widowControl/>
              <w:spacing w:line="480" w:lineRule="auto"/>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202</w:t>
            </w:r>
            <w:r>
              <w:rPr>
                <w:rFonts w:hint="eastAsia" w:ascii="宋体" w:hAnsi="宋体" w:eastAsia="宋体" w:cs="宋体"/>
                <w:kern w:val="0"/>
                <w:sz w:val="18"/>
                <w:szCs w:val="18"/>
                <w:lang w:val="en-US" w:eastAsia="zh-CN"/>
              </w:rPr>
              <w:t>2</w:t>
            </w:r>
            <w:r>
              <w:rPr>
                <w:rFonts w:hint="default" w:ascii="宋体" w:hAnsi="宋体" w:eastAsia="宋体" w:cs="宋体"/>
                <w:kern w:val="0"/>
                <w:sz w:val="18"/>
                <w:szCs w:val="18"/>
                <w:lang w:val="en-US" w:eastAsia="zh-CN"/>
              </w:rPr>
              <w:t>年</w:t>
            </w:r>
            <w:r>
              <w:rPr>
                <w:rFonts w:hint="eastAsia" w:ascii="宋体" w:hAnsi="宋体" w:eastAsia="宋体" w:cs="宋体"/>
                <w:kern w:val="0"/>
                <w:sz w:val="18"/>
                <w:szCs w:val="18"/>
                <w:lang w:val="en-US" w:eastAsia="zh-CN"/>
              </w:rPr>
              <w:t>绿化</w:t>
            </w:r>
            <w:r>
              <w:rPr>
                <w:rFonts w:hint="default" w:ascii="宋体" w:hAnsi="宋体" w:eastAsia="宋体" w:cs="宋体"/>
                <w:kern w:val="0"/>
                <w:sz w:val="18"/>
                <w:szCs w:val="18"/>
                <w:lang w:val="en-US" w:eastAsia="zh-CN"/>
              </w:rPr>
              <w:t>服务外包</w:t>
            </w:r>
            <w:r>
              <w:rPr>
                <w:rFonts w:hint="eastAsia" w:ascii="宋体" w:hAnsi="宋体" w:eastAsia="宋体" w:cs="宋体"/>
                <w:kern w:val="0"/>
                <w:sz w:val="18"/>
                <w:szCs w:val="18"/>
                <w:lang w:val="en-US" w:eastAsia="zh-CN"/>
              </w:rPr>
              <w:t>（年初预算）</w:t>
            </w:r>
          </w:p>
        </w:tc>
        <w:tc>
          <w:tcPr>
            <w:tcW w:w="1737" w:type="dxa"/>
            <w:noWrap w:val="0"/>
            <w:vAlign w:val="center"/>
          </w:tcPr>
          <w:p>
            <w:pPr>
              <w:widowControl/>
              <w:spacing w:line="480" w:lineRule="auto"/>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14.77</w:t>
            </w:r>
          </w:p>
        </w:tc>
        <w:tc>
          <w:tcPr>
            <w:tcW w:w="1825" w:type="dxa"/>
            <w:noWrap w:val="0"/>
            <w:vAlign w:val="center"/>
          </w:tcPr>
          <w:p>
            <w:pPr>
              <w:widowControl/>
              <w:spacing w:line="480" w:lineRule="auto"/>
              <w:jc w:val="center"/>
              <w:rPr>
                <w:rFonts w:hint="eastAsia" w:ascii="宋体" w:hAnsi="宋体" w:eastAsia="宋体" w:cs="宋体"/>
                <w:kern w:val="0"/>
                <w:sz w:val="18"/>
                <w:szCs w:val="18"/>
                <w:lang w:val="en-US" w:eastAsia="zh-CN" w:bidi="ar-SA"/>
              </w:rPr>
            </w:pPr>
          </w:p>
        </w:tc>
        <w:tc>
          <w:tcPr>
            <w:tcW w:w="2038" w:type="dxa"/>
            <w:noWrap w:val="0"/>
            <w:vAlign w:val="center"/>
          </w:tcPr>
          <w:p>
            <w:pPr>
              <w:widowControl/>
              <w:spacing w:line="480" w:lineRule="auto"/>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noWrap w:val="0"/>
            <w:vAlign w:val="center"/>
          </w:tcPr>
          <w:p>
            <w:pPr>
              <w:widowControl/>
              <w:spacing w:line="480" w:lineRule="auto"/>
              <w:jc w:val="center"/>
              <w:rPr>
                <w:rFonts w:hint="default"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202</w:t>
            </w:r>
            <w:r>
              <w:rPr>
                <w:rFonts w:hint="eastAsia" w:ascii="宋体" w:hAnsi="宋体" w:eastAsia="宋体" w:cs="宋体"/>
                <w:kern w:val="0"/>
                <w:sz w:val="18"/>
                <w:szCs w:val="18"/>
                <w:lang w:val="en-US" w:eastAsia="zh-CN"/>
              </w:rPr>
              <w:t>2</w:t>
            </w:r>
            <w:r>
              <w:rPr>
                <w:rFonts w:hint="default" w:ascii="宋体" w:hAnsi="宋体" w:eastAsia="宋体" w:cs="宋体"/>
                <w:kern w:val="0"/>
                <w:sz w:val="18"/>
                <w:szCs w:val="18"/>
                <w:lang w:val="en-US" w:eastAsia="zh-CN"/>
              </w:rPr>
              <w:t>年</w:t>
            </w:r>
            <w:r>
              <w:rPr>
                <w:rFonts w:hint="eastAsia" w:ascii="宋体" w:hAnsi="宋体" w:eastAsia="宋体" w:cs="宋体"/>
                <w:kern w:val="0"/>
                <w:sz w:val="18"/>
                <w:szCs w:val="18"/>
                <w:lang w:val="en-US" w:eastAsia="zh-CN"/>
              </w:rPr>
              <w:t>绿化</w:t>
            </w:r>
            <w:r>
              <w:rPr>
                <w:rFonts w:hint="default" w:ascii="宋体" w:hAnsi="宋体" w:eastAsia="宋体" w:cs="宋体"/>
                <w:kern w:val="0"/>
                <w:sz w:val="18"/>
                <w:szCs w:val="18"/>
                <w:lang w:val="en-US" w:eastAsia="zh-CN"/>
              </w:rPr>
              <w:t>服务外包</w:t>
            </w:r>
            <w:r>
              <w:rPr>
                <w:rFonts w:hint="eastAsia" w:ascii="宋体" w:hAnsi="宋体" w:eastAsia="宋体" w:cs="宋体"/>
                <w:kern w:val="0"/>
                <w:sz w:val="18"/>
                <w:szCs w:val="18"/>
                <w:lang w:val="en-US" w:eastAsia="zh-CN"/>
              </w:rPr>
              <w:t>（追加工程款）</w:t>
            </w:r>
          </w:p>
        </w:tc>
        <w:tc>
          <w:tcPr>
            <w:tcW w:w="1737" w:type="dxa"/>
            <w:noWrap w:val="0"/>
            <w:vAlign w:val="center"/>
          </w:tcPr>
          <w:p>
            <w:pPr>
              <w:widowControl/>
              <w:spacing w:line="480" w:lineRule="auto"/>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176</w:t>
            </w:r>
          </w:p>
        </w:tc>
        <w:tc>
          <w:tcPr>
            <w:tcW w:w="1825" w:type="dxa"/>
            <w:noWrap w:val="0"/>
            <w:vAlign w:val="center"/>
          </w:tcPr>
          <w:p>
            <w:pPr>
              <w:widowControl/>
              <w:spacing w:line="480" w:lineRule="auto"/>
              <w:jc w:val="center"/>
              <w:rPr>
                <w:rFonts w:hint="eastAsia" w:ascii="宋体" w:hAnsi="宋体" w:eastAsia="宋体" w:cs="宋体"/>
                <w:kern w:val="0"/>
                <w:sz w:val="18"/>
                <w:szCs w:val="18"/>
                <w:lang w:val="en-US" w:eastAsia="zh-CN" w:bidi="ar-SA"/>
              </w:rPr>
            </w:pPr>
          </w:p>
        </w:tc>
        <w:tc>
          <w:tcPr>
            <w:tcW w:w="2038" w:type="dxa"/>
            <w:noWrap w:val="0"/>
            <w:vAlign w:val="center"/>
          </w:tcPr>
          <w:p>
            <w:pPr>
              <w:widowControl/>
              <w:spacing w:line="480" w:lineRule="auto"/>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noWrap w:val="0"/>
            <w:vAlign w:val="center"/>
          </w:tcPr>
          <w:p>
            <w:pPr>
              <w:widowControl/>
              <w:spacing w:line="480" w:lineRule="auto"/>
              <w:jc w:val="center"/>
              <w:rPr>
                <w:rFonts w:hint="eastAsia" w:ascii="宋体" w:hAnsi="宋体" w:cs="宋体"/>
                <w:kern w:val="0"/>
                <w:sz w:val="18"/>
                <w:szCs w:val="18"/>
                <w:lang w:eastAsia="zh-CN"/>
              </w:rPr>
            </w:pPr>
            <w:r>
              <w:rPr>
                <w:rFonts w:hint="eastAsia" w:ascii="宋体" w:hAnsi="宋体" w:cs="宋体"/>
                <w:kern w:val="0"/>
                <w:sz w:val="18"/>
                <w:szCs w:val="18"/>
                <w:lang w:eastAsia="zh-CN"/>
              </w:rPr>
              <w:t>使用上年度市级拨款</w:t>
            </w:r>
          </w:p>
        </w:tc>
        <w:tc>
          <w:tcPr>
            <w:tcW w:w="1737" w:type="dxa"/>
            <w:noWrap w:val="0"/>
            <w:vAlign w:val="center"/>
          </w:tcPr>
          <w:p>
            <w:pPr>
              <w:widowControl/>
              <w:spacing w:line="480" w:lineRule="auto"/>
              <w:jc w:val="center"/>
              <w:rPr>
                <w:rFonts w:hint="eastAsia" w:ascii="宋体" w:hAnsi="宋体" w:cs="宋体"/>
                <w:kern w:val="0"/>
                <w:sz w:val="18"/>
                <w:szCs w:val="18"/>
                <w:lang w:val="en-US" w:eastAsia="zh-CN"/>
              </w:rPr>
            </w:pPr>
          </w:p>
        </w:tc>
        <w:tc>
          <w:tcPr>
            <w:tcW w:w="1825"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301.55</w:t>
            </w:r>
          </w:p>
        </w:tc>
        <w:tc>
          <w:tcPr>
            <w:tcW w:w="2038" w:type="dxa"/>
            <w:noWrap w:val="0"/>
            <w:vAlign w:val="center"/>
          </w:tcPr>
          <w:p>
            <w:pPr>
              <w:widowControl/>
              <w:spacing w:line="480" w:lineRule="auto"/>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301.55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noWrap w:val="0"/>
            <w:vAlign w:val="center"/>
          </w:tcPr>
          <w:p>
            <w:pPr>
              <w:widowControl/>
              <w:spacing w:line="480" w:lineRule="auto"/>
              <w:jc w:val="center"/>
              <w:rPr>
                <w:rFonts w:hint="eastAsia" w:eastAsia="宋体"/>
                <w:vertAlign w:val="baseline"/>
                <w:lang w:eastAsia="zh-CN"/>
              </w:rPr>
            </w:pPr>
            <w:r>
              <w:rPr>
                <w:rFonts w:hint="eastAsia" w:ascii="宋体" w:hAnsi="宋体" w:cs="宋体"/>
                <w:kern w:val="0"/>
                <w:sz w:val="18"/>
                <w:szCs w:val="18"/>
                <w:lang w:eastAsia="zh-CN"/>
              </w:rPr>
              <w:t>合计</w:t>
            </w:r>
          </w:p>
        </w:tc>
        <w:tc>
          <w:tcPr>
            <w:tcW w:w="1737"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1879.11</w:t>
            </w:r>
          </w:p>
        </w:tc>
        <w:tc>
          <w:tcPr>
            <w:tcW w:w="1825"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1111.55</w:t>
            </w:r>
          </w:p>
        </w:tc>
        <w:tc>
          <w:tcPr>
            <w:tcW w:w="2038" w:type="dxa"/>
            <w:noWrap w:val="0"/>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2990.66</w:t>
            </w:r>
          </w:p>
        </w:tc>
      </w:tr>
    </w:tbl>
    <w:p>
      <w:pPr>
        <w:widowControl/>
        <w:shd w:val="clear" w:color="auto" w:fill="FFFFFF"/>
        <w:ind w:firstLine="748"/>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 xml:space="preserve"> 项目资金由雨花区财政局统筹调拨分配</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为规范项目资金管理，提高资金使用效益</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我中心明确各级工作职责，强化预算管理制度</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制定《预算管理制度》，实行“统一领导、集中管理、权责结合”的预算管理体制，将</w:t>
      </w:r>
      <w:r>
        <w:rPr>
          <w:rFonts w:hint="eastAsia" w:ascii="仿宋_GB2312" w:hAnsi="Times New Roman" w:eastAsia="仿宋_GB2312" w:cs="Times New Roman"/>
          <w:sz w:val="30"/>
          <w:szCs w:val="30"/>
          <w:lang w:eastAsia="zh-CN"/>
        </w:rPr>
        <w:t>专项资金</w:t>
      </w:r>
      <w:r>
        <w:rPr>
          <w:rFonts w:hint="eastAsia" w:ascii="仿宋_GB2312" w:hAnsi="Times New Roman" w:eastAsia="仿宋_GB2312" w:cs="Times New Roman"/>
          <w:sz w:val="30"/>
          <w:szCs w:val="30"/>
        </w:rPr>
        <w:t>纳入预算管理工作，预算内容与项目内容基本遵循项目申报表的绩效目标进行项目组织，较好完成了项目申报、绩效目标和指标设定</w:t>
      </w:r>
      <w:r>
        <w:rPr>
          <w:rFonts w:hint="eastAsia" w:ascii="仿宋_GB2312" w:hAnsi="Times New Roman" w:eastAsia="仿宋_GB2312" w:cs="Times New Roman"/>
          <w:sz w:val="30"/>
          <w:szCs w:val="30"/>
          <w:lang w:eastAsia="zh-CN"/>
        </w:rPr>
        <w:t>。严格</w:t>
      </w:r>
      <w:r>
        <w:rPr>
          <w:rFonts w:hint="eastAsia" w:ascii="仿宋_GB2312" w:hAnsi="Times New Roman" w:eastAsia="仿宋_GB2312" w:cs="Times New Roman"/>
          <w:sz w:val="30"/>
          <w:szCs w:val="30"/>
        </w:rPr>
        <w:t>按规定落实使用项目资金，按规定组织政府采购完成项目实施</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资金使用程序符合规范，遵循合法合规的程序完成项目申报内容的组织实施。</w:t>
      </w:r>
      <w:r>
        <w:rPr>
          <w:rFonts w:hint="eastAsia" w:ascii="仿宋_GB2312" w:hAnsi="Times New Roman" w:eastAsia="仿宋_GB2312" w:cs="Times New Roman"/>
          <w:sz w:val="30"/>
          <w:szCs w:val="30"/>
          <w:lang w:eastAsia="zh-CN"/>
        </w:rPr>
        <w:t>我中心</w:t>
      </w:r>
      <w:r>
        <w:rPr>
          <w:rFonts w:hint="eastAsia" w:ascii="仿宋_GB2312" w:hAnsi="Times New Roman" w:eastAsia="仿宋_GB2312" w:cs="Times New Roman"/>
          <w:sz w:val="30"/>
          <w:szCs w:val="30"/>
        </w:rPr>
        <w:t>完善了《财务管理办法》、</w:t>
      </w:r>
      <w:r>
        <w:rPr>
          <w:rFonts w:hint="eastAsia" w:ascii="仿宋_GB2312" w:hAnsi="Times New Roman" w:eastAsia="仿宋_GB2312" w:cs="Times New Roman"/>
          <w:sz w:val="30"/>
          <w:szCs w:val="30"/>
          <w:lang w:val="en-US" w:eastAsia="zh-CN"/>
        </w:rPr>
        <w:t>《机关聘用人员工资福利待遇有关规定》、《招聘编外合同制人员办法》、《聘用人员加班管理办法》、</w:t>
      </w:r>
      <w:r>
        <w:rPr>
          <w:rFonts w:hint="eastAsia" w:ascii="仿宋_GB2312" w:hAnsi="Times New Roman" w:eastAsia="仿宋_GB2312" w:cs="Times New Roman"/>
          <w:sz w:val="30"/>
          <w:szCs w:val="30"/>
        </w:rPr>
        <w:t>《物资管理办法》、《苗木采购管理办法》、《苗木采购流程》</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《车辆管理办法》、《后勤管理办法》、《司机管理办法》、《车辆维修流程》</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政府采购内部控制制度</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等一系列</w:t>
      </w:r>
      <w:r>
        <w:rPr>
          <w:rFonts w:hint="eastAsia" w:ascii="仿宋_GB2312" w:hAnsi="Times New Roman" w:eastAsia="仿宋_GB2312" w:cs="Times New Roman"/>
          <w:sz w:val="30"/>
          <w:szCs w:val="30"/>
        </w:rPr>
        <w:t>财务管理制度和业务管理制度，专项资金必须专款专用，任何部门不得挤占、截留、挪用或擅自改变资金使用范围。对财务资金支出的审批权限、开支标准、报销流程、政府采购管理、审计监督等环节进行规范，资金采取国库集中支付，由中心设置的财务核算中心实行专人核算</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项目支出基本按照制度要求在规定范围内进行开支。明确各级工作职责，强化预算管理制度，严格财经审批权限，加强监督管理力度，有效确保了经费开支合理、公开、透明。</w:t>
      </w:r>
    </w:p>
    <w:p>
      <w:pPr>
        <w:widowControl/>
        <w:shd w:val="clear" w:color="auto" w:fill="FFFFFF"/>
        <w:ind w:firstLine="748"/>
        <w:jc w:val="left"/>
        <w:rPr>
          <w:rFonts w:hint="eastAsia" w:ascii="仿宋_GB2312" w:hAnsi="Times New Roman" w:eastAsia="仿宋_GB2312" w:cs="Times New Roman"/>
          <w:sz w:val="30"/>
          <w:szCs w:val="30"/>
        </w:rPr>
      </w:pPr>
      <w:r>
        <w:rPr>
          <w:rFonts w:hint="eastAsia" w:ascii="黑体" w:hAnsi="黑体" w:eastAsia="黑体" w:cs="黑体"/>
          <w:b/>
          <w:bCs/>
          <w:sz w:val="30"/>
          <w:szCs w:val="30"/>
        </w:rPr>
        <w:t>三、部门专项组织实施情况</w:t>
      </w:r>
      <w:r>
        <w:rPr>
          <w:rFonts w:hint="eastAsia" w:ascii="仿宋_GB2312" w:hAnsi="Times New Roman" w:eastAsia="仿宋_GB2312" w:cs="Times New Roman"/>
          <w:b/>
          <w:bCs/>
          <w:sz w:val="30"/>
          <w:szCs w:val="30"/>
        </w:rPr>
        <w:t xml:space="preserve"> </w:t>
      </w:r>
    </w:p>
    <w:p>
      <w:pPr>
        <w:ind w:firstLine="602" w:firstLineChars="200"/>
        <w:rPr>
          <w:rFonts w:hint="eastAsia" w:ascii="仿宋_GB2312" w:eastAsia="仿宋_GB2312"/>
          <w:sz w:val="30"/>
          <w:szCs w:val="30"/>
        </w:rPr>
      </w:pPr>
      <w:r>
        <w:rPr>
          <w:rFonts w:hint="eastAsia" w:ascii="楷体_GB2312" w:hAnsi="楷体_GB2312" w:eastAsia="楷体_GB2312" w:cs="楷体_GB2312"/>
          <w:b/>
          <w:bCs/>
          <w:sz w:val="30"/>
          <w:szCs w:val="30"/>
        </w:rPr>
        <w:t>（一）专项组织情况分析，主要包括项目招投标、调整、 竣工验收等情况</w:t>
      </w:r>
      <w:r>
        <w:rPr>
          <w:rFonts w:hint="eastAsia" w:ascii="仿宋_GB2312" w:eastAsia="仿宋_GB2312"/>
          <w:sz w:val="30"/>
          <w:szCs w:val="30"/>
        </w:rPr>
        <w:t xml:space="preserve">。 </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我中心将雨花区园林维护区域划分为北所、中所、南所、</w:t>
      </w:r>
      <w:r>
        <w:rPr>
          <w:rFonts w:hint="eastAsia" w:ascii="仿宋_GB2312" w:hAnsi="Times New Roman" w:eastAsia="仿宋_GB2312" w:cs="Times New Roman"/>
          <w:sz w:val="30"/>
          <w:szCs w:val="30"/>
          <w:lang w:eastAsia="zh-CN"/>
        </w:rPr>
        <w:t>东</w:t>
      </w:r>
      <w:r>
        <w:rPr>
          <w:rFonts w:hint="eastAsia" w:ascii="仿宋_GB2312" w:hAnsi="Times New Roman" w:eastAsia="仿宋_GB2312" w:cs="Times New Roman"/>
          <w:sz w:val="30"/>
          <w:szCs w:val="30"/>
        </w:rPr>
        <w:t>所共四个维护所，每个所的区域如下：北所为京港澳高速(不含)以西、南二环(不含)-劳动路(含)以北；中所为京港澳高速(不含)以西、南二环(含)-劳动路(不含)以南、湘府路(含)以北；南所为湘府路(不含)-京港澳高速(不含)-时代阳光大道(含)以南、燕子岭公园和燕子岭社区公园；</w:t>
      </w:r>
      <w:r>
        <w:rPr>
          <w:rFonts w:hint="eastAsia" w:ascii="仿宋_GB2312" w:hAnsi="Times New Roman" w:eastAsia="仿宋_GB2312" w:cs="Times New Roman"/>
          <w:sz w:val="30"/>
          <w:szCs w:val="30"/>
          <w:lang w:eastAsia="zh-CN"/>
        </w:rPr>
        <w:t>东</w:t>
      </w:r>
      <w:r>
        <w:rPr>
          <w:rFonts w:hint="eastAsia" w:ascii="仿宋_GB2312" w:hAnsi="Times New Roman" w:eastAsia="仿宋_GB2312" w:cs="Times New Roman"/>
          <w:sz w:val="30"/>
          <w:szCs w:val="30"/>
        </w:rPr>
        <w:t>所为京港澳高速(含)以东、时代阳光大道(不含)以北，各维护所所长根据各所实际情况将维护区域划分至各小组进行维护。</w:t>
      </w:r>
    </w:p>
    <w:p>
      <w:pPr>
        <w:ind w:firstLine="602" w:firstLineChars="200"/>
        <w:rPr>
          <w:rFonts w:hint="eastAsia" w:ascii="仿宋_GB2312" w:eastAsia="仿宋_GB2312"/>
          <w:sz w:val="30"/>
          <w:szCs w:val="30"/>
        </w:rPr>
      </w:pPr>
      <w:r>
        <w:rPr>
          <w:rFonts w:hint="eastAsia" w:ascii="楷体_GB2312" w:hAnsi="楷体_GB2312" w:eastAsia="楷体_GB2312" w:cs="楷体_GB2312"/>
          <w:b/>
          <w:bCs/>
          <w:sz w:val="30"/>
          <w:szCs w:val="30"/>
          <w:lang w:eastAsia="zh-CN"/>
        </w:rPr>
        <w:t>（二）</w:t>
      </w:r>
      <w:r>
        <w:rPr>
          <w:rFonts w:hint="eastAsia" w:ascii="楷体_GB2312" w:hAnsi="楷体_GB2312" w:eastAsia="楷体_GB2312" w:cs="楷体_GB2312"/>
          <w:b/>
          <w:bCs/>
          <w:sz w:val="30"/>
          <w:szCs w:val="30"/>
        </w:rPr>
        <w:t>专项管理情况分析，主要包括项目管理制度建设、 日常检查监督管理等情况。</w:t>
      </w:r>
    </w:p>
    <w:p>
      <w:pPr>
        <w:ind w:firstLine="600" w:firstLineChars="200"/>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rPr>
        <w:t>为加强项目管理，</w:t>
      </w:r>
      <w:r>
        <w:rPr>
          <w:rFonts w:hint="eastAsia" w:ascii="仿宋_GB2312" w:hAnsi="Times New Roman" w:eastAsia="仿宋_GB2312" w:cs="Times New Roman"/>
          <w:sz w:val="30"/>
          <w:szCs w:val="30"/>
          <w:lang w:eastAsia="zh-CN"/>
        </w:rPr>
        <w:t>我</w:t>
      </w:r>
      <w:r>
        <w:rPr>
          <w:rFonts w:hint="eastAsia" w:ascii="仿宋_GB2312" w:hAnsi="Times New Roman" w:eastAsia="仿宋_GB2312" w:cs="Times New Roman"/>
          <w:sz w:val="30"/>
          <w:szCs w:val="30"/>
        </w:rPr>
        <w:t>中心严格执行《长沙市园林绿化维护质量标准》、《道路绿化维护质量考核标准》和《长沙市城市管理绿化精细化维护评分细则》等制度规定，同时，对维护所的工作进行督查考核。结合自身实际，制定了《雨花区园林管理局绿化维护管理质量考核标准》、《绿化业务督查考核办法》等规定，在项目实施过程中，</w:t>
      </w:r>
      <w:r>
        <w:rPr>
          <w:rFonts w:hint="eastAsia" w:ascii="仿宋_GB2312" w:hAnsi="Times New Roman" w:eastAsia="仿宋_GB2312" w:cs="Times New Roman"/>
          <w:sz w:val="30"/>
          <w:szCs w:val="30"/>
          <w:lang w:eastAsia="zh-CN"/>
        </w:rPr>
        <w:t>落实</w:t>
      </w:r>
      <w:r>
        <w:rPr>
          <w:rFonts w:hint="eastAsia" w:ascii="仿宋_GB2312" w:hAnsi="Times New Roman" w:eastAsia="仿宋_GB2312" w:cs="Times New Roman"/>
          <w:sz w:val="30"/>
          <w:szCs w:val="30"/>
        </w:rPr>
        <w:t>各项管理制度执行。</w:t>
      </w:r>
      <w:r>
        <w:rPr>
          <w:rFonts w:hint="eastAsia" w:ascii="仿宋_GB2312" w:hAnsi="Times New Roman" w:eastAsia="仿宋_GB2312" w:cs="Times New Roman"/>
          <w:sz w:val="30"/>
          <w:szCs w:val="30"/>
          <w:lang w:eastAsia="zh-CN"/>
        </w:rPr>
        <w:t>具体措施如下：</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1</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为保障项目管理实施质量，通过定期举行各标段绿化养护效果的评比活动提升项目实施质量管控。</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2</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通过制定《绿化维护管理考核办法》进一步完善了维护作业标准及考核标准，严格按照维护作业标准每两月对维护所进行城管集中考核前的模拟检查、排名及问题讲评，并综合上级考核情况与网格人员绩效挂钩。对养护效果优秀的相关部门和人员予以适当的精神和物质奖励，进一步细化、量化维护作业标准，让各相关部门加强交流，不断提升园林绿化养护工作的积极性。</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3</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进一步细化、量化维护作业标准，并推行一线工作法，分管领导、单元网格长及中心技术人员及时对一线作业人员进行现场指导及操作把关。</w:t>
      </w:r>
    </w:p>
    <w:p>
      <w:pPr>
        <w:ind w:firstLine="602" w:firstLineChars="200"/>
        <w:rPr>
          <w:rFonts w:hint="eastAsia" w:ascii="黑体" w:hAnsi="黑体" w:eastAsia="黑体" w:cs="黑体"/>
          <w:b/>
          <w:sz w:val="30"/>
          <w:szCs w:val="30"/>
        </w:rPr>
      </w:pPr>
      <w:r>
        <w:rPr>
          <w:rFonts w:hint="eastAsia" w:ascii="黑体" w:hAnsi="黑体" w:eastAsia="黑体" w:cs="黑体"/>
          <w:b/>
          <w:sz w:val="30"/>
          <w:szCs w:val="30"/>
        </w:rPr>
        <w:t>四、资产管理情况 反映部门资产的配置、管理、处置等综合情况。包括制 度建设、管理措施、配置处置的程序等。</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近几年，我单位为了管好这些资产,发挥其最大的服务效能成为我单位的工作重点。我中心物资管理办公室设专职资产管理人员管理单位资产，负责组织本单位国有资产的申请购置、清查、登记、统计汇总及日常监督检查工作。我单位强化责任,提高认识,努力提高管理水平,使我单位的财产管理工作有了新的飞跃。</w:t>
      </w:r>
    </w:p>
    <w:p>
      <w:pPr>
        <w:ind w:firstLine="600" w:firstLineChars="200"/>
        <w:rPr>
          <w:rFonts w:hint="default" w:ascii="仿宋_GB2312" w:hAnsi="Times New Roman" w:eastAsia="仿宋_GB2312" w:cs="Times New Roman"/>
          <w:sz w:val="30"/>
          <w:szCs w:val="30"/>
          <w:lang w:val="en-US" w:eastAsia="zh-CN"/>
        </w:rPr>
      </w:pPr>
      <w:r>
        <w:rPr>
          <w:rFonts w:hint="default" w:ascii="仿宋_GB2312" w:hAnsi="Times New Roman" w:eastAsia="仿宋_GB2312" w:cs="Times New Roman"/>
          <w:sz w:val="30"/>
          <w:szCs w:val="30"/>
          <w:lang w:val="en-US" w:eastAsia="zh-CN"/>
        </w:rPr>
        <w:t>在单位资产配置预算时，坚持调剂优先的原则，有效地避免了重复配置，提高了国有资产的使用效益</w:t>
      </w:r>
      <w:r>
        <w:rPr>
          <w:rFonts w:hint="eastAsia" w:ascii="仿宋_GB2312" w:hAnsi="Times New Roman" w:eastAsia="仿宋_GB2312" w:cs="Times New Roman"/>
          <w:sz w:val="30"/>
          <w:szCs w:val="30"/>
          <w:lang w:val="en-US" w:eastAsia="zh-CN"/>
        </w:rPr>
        <w:t>，</w:t>
      </w:r>
      <w:r>
        <w:rPr>
          <w:rFonts w:hint="default" w:ascii="仿宋_GB2312" w:hAnsi="Times New Roman" w:eastAsia="仿宋_GB2312" w:cs="Times New Roman"/>
          <w:sz w:val="30"/>
          <w:szCs w:val="30"/>
          <w:lang w:val="en-US" w:eastAsia="zh-CN"/>
        </w:rPr>
        <w:t>节约了有限的财政资金。通过对资产配置进行专门的审核，能够合理确定部门对资产的需求量，进而确定资金的需求量，保证了资金的合理有效利用，防止重复、超标购置，减少不必要的浪费，切实降低了行政成本。其主要内容体现在五个方面：</w:t>
      </w:r>
    </w:p>
    <w:p>
      <w:pPr>
        <w:ind w:firstLine="600" w:firstLineChars="200"/>
        <w:rPr>
          <w:rFonts w:hint="default" w:ascii="仿宋_GB2312" w:hAnsi="Times New Roman" w:eastAsia="仿宋_GB2312" w:cs="Times New Roman"/>
          <w:sz w:val="30"/>
          <w:szCs w:val="30"/>
          <w:lang w:val="en-US" w:eastAsia="zh-CN"/>
        </w:rPr>
      </w:pPr>
      <w:r>
        <w:rPr>
          <w:rFonts w:hint="default" w:ascii="仿宋_GB2312" w:hAnsi="Times New Roman" w:eastAsia="仿宋_GB2312" w:cs="Times New Roman"/>
          <w:sz w:val="30"/>
          <w:szCs w:val="30"/>
          <w:lang w:val="en-US" w:eastAsia="zh-CN"/>
        </w:rPr>
        <w:t>（一）明确了单位在资产配置管理中的职责和权限；</w:t>
      </w:r>
    </w:p>
    <w:p>
      <w:pPr>
        <w:ind w:firstLine="600" w:firstLineChars="200"/>
        <w:rPr>
          <w:rFonts w:hint="default" w:ascii="仿宋_GB2312" w:hAnsi="Times New Roman" w:eastAsia="仿宋_GB2312" w:cs="Times New Roman"/>
          <w:sz w:val="30"/>
          <w:szCs w:val="30"/>
          <w:lang w:val="en-US" w:eastAsia="zh-CN"/>
        </w:rPr>
      </w:pPr>
      <w:r>
        <w:rPr>
          <w:rFonts w:hint="default" w:ascii="仿宋_GB2312" w:hAnsi="Times New Roman" w:eastAsia="仿宋_GB2312" w:cs="Times New Roman"/>
          <w:sz w:val="30"/>
          <w:szCs w:val="30"/>
          <w:lang w:val="en-US" w:eastAsia="zh-CN"/>
        </w:rPr>
        <w:t>（二）坚持了资产管理与预算管理相结合的原则；</w:t>
      </w:r>
    </w:p>
    <w:p>
      <w:pPr>
        <w:ind w:firstLine="600" w:firstLineChars="200"/>
        <w:rPr>
          <w:rFonts w:hint="default" w:ascii="仿宋_GB2312" w:hAnsi="Times New Roman" w:eastAsia="仿宋_GB2312" w:cs="Times New Roman"/>
          <w:sz w:val="30"/>
          <w:szCs w:val="30"/>
          <w:lang w:val="en-US" w:eastAsia="zh-CN"/>
        </w:rPr>
      </w:pPr>
      <w:r>
        <w:rPr>
          <w:rFonts w:hint="default" w:ascii="仿宋_GB2312" w:hAnsi="Times New Roman" w:eastAsia="仿宋_GB2312" w:cs="Times New Roman"/>
          <w:sz w:val="30"/>
          <w:szCs w:val="30"/>
          <w:lang w:val="en-US" w:eastAsia="zh-CN"/>
        </w:rPr>
        <w:t>（三）坚持了资产配置调剂优先的原则；</w:t>
      </w:r>
    </w:p>
    <w:p>
      <w:pPr>
        <w:ind w:firstLine="600" w:firstLineChars="200"/>
        <w:rPr>
          <w:rFonts w:hint="default" w:ascii="仿宋_GB2312" w:hAnsi="Times New Roman" w:eastAsia="仿宋_GB2312" w:cs="Times New Roman"/>
          <w:sz w:val="30"/>
          <w:szCs w:val="30"/>
          <w:lang w:val="en-US" w:eastAsia="zh-CN"/>
        </w:rPr>
      </w:pPr>
      <w:r>
        <w:rPr>
          <w:rFonts w:hint="default" w:ascii="仿宋_GB2312" w:hAnsi="Times New Roman" w:eastAsia="仿宋_GB2312" w:cs="Times New Roman"/>
          <w:sz w:val="30"/>
          <w:szCs w:val="30"/>
          <w:lang w:val="en-US" w:eastAsia="zh-CN"/>
        </w:rPr>
        <w:t>（四）明确了按标准配置事业单位资产的规定；</w:t>
      </w:r>
    </w:p>
    <w:p>
      <w:pPr>
        <w:ind w:firstLine="600" w:firstLineChars="200"/>
        <w:rPr>
          <w:rFonts w:hint="eastAsia" w:ascii="仿宋_GB2312" w:hAnsi="Times New Roman" w:eastAsia="仿宋_GB2312" w:cs="Times New Roman"/>
          <w:sz w:val="30"/>
          <w:szCs w:val="30"/>
          <w:lang w:val="en-US" w:eastAsia="zh-CN"/>
        </w:rPr>
      </w:pPr>
      <w:r>
        <w:rPr>
          <w:rFonts w:hint="default" w:ascii="仿宋_GB2312" w:hAnsi="Times New Roman" w:eastAsia="仿宋_GB2312" w:cs="Times New Roman"/>
          <w:sz w:val="30"/>
          <w:szCs w:val="30"/>
          <w:lang w:val="en-US" w:eastAsia="zh-CN"/>
        </w:rPr>
        <w:t>（五）规范了单位资产配置审批程序。该办法为</w:t>
      </w:r>
      <w:r>
        <w:rPr>
          <w:rFonts w:hint="eastAsia" w:ascii="仿宋_GB2312" w:hAnsi="Times New Roman" w:eastAsia="仿宋_GB2312" w:cs="Times New Roman"/>
          <w:sz w:val="30"/>
          <w:szCs w:val="30"/>
          <w:lang w:val="en-US" w:eastAsia="zh-CN"/>
        </w:rPr>
        <w:t>本</w:t>
      </w:r>
      <w:r>
        <w:rPr>
          <w:rFonts w:hint="default" w:ascii="仿宋_GB2312" w:hAnsi="Times New Roman" w:eastAsia="仿宋_GB2312" w:cs="Times New Roman"/>
          <w:sz w:val="30"/>
          <w:szCs w:val="30"/>
          <w:lang w:val="en-US" w:eastAsia="zh-CN"/>
        </w:rPr>
        <w:t>单位资产配置管理提供了制度保障，使</w:t>
      </w:r>
      <w:r>
        <w:rPr>
          <w:rFonts w:hint="eastAsia" w:ascii="仿宋_GB2312" w:hAnsi="Times New Roman" w:eastAsia="仿宋_GB2312" w:cs="Times New Roman"/>
          <w:sz w:val="30"/>
          <w:szCs w:val="30"/>
          <w:lang w:val="en-US" w:eastAsia="zh-CN"/>
        </w:rPr>
        <w:t>本单位</w:t>
      </w:r>
      <w:r>
        <w:rPr>
          <w:rFonts w:hint="default" w:ascii="仿宋_GB2312" w:hAnsi="Times New Roman" w:eastAsia="仿宋_GB2312" w:cs="Times New Roman"/>
          <w:sz w:val="30"/>
          <w:szCs w:val="30"/>
          <w:lang w:val="en-US" w:eastAsia="zh-CN"/>
        </w:rPr>
        <w:t>资产配置管理工作有章可循，并提高了制度的可操作性</w:t>
      </w:r>
      <w:r>
        <w:rPr>
          <w:rFonts w:hint="eastAsia" w:ascii="仿宋_GB2312" w:hAnsi="Times New Roman" w:eastAsia="仿宋_GB2312" w:cs="Times New Roman"/>
          <w:sz w:val="30"/>
          <w:szCs w:val="30"/>
          <w:lang w:val="en-US" w:eastAsia="zh-CN"/>
        </w:rPr>
        <w:t>。</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按照区财政的统一要求，我中心完善了固定资产机构，制定了《固定资产管理制度》，固定资产管理从资产预算、购置、计价、入库、领用、清查、报废多个环节进行严格把关，充分发挥了国有资产对全中心正常工作中的应有效能。</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1.全中心各部门固定资产购置严格实行预算审批制，当年需购置的固定资产必须年前报预算经局党委和上级主管部门审批后才能实施。</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2.固定资产购置必须通过政府采购或招标定点单位采购，验收合格后，由专人进行入库（仓库、数据库）、计价、记账（财务账、台账）。</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3.部门领用资产后由专人保管并建立部门台账。</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4.资产管理员每季对各部门资产的保存、使用、台账等进行检查，每年对全局固定资产进行一次实物和账面盘存，并按数据库要求进行折旧核算。</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5.资产报废严格按照区国资办要求履行报废手续。</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2022年我中心固定资产现存量2059.33万元,其中房屋及构筑物268.23万元；通用设备1542.53万元；专用设备218.45万元；家具、用具、装具及动植物30.12万元；无形资产325.79万元。2022年度，我单位新增配置固定资产29.45万元。其中新增配置通用设备9.75万元；新增配置专用设备13.74万元；新增配置家具、用具、装具及动植物3.47万元；新增配置无形资产2.49万元。2022年度，我单位报废固定资产80.24万元。其中报废通用设备71.08万元；报废配置专用设备9.16万元。</w:t>
      </w:r>
    </w:p>
    <w:p>
      <w:pPr>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rPr>
        <w:t xml:space="preserve"> 五、部门整体支出绩效情况 反映部门履职及履职效益情况。 </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2022年，区园林中心党委在区委、区政府的坚强领导下，深学笃用习近平新时代中国特色社会主义思想，把庆祝党的二十大胜利召开和学习贯彻党的二十大精神作为全年工作主心主引，紧紧围绕“强省会”战略、雨花“三个高地”建设，团结带领全体干部职工，高标准落实绿化维护、工程建设、绿地查勘、综合性公园管理、绿委工作等主责主业，较好地完成了各项目标任务，有力推动辖区绿化品质和人居环境进一步改善。</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绿地养护抓住一个“精”字。一是完善绿地分级养护机制。经市财评实测，辖区绿化维护面积由678.9万平方米增长到968.6万平方米，我中心在配套维护经费和人员没有到位的情况下，优化了绿化分级管护养护机制，制定了维护标准操作手册，再次划定了重点区域。二是结合专项行动保持维护常态。常态维护与专项行动统筹开展，深入实施“六个到位 六个严格”城区市容环境整治行动，高温天气持续开展抗旱保苗、旱期补损，同步抓好城管数字化考核、文明创建、蓝天保卫战、园林绿化垃圾分类、绿化养护进社区等专项工作。全年除杂、清理枯枝约430万平方米，修剪乔木约1.7万株，模纹修剪约150.7万平方米，打草约188万平方米，修复园林设施约5100处。三是突出重点区域提升品质。提升重要路段、重要商圈的绿化养护标准，以点带面促整体绿化品质提升。对于不具备移交条件的23条道路，采取容缺移交的方式，先行介入维护，待整改达标后再正式移交。申报花桥社区公园、红星社区公园、燕子岭公园3个市级“人民满意公园”，现已基本完成公园基础设施改造和绿化景观提升工作。</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2.花化彩化突出一个“美”字。一是抓住重要节会。</w:t>
      </w:r>
      <w:r>
        <w:rPr>
          <w:rFonts w:hint="eastAsia" w:ascii="仿宋_GB2312" w:hAnsi="Times New Roman" w:eastAsia="仿宋_GB2312" w:cs="Times New Roman"/>
          <w:sz w:val="30"/>
          <w:szCs w:val="30"/>
          <w:lang w:val="zh-CN" w:eastAsia="zh-CN"/>
        </w:rPr>
        <w:t>重点围绕“两节两会”、五一劳动节、八一建军节、国庆节和党的二十大等重大节会开展景观布置。二是盯紧关键部位。突出</w:t>
      </w:r>
      <w:r>
        <w:rPr>
          <w:rFonts w:hint="eastAsia" w:ascii="仿宋_GB2312" w:hAnsi="Times New Roman" w:eastAsia="仿宋_GB2312" w:cs="Times New Roman"/>
          <w:sz w:val="30"/>
          <w:szCs w:val="30"/>
          <w:lang w:val="en-US" w:eastAsia="zh-CN"/>
        </w:rPr>
        <w:t>花候路、长沙大道、省人大、</w:t>
      </w:r>
      <w:r>
        <w:rPr>
          <w:rFonts w:hint="eastAsia" w:ascii="仿宋_GB2312" w:hAnsi="Times New Roman" w:eastAsia="仿宋_GB2312" w:cs="Times New Roman"/>
          <w:sz w:val="30"/>
          <w:szCs w:val="30"/>
          <w:lang w:eastAsia="zh-CN"/>
        </w:rPr>
        <w:t>高铁南站、区政府</w:t>
      </w:r>
      <w:r>
        <w:rPr>
          <w:rFonts w:hint="eastAsia" w:ascii="仿宋_GB2312" w:hAnsi="Times New Roman" w:eastAsia="仿宋_GB2312" w:cs="Times New Roman"/>
          <w:sz w:val="30"/>
          <w:szCs w:val="30"/>
          <w:lang w:val="zh-CN" w:eastAsia="zh-CN"/>
        </w:rPr>
        <w:t>等重要道路和区域</w:t>
      </w:r>
      <w:r>
        <w:rPr>
          <w:rFonts w:hint="eastAsia" w:ascii="仿宋_GB2312" w:hAnsi="Times New Roman" w:eastAsia="仿宋_GB2312" w:cs="Times New Roman"/>
          <w:sz w:val="30"/>
          <w:szCs w:val="30"/>
          <w:lang w:eastAsia="zh-CN"/>
        </w:rPr>
        <w:t>实施花化彩化。</w:t>
      </w:r>
      <w:r>
        <w:rPr>
          <w:rFonts w:hint="eastAsia" w:ascii="仿宋_GB2312" w:hAnsi="Times New Roman" w:eastAsia="仿宋_GB2312" w:cs="Times New Roman"/>
          <w:sz w:val="30"/>
          <w:szCs w:val="30"/>
          <w:lang w:val="zh-CN" w:eastAsia="zh-CN"/>
        </w:rPr>
        <w:t>三是精选花卉品种。</w:t>
      </w:r>
      <w:r>
        <w:rPr>
          <w:rFonts w:hint="eastAsia" w:ascii="仿宋_GB2312" w:hAnsi="Times New Roman" w:eastAsia="仿宋_GB2312" w:cs="Times New Roman"/>
          <w:sz w:val="30"/>
          <w:szCs w:val="30"/>
          <w:lang w:val="en-US" w:eastAsia="zh-CN"/>
        </w:rPr>
        <w:t>根据不同节会的要求和季节特点，选用比利时杜鹃、三色堇、矮牵牛、一串红等花期长、颜色鲜艳的花卉品种，增加更换次数，提高栽植密度，加强观赏性</w:t>
      </w:r>
      <w:r>
        <w:rPr>
          <w:rFonts w:hint="eastAsia" w:ascii="仿宋_GB2312" w:hAnsi="Times New Roman" w:eastAsia="仿宋_GB2312" w:cs="Times New Roman"/>
          <w:sz w:val="30"/>
          <w:szCs w:val="30"/>
          <w:lang w:eastAsia="zh-CN"/>
        </w:rPr>
        <w:t>。全年</w:t>
      </w:r>
      <w:r>
        <w:rPr>
          <w:rFonts w:hint="eastAsia" w:ascii="仿宋_GB2312" w:hAnsi="Times New Roman" w:eastAsia="仿宋_GB2312" w:cs="Times New Roman"/>
          <w:sz w:val="30"/>
          <w:szCs w:val="30"/>
        </w:rPr>
        <w:t>布置</w:t>
      </w:r>
      <w:r>
        <w:rPr>
          <w:rFonts w:hint="eastAsia" w:ascii="仿宋_GB2312" w:hAnsi="Times New Roman" w:eastAsia="仿宋_GB2312" w:cs="Times New Roman"/>
          <w:sz w:val="30"/>
          <w:szCs w:val="30"/>
          <w:lang w:eastAsia="zh-CN"/>
        </w:rPr>
        <w:t>约</w:t>
      </w:r>
      <w:r>
        <w:rPr>
          <w:rFonts w:hint="eastAsia" w:ascii="仿宋_GB2312" w:hAnsi="Times New Roman" w:eastAsia="仿宋_GB2312" w:cs="Times New Roman"/>
          <w:sz w:val="30"/>
          <w:szCs w:val="30"/>
          <w:lang w:val="en-US" w:eastAsia="zh-CN"/>
        </w:rPr>
        <w:t>347万盆时令鲜花，展现了雨花精致精美的绿化面貌。</w:t>
      </w:r>
    </w:p>
    <w:p>
      <w:pPr>
        <w:ind w:firstLine="600" w:firstLineChars="200"/>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3.绿委工作讲究一个“稳”字。一是开展3.12义务植树。以道路提质提档、公园增花添彩、街镇美化环境为切入点，组织开展形式多样的全民义务植树活动，植树节当天共接待志愿者1000余名，栽植香樟、紫叶李等树木约200株。二是保护古树名木资源。完成第三批8株古树的复壮工作；对古树生长情况进行全面排查，邀请专家把脉问诊，一树一策开展保护，组织开展古树名木保护科普宣传周（月）活动，并对全区古树纠偏数据进行重新归纳整理。三是创建国家生态园林城市。成立了区级层面的创城机构，逐项分解任务，对可建项目进行全面的实地踏勘，对照创建标准合理铺排任务。四是查验全区新增绿地。摸排全区新增绿地情况，对各街道（镇）上报数据进行实地查验。2022年全区新增绿地面积34公顷，其中新增公园绿地面积24公顷。</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4.环境保护落实一个“净”字。一是开展扬尘治理。采用水车、人工浇水的方式进行洗尘、降尘，确保土壤湿润、绿见底色；重要路段和公园区域安装喷雾系统24小时不间断抑尘、降尘。二是整治黄土裸露。及时做好黄土裸露区域的补栽补种，</w:t>
      </w:r>
      <w:r>
        <w:rPr>
          <w:rFonts w:hint="eastAsia" w:ascii="仿宋_GB2312" w:hAnsi="Times New Roman" w:eastAsia="仿宋_GB2312" w:cs="Times New Roman"/>
          <w:sz w:val="30"/>
          <w:szCs w:val="30"/>
          <w:lang w:eastAsia="zh-CN"/>
        </w:rPr>
        <w:t>对施工区域的黄土裸露统一用绿网覆盖防尘。</w:t>
      </w:r>
      <w:r>
        <w:rPr>
          <w:rFonts w:hint="eastAsia" w:ascii="仿宋_GB2312" w:hAnsi="Times New Roman" w:eastAsia="仿宋_GB2312" w:cs="Times New Roman"/>
          <w:sz w:val="30"/>
          <w:szCs w:val="30"/>
          <w:lang w:val="en-US" w:eastAsia="zh-CN"/>
        </w:rPr>
        <w:t>三是安装高压喷淋设施。根据市、区蓝天办的安排，在辖区内高速出入口、重要路段、人行天桥等15处点位安装高压喷淋设施，助力全区空气优良天数比例不低于83.6%的指标达标。</w:t>
      </w:r>
    </w:p>
    <w:p>
      <w:pPr>
        <w:numPr>
          <w:ilvl w:val="0"/>
          <w:numId w:val="0"/>
        </w:numPr>
        <w:ind w:firstLine="600" w:firstLineChars="200"/>
        <w:rPr>
          <w:rFonts w:hint="eastAsia" w:ascii="仿宋_GB2312" w:eastAsia="仿宋_GB2312"/>
          <w:b/>
          <w:sz w:val="30"/>
          <w:szCs w:val="30"/>
        </w:rPr>
      </w:pPr>
      <w:r>
        <w:rPr>
          <w:rFonts w:hint="eastAsia" w:ascii="黑体" w:hAnsi="黑体" w:eastAsia="黑体" w:cs="黑体"/>
          <w:b w:val="0"/>
          <w:bCs/>
          <w:sz w:val="30"/>
          <w:szCs w:val="30"/>
          <w:lang w:eastAsia="zh-CN"/>
        </w:rPr>
        <w:t>六、</w:t>
      </w:r>
      <w:r>
        <w:rPr>
          <w:rFonts w:hint="eastAsia" w:ascii="黑体" w:hAnsi="黑体" w:eastAsia="黑体" w:cs="黑体"/>
          <w:b w:val="0"/>
          <w:bCs/>
          <w:sz w:val="30"/>
          <w:szCs w:val="30"/>
        </w:rPr>
        <w:t>存在的主要问题 主要阐述资金安排、使用，资产管理过程中存在的问题。</w:t>
      </w:r>
      <w:r>
        <w:rPr>
          <w:rFonts w:hint="eastAsia" w:ascii="仿宋_GB2312" w:eastAsia="仿宋_GB2312"/>
          <w:b/>
          <w:sz w:val="30"/>
          <w:szCs w:val="30"/>
        </w:rPr>
        <w:t xml:space="preserve"> </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在取得成绩的同时，我们也清醒地看到发展中还存在一些问题：</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1.维护管理效能还不够强，工作标准需进一步提高；花化彩化的品质还不够高，设计理念上还需进一步更新；部分在建和未移交绿化项目、自建花坛的维护难以监管到位，还需加强与责任单位的沟通协调。</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2.2022年辖区绿化维护面积从678.9万平方米增长到968.6万平方米，且从2018年8月开始，公共社区乔木修枝、病虫害防治及死危树砍伐事项也被纳入中心维护范围。目前四所实际人数只有277人，原本道路、公园绿地的单位维护面积已达到了3.5万平方米/人，加上公共社区绿化维护事项后，网格化铺排面临更进一步的压力，人手紧任务重的问题进一步加大。随着维护面积的不断增大及维护标准的不断提升，资金投入和维护效果的矛盾日益突出。</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3.根据公园绿化及道路绿化的考核检查结果，园林绿化设施偶有被游客及行人损坏的情况发生，随意砍伐行道树、破坏园林景观设施、攀折花草树枝、践踏绿地草坪的现象偶有出现，且毁绿成本低，无法从根本上杜绝此类现象，但未发生严重损坏事件。</w:t>
      </w:r>
    </w:p>
    <w:p>
      <w:pPr>
        <w:numPr>
          <w:ilvl w:val="0"/>
          <w:numId w:val="0"/>
        </w:numPr>
        <w:ind w:firstLine="600" w:firstLineChars="200"/>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七、改进措施和有关建议 对存在的问题提出切实可行的改进措施和有关建议等。</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1.在有限的人力物力条件下，进一步优化资源配置，合理规划辖区内网格划分，提高维护及改造效率。</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2.进一步加强宣传引导，园林绿化保护工作的标语宣传等，使爱护绿化、人人有责的理 念深入人心，增强群众的参与程度，真正形成园林绿化养护效果持续改善的长效机制。</w:t>
      </w:r>
    </w:p>
    <w:p>
      <w:pPr>
        <w:ind w:firstLine="602"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b/>
          <w:bCs/>
          <w:sz w:val="30"/>
          <w:szCs w:val="30"/>
          <w:lang w:val="en-US" w:eastAsia="zh-CN"/>
        </w:rPr>
        <w:t>建议</w:t>
      </w:r>
      <w:r>
        <w:rPr>
          <w:rFonts w:hint="eastAsia" w:ascii="仿宋_GB2312" w:hAnsi="Times New Roman" w:eastAsia="仿宋_GB2312" w:cs="Times New Roman"/>
          <w:sz w:val="30"/>
          <w:szCs w:val="30"/>
          <w:lang w:val="en-US" w:eastAsia="zh-CN"/>
        </w:rPr>
        <w:t>：请求上级主管部门根据城市管理事业发展的要求和实际情况，恳请区财政加大对我中心分配资金倾斜力度；提高年初部门预算额度，增加相关项目支出预算。</w:t>
      </w:r>
    </w:p>
    <w:p>
      <w:pPr>
        <w:ind w:firstLine="600" w:firstLineChars="200"/>
        <w:rPr>
          <w:rFonts w:hint="eastAsia" w:ascii="仿宋_GB2312" w:hAnsi="Times New Roman" w:eastAsia="仿宋_GB2312" w:cs="Times New Roman"/>
          <w:sz w:val="30"/>
          <w:szCs w:val="30"/>
          <w:lang w:val="en-US" w:eastAsia="zh-CN"/>
        </w:rPr>
      </w:pPr>
    </w:p>
    <w:p>
      <w:pPr>
        <w:ind w:firstLine="600" w:firstLineChars="200"/>
        <w:rPr>
          <w:rFonts w:hint="eastAsia" w:ascii="仿宋_GB2312" w:hAnsi="Times New Roman" w:eastAsia="仿宋_GB2312" w:cs="Times New Roman"/>
          <w:sz w:val="30"/>
          <w:szCs w:val="30"/>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fldChar w:fldCharType="begin"/>
    </w:r>
    <w:r>
      <w:rPr>
        <w:rStyle w:val="15"/>
      </w:rPr>
      <w:instrText xml:space="preserve">PAGE  </w:instrText>
    </w:r>
    <w:r>
      <w:fldChar w:fldCharType="separate"/>
    </w:r>
    <w:r>
      <w:rPr>
        <w:rStyle w:val="15"/>
      </w:rPr>
      <w:t>9</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fldChar w:fldCharType="begin"/>
    </w:r>
    <w:r>
      <w:rPr>
        <w:rStyle w:val="15"/>
      </w:rPr>
      <w:instrText xml:space="preserve">PAGE  </w:instrText>
    </w:r>
    <w:r>
      <w:fldChar w:fldCharType="separate"/>
    </w:r>
    <w:r>
      <w:rPr>
        <w:rStyle w:val="15"/>
      </w:rPr>
      <w:t>- 15 -</w: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CA3463"/>
    <w:rsid w:val="0003702B"/>
    <w:rsid w:val="00261AFD"/>
    <w:rsid w:val="0042515B"/>
    <w:rsid w:val="004C63FE"/>
    <w:rsid w:val="004E626F"/>
    <w:rsid w:val="00575EB0"/>
    <w:rsid w:val="005B1860"/>
    <w:rsid w:val="005F590C"/>
    <w:rsid w:val="00780391"/>
    <w:rsid w:val="00932DB2"/>
    <w:rsid w:val="009864B1"/>
    <w:rsid w:val="00A16055"/>
    <w:rsid w:val="00B26BB1"/>
    <w:rsid w:val="00B65290"/>
    <w:rsid w:val="00B8606F"/>
    <w:rsid w:val="00C12DB7"/>
    <w:rsid w:val="00CA3463"/>
    <w:rsid w:val="00CF67DF"/>
    <w:rsid w:val="00DE16D6"/>
    <w:rsid w:val="00EB2D88"/>
    <w:rsid w:val="030853F0"/>
    <w:rsid w:val="046B5540"/>
    <w:rsid w:val="04AB0032"/>
    <w:rsid w:val="068A254B"/>
    <w:rsid w:val="06F36DB0"/>
    <w:rsid w:val="071023CF"/>
    <w:rsid w:val="073E23D5"/>
    <w:rsid w:val="077D0E66"/>
    <w:rsid w:val="08615C2A"/>
    <w:rsid w:val="0B403483"/>
    <w:rsid w:val="0B6A49C1"/>
    <w:rsid w:val="0BA430B8"/>
    <w:rsid w:val="0C0B0015"/>
    <w:rsid w:val="0C2A3F33"/>
    <w:rsid w:val="0E1C2936"/>
    <w:rsid w:val="0F03404D"/>
    <w:rsid w:val="0F2F6DF0"/>
    <w:rsid w:val="0F30609D"/>
    <w:rsid w:val="0F9A365F"/>
    <w:rsid w:val="125F3182"/>
    <w:rsid w:val="160B58F5"/>
    <w:rsid w:val="16B05DC8"/>
    <w:rsid w:val="1720665E"/>
    <w:rsid w:val="18DF7E53"/>
    <w:rsid w:val="1AE9320B"/>
    <w:rsid w:val="1DA95DA0"/>
    <w:rsid w:val="1E766233"/>
    <w:rsid w:val="201B084C"/>
    <w:rsid w:val="23226D6D"/>
    <w:rsid w:val="23B4085A"/>
    <w:rsid w:val="257A162F"/>
    <w:rsid w:val="26850E57"/>
    <w:rsid w:val="26C83BE5"/>
    <w:rsid w:val="26E00CA4"/>
    <w:rsid w:val="273A716C"/>
    <w:rsid w:val="27890165"/>
    <w:rsid w:val="27952750"/>
    <w:rsid w:val="28132265"/>
    <w:rsid w:val="2918044D"/>
    <w:rsid w:val="2A502BF0"/>
    <w:rsid w:val="2B342280"/>
    <w:rsid w:val="2B777082"/>
    <w:rsid w:val="2E497DF1"/>
    <w:rsid w:val="2F5A7DDB"/>
    <w:rsid w:val="3126266B"/>
    <w:rsid w:val="329F4483"/>
    <w:rsid w:val="33666962"/>
    <w:rsid w:val="339E298D"/>
    <w:rsid w:val="33B87B13"/>
    <w:rsid w:val="34756B1F"/>
    <w:rsid w:val="34E6283D"/>
    <w:rsid w:val="362C2801"/>
    <w:rsid w:val="392E425F"/>
    <w:rsid w:val="39856E6C"/>
    <w:rsid w:val="3AC6527A"/>
    <w:rsid w:val="3ACE5550"/>
    <w:rsid w:val="3B533262"/>
    <w:rsid w:val="3BB24DE0"/>
    <w:rsid w:val="3DBF4AFE"/>
    <w:rsid w:val="3EA3429F"/>
    <w:rsid w:val="3EC250D6"/>
    <w:rsid w:val="41E2613A"/>
    <w:rsid w:val="428C263D"/>
    <w:rsid w:val="43430AE7"/>
    <w:rsid w:val="43D53895"/>
    <w:rsid w:val="44C22253"/>
    <w:rsid w:val="45CC5F92"/>
    <w:rsid w:val="460436F4"/>
    <w:rsid w:val="46B44B65"/>
    <w:rsid w:val="46EA4CBA"/>
    <w:rsid w:val="47094169"/>
    <w:rsid w:val="476F66C2"/>
    <w:rsid w:val="47AD71EA"/>
    <w:rsid w:val="48331F55"/>
    <w:rsid w:val="492E6109"/>
    <w:rsid w:val="4A140C70"/>
    <w:rsid w:val="4A143551"/>
    <w:rsid w:val="4BA24DA3"/>
    <w:rsid w:val="4BD44D46"/>
    <w:rsid w:val="4BD74CCE"/>
    <w:rsid w:val="4C793B3F"/>
    <w:rsid w:val="4D677E3B"/>
    <w:rsid w:val="4D7678F6"/>
    <w:rsid w:val="4F42646A"/>
    <w:rsid w:val="504B57F2"/>
    <w:rsid w:val="50D92558"/>
    <w:rsid w:val="51E25299"/>
    <w:rsid w:val="523C29F9"/>
    <w:rsid w:val="52E8669F"/>
    <w:rsid w:val="53AC0008"/>
    <w:rsid w:val="54D2203E"/>
    <w:rsid w:val="55F93719"/>
    <w:rsid w:val="576F6293"/>
    <w:rsid w:val="57922C1D"/>
    <w:rsid w:val="58080FED"/>
    <w:rsid w:val="5818698A"/>
    <w:rsid w:val="599F2295"/>
    <w:rsid w:val="5B8F2A37"/>
    <w:rsid w:val="5CE2128D"/>
    <w:rsid w:val="5E7B0072"/>
    <w:rsid w:val="5F4753F3"/>
    <w:rsid w:val="5F5226F9"/>
    <w:rsid w:val="5F7F7267"/>
    <w:rsid w:val="5FC907CD"/>
    <w:rsid w:val="60362253"/>
    <w:rsid w:val="60781824"/>
    <w:rsid w:val="61061A90"/>
    <w:rsid w:val="612C6F7A"/>
    <w:rsid w:val="61D03DA9"/>
    <w:rsid w:val="61DC274E"/>
    <w:rsid w:val="62EC0CA1"/>
    <w:rsid w:val="63027F93"/>
    <w:rsid w:val="63461ABD"/>
    <w:rsid w:val="636D59DC"/>
    <w:rsid w:val="638E6F14"/>
    <w:rsid w:val="642F7AEC"/>
    <w:rsid w:val="64615D3C"/>
    <w:rsid w:val="64D3373A"/>
    <w:rsid w:val="65855D35"/>
    <w:rsid w:val="661701F9"/>
    <w:rsid w:val="66C919AE"/>
    <w:rsid w:val="677671A1"/>
    <w:rsid w:val="683C3F47"/>
    <w:rsid w:val="68460FFA"/>
    <w:rsid w:val="685D4E94"/>
    <w:rsid w:val="689478DF"/>
    <w:rsid w:val="68C0675C"/>
    <w:rsid w:val="69525645"/>
    <w:rsid w:val="6A026ACA"/>
    <w:rsid w:val="6A3C265A"/>
    <w:rsid w:val="6B282560"/>
    <w:rsid w:val="6B6A563B"/>
    <w:rsid w:val="6B6D624F"/>
    <w:rsid w:val="6B861377"/>
    <w:rsid w:val="6D0918FD"/>
    <w:rsid w:val="6D7F6BF4"/>
    <w:rsid w:val="6DF64B98"/>
    <w:rsid w:val="6E4E5887"/>
    <w:rsid w:val="6E5C781B"/>
    <w:rsid w:val="6E7237EA"/>
    <w:rsid w:val="6EB8009F"/>
    <w:rsid w:val="7051292B"/>
    <w:rsid w:val="715507FE"/>
    <w:rsid w:val="722A535E"/>
    <w:rsid w:val="72895378"/>
    <w:rsid w:val="72EA3E0B"/>
    <w:rsid w:val="769B4BEA"/>
    <w:rsid w:val="76D0242A"/>
    <w:rsid w:val="7725204A"/>
    <w:rsid w:val="78014865"/>
    <w:rsid w:val="78524E73"/>
    <w:rsid w:val="7AA5257E"/>
    <w:rsid w:val="7AFB1838"/>
    <w:rsid w:val="7B62386D"/>
    <w:rsid w:val="7BFA1BE2"/>
    <w:rsid w:val="7C80748C"/>
    <w:rsid w:val="7E3F1C43"/>
    <w:rsid w:val="7F5C2395"/>
    <w:rsid w:val="7F5C66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240" w:lineRule="exact"/>
      <w:jc w:val="center"/>
    </w:pPr>
    <w:rPr>
      <w:rFonts w:ascii="仿宋_GB2312" w:eastAsia="仿宋_GB2312"/>
      <w:szCs w:val="21"/>
    </w:rPr>
  </w:style>
  <w:style w:type="paragraph" w:customStyle="1" w:styleId="3">
    <w:name w:val="1"/>
    <w:basedOn w:val="1"/>
    <w:next w:val="4"/>
    <w:qFormat/>
    <w:uiPriority w:val="99"/>
    <w:pPr>
      <w:spacing w:line="360" w:lineRule="auto"/>
      <w:ind w:firstLine="200" w:firstLineChars="200"/>
    </w:pPr>
    <w:rPr>
      <w:rFonts w:ascii="Times New Roman" w:hAnsi="Times New Roman" w:cs="宋体"/>
      <w:color w:val="000000"/>
      <w:sz w:val="24"/>
      <w:szCs w:val="28"/>
    </w:rPr>
  </w:style>
  <w:style w:type="paragraph" w:styleId="4">
    <w:name w:val="Body Text Indent"/>
    <w:basedOn w:val="1"/>
    <w:next w:val="5"/>
    <w:qFormat/>
    <w:uiPriority w:val="0"/>
    <w:pPr>
      <w:ind w:firstLine="420"/>
    </w:pPr>
    <w:rPr>
      <w:rFonts w:ascii="楷体_GB2312" w:eastAsia="楷体_GB2312"/>
      <w:szCs w:val="20"/>
    </w:rPr>
  </w:style>
  <w:style w:type="paragraph" w:styleId="5">
    <w:name w:val="annotation subject"/>
    <w:basedOn w:val="6"/>
    <w:next w:val="1"/>
    <w:qFormat/>
    <w:uiPriority w:val="0"/>
    <w:rPr>
      <w:b/>
      <w:bCs/>
    </w:rPr>
  </w:style>
  <w:style w:type="paragraph" w:styleId="6">
    <w:name w:val="annotation text"/>
    <w:basedOn w:val="1"/>
    <w:qFormat/>
    <w:uiPriority w:val="0"/>
    <w:pPr>
      <w:jc w:val="left"/>
    </w:pPr>
    <w:rPr>
      <w:kern w:val="0"/>
      <w:sz w:val="20"/>
    </w:rPr>
  </w:style>
  <w:style w:type="paragraph" w:styleId="7">
    <w:name w:val="Normal Indent"/>
    <w:basedOn w:val="1"/>
    <w:unhideWhenUsed/>
    <w:qFormat/>
    <w:uiPriority w:val="99"/>
    <w:pPr>
      <w:ind w:firstLine="420" w:firstLineChars="200"/>
    </w:pPr>
  </w:style>
  <w:style w:type="paragraph" w:styleId="8">
    <w:name w:val="footer"/>
    <w:basedOn w:val="1"/>
    <w:link w:val="16"/>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1">
    <w:name w:val="Body Text First Indent 2"/>
    <w:basedOn w:val="4"/>
    <w:unhideWhenUsed/>
    <w:qFormat/>
    <w:uiPriority w:val="0"/>
    <w:pPr>
      <w:ind w:firstLine="200" w:firstLineChars="200"/>
    </w:p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customStyle="1" w:styleId="16">
    <w:name w:val="页脚 Char"/>
    <w:basedOn w:val="14"/>
    <w:link w:val="8"/>
    <w:qFormat/>
    <w:uiPriority w:val="0"/>
    <w:rPr>
      <w:kern w:val="2"/>
      <w:sz w:val="18"/>
      <w:szCs w:val="18"/>
    </w:rPr>
  </w:style>
  <w:style w:type="character" w:customStyle="1" w:styleId="17">
    <w:name w:val="页眉 Char"/>
    <w:basedOn w:val="14"/>
    <w:link w:val="9"/>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www.xunchi.com</Company>
  <Pages>21</Pages>
  <Words>9392</Words>
  <Characters>10358</Characters>
  <Lines>25</Lines>
  <Paragraphs>7</Paragraphs>
  <TotalTime>28</TotalTime>
  <ScaleCrop>false</ScaleCrop>
  <LinksUpToDate>false</LinksUpToDate>
  <CharactersWithSpaces>10996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2016-03-24T02:59:00Z</dcterms:created>
  <dc:creator>Sun</dc:creator>
  <cp:lastModifiedBy>Administrator</cp:lastModifiedBy>
  <cp:lastPrinted>2022-04-06T02:40:00Z</cp:lastPrinted>
  <dcterms:modified xsi:type="dcterms:W3CDTF">2023-09-20T06:17:35Z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8A572AF707AC420CBED192786A48173B_13</vt:lpwstr>
  </property>
</Properties>
</file>