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kern w:val="0"/>
          <w:sz w:val="32"/>
          <w:szCs w:val="32"/>
        </w:rPr>
      </w:pPr>
    </w:p>
    <w:p>
      <w:pPr>
        <w:spacing w:line="600" w:lineRule="exact"/>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2020年度长沙市雨花区国有资产事务中心</w:t>
      </w:r>
    </w:p>
    <w:p>
      <w:pPr>
        <w:spacing w:line="600" w:lineRule="exact"/>
        <w:jc w:val="center"/>
        <w:rPr>
          <w:rFonts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部门整体支出预算绩效自评报告</w:t>
      </w:r>
    </w:p>
    <w:p>
      <w:pPr>
        <w:spacing w:line="600" w:lineRule="exact"/>
        <w:jc w:val="center"/>
        <w:rPr>
          <w:rFonts w:ascii="仿宋_GB2312" w:hAnsi="仿宋_GB2312" w:eastAsia="仿宋_GB2312" w:cs="仿宋_GB2312"/>
          <w:b/>
          <w:bCs/>
          <w:sz w:val="44"/>
          <w:szCs w:val="44"/>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jc w:val="center"/>
        <w:rPr>
          <w:rFonts w:eastAsia="黑体"/>
          <w:sz w:val="36"/>
          <w:szCs w:val="36"/>
        </w:rPr>
      </w:pPr>
      <w:r>
        <w:rPr>
          <w:rFonts w:eastAsia="黑体"/>
          <w:sz w:val="36"/>
          <w:szCs w:val="36"/>
        </w:rPr>
        <w:t>单位名称（盖章）：</w:t>
      </w:r>
    </w:p>
    <w:p>
      <w:pPr>
        <w:jc w:val="center"/>
        <w:rPr>
          <w:rFonts w:eastAsia="黑体"/>
          <w:sz w:val="36"/>
          <w:szCs w:val="36"/>
        </w:rPr>
      </w:pPr>
      <w:r>
        <w:rPr>
          <w:rFonts w:hint="eastAsia" w:eastAsia="黑体"/>
          <w:sz w:val="36"/>
          <w:szCs w:val="36"/>
        </w:rPr>
        <w:t>长沙市雨花区国有资产事务中心</w:t>
      </w:r>
    </w:p>
    <w:p>
      <w:pPr>
        <w:jc w:val="center"/>
        <w:rPr>
          <w:rFonts w:eastAsia="黑体"/>
          <w:sz w:val="32"/>
          <w:szCs w:val="32"/>
        </w:rPr>
      </w:pPr>
    </w:p>
    <w:p>
      <w:pPr>
        <w:rPr>
          <w:rFonts w:eastAsia="黑体"/>
          <w:sz w:val="32"/>
          <w:szCs w:val="32"/>
        </w:rPr>
      </w:pPr>
    </w:p>
    <w:p>
      <w:pPr>
        <w:rPr>
          <w:rFonts w:eastAsia="黑体"/>
          <w:sz w:val="32"/>
          <w:szCs w:val="32"/>
        </w:rPr>
      </w:pPr>
    </w:p>
    <w:p>
      <w:pPr>
        <w:jc w:val="center"/>
        <w:rPr>
          <w:rFonts w:eastAsia="仿宋_GB2312"/>
          <w:sz w:val="32"/>
          <w:szCs w:val="32"/>
        </w:rPr>
      </w:pPr>
      <w:r>
        <w:rPr>
          <w:rFonts w:eastAsia="仿宋_GB2312"/>
          <w:sz w:val="32"/>
          <w:szCs w:val="32"/>
        </w:rPr>
        <w:t>（此页为封面）</w:t>
      </w:r>
    </w:p>
    <w:p>
      <w:pPr>
        <w:pStyle w:val="12"/>
        <w:widowControl/>
        <w:spacing w:line="520" w:lineRule="exact"/>
        <w:ind w:firstLine="643"/>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一、部门、单位基本情况</w:t>
      </w:r>
    </w:p>
    <w:p>
      <w:pPr>
        <w:widowControl/>
        <w:shd w:val="clear" w:color="auto" w:fill="FFFFFF"/>
        <w:spacing w:line="600" w:lineRule="exact"/>
        <w:ind w:firstLine="800" w:firstLineChars="250"/>
        <w:jc w:val="left"/>
        <w:rPr>
          <w:rFonts w:ascii="仿宋_GB2312" w:eastAsia="仿宋_GB2312"/>
          <w:sz w:val="32"/>
          <w:szCs w:val="32"/>
        </w:rPr>
      </w:pPr>
      <w:r>
        <w:rPr>
          <w:rFonts w:ascii="仿宋_GB2312" w:eastAsia="仿宋_GB2312"/>
          <w:sz w:val="32"/>
          <w:szCs w:val="32"/>
        </w:rPr>
        <w:t>（一）</w:t>
      </w:r>
      <w:r>
        <w:rPr>
          <w:rFonts w:hint="eastAsia" w:ascii="仿宋_GB2312" w:eastAsia="仿宋_GB2312"/>
          <w:sz w:val="32"/>
          <w:szCs w:val="32"/>
        </w:rPr>
        <w:t>部门基本情况</w:t>
      </w:r>
    </w:p>
    <w:p>
      <w:pPr>
        <w:spacing w:line="60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1.</w:t>
      </w:r>
      <w:r>
        <w:rPr>
          <w:rFonts w:hint="eastAsia" w:ascii="仿宋_GB2312" w:eastAsia="仿宋_GB2312" w:cs="仿宋_GB2312"/>
          <w:color w:val="000000"/>
          <w:sz w:val="32"/>
          <w:szCs w:val="32"/>
        </w:rPr>
        <w:t>根据区人民政府授权，依照《中华人民共和国公司法》、《中华人民共和国企业国有资产法》等法律和行政法规及省、市、区有关规定，代表区人民政府履行出资人职责，依法享有资产收益、参与重大决策和选择管理者等出资人权利。</w:t>
      </w:r>
    </w:p>
    <w:p>
      <w:pPr>
        <w:spacing w:line="600" w:lineRule="exact"/>
        <w:rPr>
          <w:rStyle w:val="7"/>
          <w:rFonts w:ascii="仿宋_GB2312" w:eastAsia="仿宋_GB2312"/>
          <w:color w:val="000000"/>
          <w:sz w:val="32"/>
          <w:szCs w:val="32"/>
        </w:rPr>
      </w:pP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2.</w:t>
      </w:r>
      <w:r>
        <w:rPr>
          <w:rFonts w:hint="eastAsia" w:ascii="仿宋_GB2312" w:eastAsia="仿宋_GB2312" w:cs="仿宋_GB2312"/>
          <w:color w:val="000000"/>
          <w:sz w:val="32"/>
          <w:szCs w:val="32"/>
        </w:rPr>
        <w:t>促进所管理企业国有资产保值增值；负责建立和完善国有资产保值增值指标体系和国有企业经营业绩考核体系，承担全区国有资产经营财务监督、风险控制等职责。</w:t>
      </w:r>
    </w:p>
    <w:p>
      <w:pPr>
        <w:spacing w:line="60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3.</w:t>
      </w:r>
      <w:r>
        <w:rPr>
          <w:rFonts w:hint="eastAsia" w:ascii="仿宋_GB2312" w:eastAsia="仿宋_GB2312" w:cs="仿宋_GB2312"/>
          <w:color w:val="000000"/>
          <w:sz w:val="32"/>
          <w:szCs w:val="32"/>
        </w:rPr>
        <w:t>指导推进所管理国有企业改革和重组，推进国有企业的现代企业制度建设，完善公司治理结构，制定或者参与制定所管理企业的章程，研究拟订所管理企业改革发展规划，推动区属国有经济布局和经济结构的战略性调整；指导所管理企业引进战略投资者和产权（股权）招商引资与资本合作。</w:t>
      </w:r>
    </w:p>
    <w:p>
      <w:pPr>
        <w:spacing w:line="60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4.</w:t>
      </w:r>
      <w:r>
        <w:rPr>
          <w:rFonts w:hint="eastAsia" w:ascii="仿宋_GB2312" w:eastAsia="仿宋_GB2312" w:cs="仿宋_GB2312"/>
          <w:color w:val="000000"/>
          <w:sz w:val="32"/>
          <w:szCs w:val="32"/>
        </w:rPr>
        <w:t>根据权限和法定程序，负责对所管理企业的负责人进行考核和奖惩，提出任免建议；按照国家有关规定，确定其任命的国家出资企业管理者的薪酬标准。建立完善符合社会主义市场经济体制和现代企业制度要求的选人、用人机制，完善经营者激励和约束制度。</w:t>
      </w:r>
    </w:p>
    <w:p>
      <w:pPr>
        <w:pStyle w:val="4"/>
        <w:widowControl/>
        <w:shd w:val="clear" w:color="auto" w:fill="FFFFFF"/>
        <w:spacing w:before="0" w:beforeAutospacing="0" w:after="0" w:afterAutospacing="0" w:line="60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5.</w:t>
      </w:r>
      <w:r>
        <w:rPr>
          <w:rFonts w:hint="eastAsia" w:ascii="仿宋_GB2312" w:eastAsia="仿宋_GB2312" w:cs="仿宋_GB2312"/>
          <w:color w:val="000000"/>
          <w:sz w:val="32"/>
          <w:szCs w:val="32"/>
        </w:rPr>
        <w:t>按照有关规定，代表区人民政府向所管理企业任免或者建议任免董事，并负责董事的日常管理工作，进一步完善国有企业董事会管理体制机制。</w:t>
      </w:r>
    </w:p>
    <w:p>
      <w:pPr>
        <w:spacing w:line="60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6.</w:t>
      </w:r>
      <w:r>
        <w:rPr>
          <w:rFonts w:hint="eastAsia" w:ascii="仿宋_GB2312" w:eastAsia="仿宋_GB2312" w:cs="仿宋_GB2312"/>
          <w:color w:val="000000"/>
          <w:sz w:val="32"/>
          <w:szCs w:val="32"/>
        </w:rPr>
        <w:t>向所管理企业任免或建议任免财务总监，定期审核所管理企业的帐务、经营情况。</w:t>
      </w:r>
    </w:p>
    <w:p>
      <w:pPr>
        <w:widowControl/>
        <w:shd w:val="clear" w:color="auto" w:fill="FFFFFF"/>
        <w:spacing w:line="600" w:lineRule="exact"/>
        <w:jc w:val="left"/>
        <w:rPr>
          <w:rStyle w:val="7"/>
          <w:rFonts w:ascii="仿宋_GB2312" w:eastAsia="仿宋_GB2312"/>
          <w:color w:val="000000"/>
          <w:sz w:val="32"/>
          <w:szCs w:val="32"/>
        </w:rPr>
      </w:pP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7.</w:t>
      </w:r>
      <w:r>
        <w:rPr>
          <w:rFonts w:hint="eastAsia" w:ascii="仿宋_GB2312" w:eastAsia="仿宋_GB2312" w:cs="仿宋_GB2312"/>
          <w:color w:val="000000"/>
          <w:sz w:val="32"/>
          <w:szCs w:val="32"/>
        </w:rPr>
        <w:t>负责制（修）定国有资本经营预算管理制度和办法，指导所管理企业年度国有资本经营预决算草案编制和执行工作。</w:t>
      </w:r>
    </w:p>
    <w:p>
      <w:pPr>
        <w:spacing w:line="60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8.</w:t>
      </w:r>
      <w:r>
        <w:rPr>
          <w:rFonts w:hint="eastAsia" w:ascii="仿宋_GB2312" w:eastAsia="仿宋_GB2312" w:cs="仿宋_GB2312"/>
          <w:color w:val="000000"/>
          <w:sz w:val="32"/>
          <w:szCs w:val="32"/>
        </w:rPr>
        <w:t xml:space="preserve">负责政府授权范围内物业等国有资产运营，承担保值增值责任，行使业主权利。 </w:t>
      </w:r>
    </w:p>
    <w:p>
      <w:pPr>
        <w:spacing w:line="600" w:lineRule="exact"/>
        <w:rPr>
          <w:rStyle w:val="7"/>
          <w:rFonts w:ascii="仿宋_GB2312" w:eastAsia="仿宋_GB2312"/>
          <w:color w:val="000000"/>
          <w:sz w:val="32"/>
          <w:szCs w:val="32"/>
        </w:rPr>
      </w:pPr>
      <w:r>
        <w:rPr>
          <w:rFonts w:hint="eastAsia" w:ascii="仿宋_GB2312" w:eastAsia="仿宋_GB2312" w:cs="仿宋_GB2312"/>
          <w:color w:val="000000"/>
          <w:sz w:val="32"/>
          <w:szCs w:val="32"/>
        </w:rPr>
        <w:t xml:space="preserve">    </w:t>
      </w:r>
      <w:r>
        <w:rPr>
          <w:rFonts w:ascii="仿宋_GB2312" w:eastAsia="仿宋_GB2312" w:cs="仿宋_GB2312"/>
          <w:color w:val="000000"/>
          <w:sz w:val="32"/>
          <w:szCs w:val="32"/>
        </w:rPr>
        <w:t>9.</w:t>
      </w:r>
      <w:r>
        <w:rPr>
          <w:rFonts w:hint="eastAsia" w:ascii="仿宋_GB2312" w:eastAsia="仿宋_GB2312" w:cs="仿宋_GB2312"/>
          <w:color w:val="000000"/>
          <w:sz w:val="32"/>
          <w:szCs w:val="32"/>
        </w:rPr>
        <w:t>向区人民政府报告履行出资人职责的情况，接受区人民政府的监督和考核。对所管理企业的合并、分立、 解散、申请破产等以及法律、行政法规和区人民政府规定须经区人民政府批准的履行出资人职责的重大事项，报请区人民政府批准。按照国家有关规定，定期向区人民政府报告有关国有资产总量、结构、变动、收益等汇总分析的情况。</w:t>
      </w:r>
    </w:p>
    <w:p>
      <w:pPr>
        <w:spacing w:line="600" w:lineRule="exact"/>
        <w:ind w:firstLine="644"/>
        <w:rPr>
          <w:rFonts w:ascii="仿宋_GB2312" w:eastAsia="仿宋_GB2312" w:cs="宋体"/>
          <w:color w:val="000000"/>
          <w:kern w:val="0"/>
          <w:sz w:val="32"/>
          <w:szCs w:val="32"/>
        </w:rPr>
      </w:pPr>
      <w:r>
        <w:rPr>
          <w:rFonts w:ascii="仿宋_GB2312" w:eastAsia="仿宋_GB2312" w:cs="宋体"/>
          <w:color w:val="000000"/>
          <w:kern w:val="0"/>
          <w:sz w:val="32"/>
          <w:szCs w:val="32"/>
        </w:rPr>
        <w:t>（二）</w:t>
      </w:r>
      <w:r>
        <w:rPr>
          <w:rFonts w:hint="eastAsia" w:ascii="仿宋_GB2312" w:eastAsia="仿宋_GB2312" w:cs="宋体"/>
          <w:color w:val="000000"/>
          <w:kern w:val="0"/>
          <w:sz w:val="32"/>
          <w:szCs w:val="32"/>
        </w:rPr>
        <w:t>机构设置情况</w:t>
      </w:r>
    </w:p>
    <w:p>
      <w:pPr>
        <w:widowControl/>
        <w:shd w:val="clear" w:color="auto" w:fill="FFFFFF"/>
        <w:spacing w:line="600" w:lineRule="exact"/>
        <w:ind w:firstLine="640" w:firstLineChars="200"/>
        <w:jc w:val="left"/>
        <w:rPr>
          <w:rFonts w:ascii="仿宋_GB2312" w:eastAsia="仿宋_GB2312" w:cs="宋体"/>
          <w:b/>
          <w:color w:val="000000"/>
          <w:kern w:val="0"/>
          <w:sz w:val="32"/>
          <w:szCs w:val="32"/>
        </w:rPr>
      </w:pPr>
      <w:r>
        <w:rPr>
          <w:rFonts w:hint="eastAsia" w:ascii="仿宋_GB2312" w:eastAsia="仿宋_GB2312"/>
          <w:color w:val="000000"/>
          <w:sz w:val="32"/>
          <w:szCs w:val="32"/>
        </w:rPr>
        <w:t>雨花区</w:t>
      </w:r>
      <w:r>
        <w:rPr>
          <w:rFonts w:hint="eastAsia" w:ascii="仿宋_GB2312" w:eastAsia="仿宋_GB2312" w:cs="宋体"/>
          <w:bCs/>
          <w:color w:val="000000"/>
          <w:kern w:val="0"/>
          <w:sz w:val="32"/>
          <w:szCs w:val="32"/>
        </w:rPr>
        <w:t>雨花区国有资产事务中心</w:t>
      </w:r>
      <w:r>
        <w:rPr>
          <w:rFonts w:hint="eastAsia" w:ascii="仿宋_GB2312" w:eastAsia="仿宋_GB2312"/>
          <w:color w:val="000000"/>
          <w:sz w:val="32"/>
          <w:szCs w:val="32"/>
        </w:rPr>
        <w:t>，内设5个科室，分别为办公室、规划发展科、评价考核科、产权管理科、党群人事科。现有在职事业编制13人，人才引进1人，在职政府雇员5人，退休老干部4人。</w:t>
      </w:r>
    </w:p>
    <w:p>
      <w:pPr>
        <w:pStyle w:val="12"/>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二、部门整体预算支出情况</w:t>
      </w:r>
    </w:p>
    <w:p>
      <w:pPr>
        <w:pStyle w:val="12"/>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spacing w:line="520" w:lineRule="exact"/>
        <w:ind w:firstLine="640" w:firstLineChars="200"/>
        <w:jc w:val="left"/>
        <w:rPr>
          <w:rFonts w:ascii="仿宋_GB2312" w:hAnsi="仿宋_GB2312" w:eastAsia="仿宋_GB2312" w:cs="仿宋_GB2312"/>
          <w:b/>
          <w:bCs/>
          <w:sz w:val="32"/>
          <w:szCs w:val="32"/>
        </w:rPr>
      </w:pPr>
      <w:r>
        <w:rPr>
          <w:rFonts w:hint="eastAsia" w:eastAsia="仿宋_GB2312"/>
          <w:sz w:val="32"/>
          <w:szCs w:val="32"/>
        </w:rPr>
        <w:t>2020年基本支出数为502.7万元，其中“三公”经费支出数为0万元，主要用于保障人员工资福利和机关基本运行，完成日常工作任务发生的各项支出费用</w:t>
      </w:r>
      <w:r>
        <w:rPr>
          <w:rFonts w:eastAsia="仿宋_GB2312"/>
          <w:sz w:val="32"/>
          <w:szCs w:val="32"/>
        </w:rPr>
        <w:t>。</w:t>
      </w:r>
    </w:p>
    <w:p>
      <w:pPr>
        <w:pStyle w:val="12"/>
        <w:widowControl/>
        <w:spacing w:line="520" w:lineRule="exact"/>
        <w:ind w:left="640"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spacing w:line="520" w:lineRule="exact"/>
        <w:ind w:firstLine="640" w:firstLineChars="200"/>
        <w:jc w:val="left"/>
        <w:rPr>
          <w:rFonts w:eastAsia="仿宋_GB2312"/>
          <w:sz w:val="32"/>
          <w:szCs w:val="32"/>
        </w:rPr>
      </w:pPr>
      <w:r>
        <w:rPr>
          <w:rFonts w:hint="eastAsia" w:eastAsia="仿宋_GB2312"/>
          <w:sz w:val="32"/>
          <w:szCs w:val="32"/>
        </w:rPr>
        <w:t>2020年项目支出数为177.26万元，均为财政资金，其中律师顾问费6万元；财务顾问费3万元；圭塘河一期物业管理、绿化服务等日常维护运营费用138.26万元；推进区属国企发展转型、考核评价、人员培训教育、国有资产产权办理等费用30万元。</w:t>
      </w:r>
    </w:p>
    <w:p>
      <w:pPr>
        <w:widowControl/>
        <w:spacing w:line="520" w:lineRule="exact"/>
        <w:ind w:firstLine="645"/>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三、部门整体支出绩效情况</w:t>
      </w:r>
    </w:p>
    <w:p>
      <w:pPr>
        <w:widowControl/>
        <w:spacing w:line="520" w:lineRule="exact"/>
        <w:ind w:firstLine="645"/>
        <w:jc w:val="left"/>
        <w:rPr>
          <w:rFonts w:ascii="仿宋_GB2312" w:eastAsia="仿宋_GB2312"/>
          <w:color w:val="000000"/>
          <w:sz w:val="32"/>
          <w:szCs w:val="32"/>
        </w:rPr>
      </w:pPr>
      <w:r>
        <w:rPr>
          <w:rFonts w:hint="eastAsia" w:ascii="仿宋_GB2312" w:hAnsi="仿宋_GB2312" w:eastAsia="仿宋_GB2312" w:cs="仿宋_GB2312"/>
          <w:color w:val="000000"/>
          <w:sz w:val="32"/>
          <w:szCs w:val="32"/>
        </w:rPr>
        <w:t>2020年预算支出的绩效目标完成。</w:t>
      </w:r>
      <w:r>
        <w:rPr>
          <w:rFonts w:hint="eastAsia" w:ascii="仿宋_GB2312" w:hAnsi="方正小标宋简体" w:eastAsia="仿宋_GB2312" w:cs="方正小标宋简体"/>
          <w:bCs/>
          <w:sz w:val="32"/>
          <w:szCs w:val="32"/>
        </w:rPr>
        <w:t>圭塘河一期相关费用及附加预算支出</w:t>
      </w:r>
      <w:r>
        <w:rPr>
          <w:rFonts w:hint="eastAsia" w:ascii="仿宋_GB2312" w:eastAsia="仿宋_GB2312"/>
          <w:sz w:val="32"/>
          <w:szCs w:val="32"/>
        </w:rPr>
        <w:t>确保了圭塘河生态景观区一期得到日常维护，实现正常运行，获得群众普遍满意。</w:t>
      </w:r>
      <w:r>
        <w:rPr>
          <w:rFonts w:hint="eastAsia" w:ascii="仿宋_GB2312" w:eastAsia="仿宋_GB2312"/>
          <w:color w:val="000000"/>
          <w:sz w:val="32"/>
          <w:szCs w:val="32"/>
        </w:rPr>
        <w:t>工作经费项目支出确保了国有资产产权办理、党员教育培训、企业考核评价、混合所有制改革和企业转型发展等工作顺利推进。</w:t>
      </w:r>
    </w:p>
    <w:p>
      <w:pPr>
        <w:widowControl/>
        <w:spacing w:line="520" w:lineRule="exact"/>
        <w:ind w:firstLine="645"/>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四、存在的问题及原因分析</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主要存在的问题是2020年度预算执行情况不理想，主要原因是</w:t>
      </w:r>
      <w:r>
        <w:rPr>
          <w:rFonts w:hint="eastAsia" w:eastAsia="仿宋_GB2312"/>
          <w:sz w:val="32"/>
          <w:szCs w:val="32"/>
        </w:rPr>
        <w:t>用于推进区属国企发展转型、考核评价、人员培训教育、国有资产产权办理等的工作经费执行效果不佳。</w:t>
      </w:r>
    </w:p>
    <w:p>
      <w:pPr>
        <w:widowControl/>
        <w:spacing w:line="520" w:lineRule="exact"/>
        <w:ind w:firstLine="643" w:firstLineChars="200"/>
        <w:jc w:val="left"/>
        <w:rPr>
          <w:rFonts w:eastAsia="仿宋_GB2312"/>
          <w:sz w:val="32"/>
          <w:szCs w:val="32"/>
        </w:rPr>
      </w:pPr>
      <w:r>
        <w:rPr>
          <w:rFonts w:hint="eastAsia" w:ascii="仿宋_GB2312" w:hAnsi="仿宋_GB2312" w:eastAsia="仿宋_GB2312" w:cs="仿宋_GB2312"/>
          <w:b/>
          <w:bCs/>
          <w:sz w:val="32"/>
          <w:szCs w:val="32"/>
        </w:rPr>
        <w:t>五、下一步改进措施</w:t>
      </w:r>
    </w:p>
    <w:p>
      <w:pPr>
        <w:widowControl/>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国资中心作为新成立的部门，2020年履职工作模式不成熟，正在进行探索和实践。经过2020年工作实践探索，形成了比较成熟的履职模式，也为今后的预算申报和预算执行奠定基础。</w:t>
      </w:r>
    </w:p>
    <w:p>
      <w:pPr>
        <w:spacing w:line="52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六、绩效自评结果拟应用和公开情况</w:t>
      </w:r>
    </w:p>
    <w:p>
      <w:pPr>
        <w:spacing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根据绩效自评结果，对内设各科室2021年预算编制提供了申报依据，确保预算编制科学合理。加强对2021年预算支出的管理力度，确保预算支出有效有质。按照上级要求和相关程序完成公开。</w:t>
      </w:r>
    </w:p>
    <w:p/>
    <w:p/>
    <w:p/>
    <w:p/>
    <w:p/>
    <w:p>
      <w:pPr>
        <w:spacing w:line="600" w:lineRule="exact"/>
        <w:rPr>
          <w:rFonts w:eastAsia="方正小标宋_GBK"/>
          <w:kern w:val="0"/>
          <w:sz w:val="36"/>
          <w:szCs w:val="36"/>
        </w:rPr>
      </w:pPr>
      <w:r>
        <w:rPr>
          <w:rFonts w:eastAsia="黑体"/>
          <w:kern w:val="0"/>
          <w:sz w:val="32"/>
          <w:szCs w:val="32"/>
        </w:rPr>
        <w:t>附件</w:t>
      </w:r>
      <w:r>
        <w:rPr>
          <w:rFonts w:hint="eastAsia" w:eastAsia="黑体"/>
          <w:kern w:val="0"/>
          <w:sz w:val="32"/>
          <w:szCs w:val="32"/>
        </w:rPr>
        <w:t>2</w:t>
      </w:r>
    </w:p>
    <w:p>
      <w:pPr>
        <w:widowControl/>
        <w:ind w:left="91"/>
        <w:jc w:val="center"/>
        <w:rPr>
          <w:rFonts w:eastAsia="方正小标宋简体"/>
          <w:kern w:val="0"/>
          <w:sz w:val="44"/>
          <w:szCs w:val="44"/>
        </w:rPr>
      </w:pPr>
      <w:r>
        <w:rPr>
          <w:rFonts w:eastAsia="方正小标宋简体"/>
          <w:kern w:val="0"/>
          <w:sz w:val="44"/>
          <w:szCs w:val="44"/>
        </w:rPr>
        <w:t>部门整体支出绩效自评表</w:t>
      </w:r>
    </w:p>
    <w:tbl>
      <w:tblPr>
        <w:tblStyle w:val="5"/>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65"/>
        <w:gridCol w:w="1167"/>
        <w:gridCol w:w="1010"/>
        <w:gridCol w:w="588"/>
        <w:gridCol w:w="2020"/>
        <w:gridCol w:w="2020"/>
        <w:gridCol w:w="1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654" w:type="dxa"/>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一级</w:t>
            </w:r>
            <w:r>
              <w:rPr>
                <w:rFonts w:eastAsia="黑体"/>
                <w:color w:val="000000"/>
                <w:kern w:val="0"/>
                <w:sz w:val="20"/>
                <w:szCs w:val="20"/>
              </w:rPr>
              <w:br w:type="textWrapping"/>
            </w:r>
            <w:r>
              <w:rPr>
                <w:rFonts w:eastAsia="黑体"/>
                <w:color w:val="000000"/>
                <w:kern w:val="0"/>
                <w:sz w:val="20"/>
                <w:szCs w:val="20"/>
              </w:rPr>
              <w:t>指标</w:t>
            </w:r>
          </w:p>
        </w:tc>
        <w:tc>
          <w:tcPr>
            <w:tcW w:w="655" w:type="dxa"/>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二级</w:t>
            </w:r>
            <w:r>
              <w:rPr>
                <w:rFonts w:eastAsia="黑体"/>
                <w:color w:val="000000"/>
                <w:kern w:val="0"/>
                <w:sz w:val="20"/>
                <w:szCs w:val="20"/>
              </w:rPr>
              <w:br w:type="textWrapping"/>
            </w:r>
            <w:r>
              <w:rPr>
                <w:rFonts w:eastAsia="黑体"/>
                <w:color w:val="000000"/>
                <w:kern w:val="0"/>
                <w:sz w:val="20"/>
                <w:szCs w:val="20"/>
              </w:rPr>
              <w:t>指标</w:t>
            </w:r>
          </w:p>
        </w:tc>
        <w:tc>
          <w:tcPr>
            <w:tcW w:w="567" w:type="dxa"/>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eastAsia="黑体"/>
                <w:color w:val="000000"/>
                <w:kern w:val="0"/>
                <w:sz w:val="20"/>
                <w:szCs w:val="20"/>
              </w:rPr>
              <w:t>三级</w:t>
            </w:r>
          </w:p>
          <w:p>
            <w:pPr>
              <w:widowControl/>
              <w:spacing w:line="280" w:lineRule="exact"/>
              <w:jc w:val="center"/>
              <w:textAlignment w:val="center"/>
              <w:rPr>
                <w:rFonts w:eastAsia="黑体"/>
                <w:color w:val="000000"/>
                <w:sz w:val="20"/>
                <w:szCs w:val="20"/>
              </w:rPr>
            </w:pPr>
            <w:r>
              <w:rPr>
                <w:rFonts w:eastAsia="黑体"/>
                <w:color w:val="000000"/>
                <w:kern w:val="0"/>
                <w:sz w:val="20"/>
                <w:szCs w:val="20"/>
              </w:rPr>
              <w:t>指标</w:t>
            </w:r>
          </w:p>
        </w:tc>
        <w:tc>
          <w:tcPr>
            <w:tcW w:w="324" w:type="dxa"/>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分值</w:t>
            </w:r>
          </w:p>
        </w:tc>
        <w:tc>
          <w:tcPr>
            <w:tcW w:w="1134" w:type="dxa"/>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评分要点</w:t>
            </w:r>
          </w:p>
        </w:tc>
        <w:tc>
          <w:tcPr>
            <w:tcW w:w="1134" w:type="dxa"/>
            <w:noWrap/>
            <w:tcMar>
              <w:top w:w="15" w:type="dxa"/>
              <w:left w:w="15" w:type="dxa"/>
              <w:right w:w="15" w:type="dxa"/>
            </w:tcMar>
            <w:vAlign w:val="center"/>
          </w:tcPr>
          <w:p>
            <w:pPr>
              <w:widowControl/>
              <w:spacing w:line="280" w:lineRule="exact"/>
              <w:jc w:val="center"/>
              <w:textAlignment w:val="center"/>
              <w:rPr>
                <w:rFonts w:eastAsia="黑体"/>
                <w:color w:val="000000"/>
                <w:sz w:val="20"/>
                <w:szCs w:val="20"/>
              </w:rPr>
            </w:pPr>
            <w:r>
              <w:rPr>
                <w:rFonts w:eastAsia="黑体"/>
                <w:color w:val="000000"/>
                <w:kern w:val="0"/>
                <w:sz w:val="20"/>
                <w:szCs w:val="20"/>
              </w:rPr>
              <w:t>评分标准</w:t>
            </w:r>
          </w:p>
        </w:tc>
        <w:tc>
          <w:tcPr>
            <w:tcW w:w="618" w:type="dxa"/>
            <w:noWrap/>
            <w:tcMar>
              <w:top w:w="15" w:type="dxa"/>
              <w:left w:w="15" w:type="dxa"/>
              <w:right w:w="15" w:type="dxa"/>
            </w:tcMar>
            <w:vAlign w:val="center"/>
          </w:tcPr>
          <w:p>
            <w:pPr>
              <w:widowControl/>
              <w:spacing w:line="280" w:lineRule="exact"/>
              <w:jc w:val="center"/>
              <w:textAlignment w:val="center"/>
              <w:rPr>
                <w:rFonts w:eastAsia="黑体"/>
                <w:color w:val="000000"/>
                <w:kern w:val="0"/>
                <w:sz w:val="20"/>
                <w:szCs w:val="20"/>
              </w:rPr>
            </w:pPr>
            <w:r>
              <w:rPr>
                <w:rFonts w:hint="eastAsia" w:eastAsia="黑体"/>
                <w:color w:val="000000"/>
                <w:kern w:val="0"/>
                <w:sz w:val="20"/>
                <w:szCs w:val="20"/>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654" w:type="dxa"/>
            <w:vMerge w:val="restart"/>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8"/>
                <w:rFonts w:hint="default" w:ascii="Times New Roman" w:hAnsi="Times New Roman" w:cs="Times New Roman"/>
                <w:sz w:val="20"/>
                <w:szCs w:val="20"/>
              </w:rPr>
              <w:t>投入</w:t>
            </w:r>
            <w:r>
              <w:rPr>
                <w:rStyle w:val="9"/>
                <w:sz w:val="20"/>
                <w:szCs w:val="20"/>
              </w:rPr>
              <w:br w:type="textWrapping"/>
            </w:r>
            <w:r>
              <w:rPr>
                <w:rStyle w:val="8"/>
                <w:rFonts w:hint="default" w:ascii="Times New Roman" w:hAnsi="Times New Roman" w:cs="Times New Roman"/>
                <w:sz w:val="20"/>
                <w:szCs w:val="20"/>
              </w:rPr>
              <w:t>（10分）</w:t>
            </w:r>
          </w:p>
        </w:tc>
        <w:tc>
          <w:tcPr>
            <w:tcW w:w="655" w:type="dxa"/>
            <w:vMerge w:val="restart"/>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8"/>
                <w:rFonts w:hint="default" w:ascii="Times New Roman" w:hAnsi="Times New Roman" w:cs="Times New Roman"/>
                <w:sz w:val="20"/>
                <w:szCs w:val="20"/>
              </w:rPr>
              <w:t>目标</w:t>
            </w:r>
            <w:r>
              <w:rPr>
                <w:rStyle w:val="9"/>
                <w:sz w:val="20"/>
                <w:szCs w:val="20"/>
              </w:rPr>
              <w:br w:type="textWrapping"/>
            </w:r>
            <w:r>
              <w:rPr>
                <w:rStyle w:val="8"/>
                <w:rFonts w:hint="default" w:ascii="Times New Roman" w:hAnsi="Times New Roman" w:cs="Times New Roman"/>
                <w:sz w:val="20"/>
                <w:szCs w:val="20"/>
              </w:rPr>
              <w:t>设定</w:t>
            </w:r>
            <w:r>
              <w:rPr>
                <w:rStyle w:val="9"/>
                <w:sz w:val="20"/>
                <w:szCs w:val="20"/>
              </w:rPr>
              <w:br w:type="textWrapping"/>
            </w:r>
            <w:r>
              <w:rPr>
                <w:rStyle w:val="8"/>
                <w:rFonts w:hint="default" w:ascii="Times New Roman" w:hAnsi="Times New Roman" w:cs="Times New Roman"/>
                <w:sz w:val="20"/>
                <w:szCs w:val="20"/>
              </w:rPr>
              <w:t>（</w:t>
            </w:r>
            <w:r>
              <w:rPr>
                <w:rStyle w:val="9"/>
                <w:sz w:val="20"/>
                <w:szCs w:val="20"/>
              </w:rPr>
              <w:t>6</w:t>
            </w:r>
            <w:r>
              <w:rPr>
                <w:rStyle w:val="8"/>
                <w:rFonts w:hint="default" w:ascii="Times New Roman" w:hAnsi="Times New Roman" w:cs="Times New Roman"/>
                <w:sz w:val="20"/>
                <w:szCs w:val="20"/>
              </w:rPr>
              <w:t>分）</w:t>
            </w:r>
          </w:p>
        </w:tc>
        <w:tc>
          <w:tcPr>
            <w:tcW w:w="567" w:type="dxa"/>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8"/>
                <w:rFonts w:hint="default" w:ascii="Times New Roman" w:hAnsi="Times New Roman" w:cs="Times New Roman"/>
                <w:sz w:val="20"/>
                <w:szCs w:val="20"/>
              </w:rPr>
              <w:t>绩效目标</w:t>
            </w:r>
            <w:r>
              <w:rPr>
                <w:rStyle w:val="9"/>
                <w:sz w:val="20"/>
                <w:szCs w:val="20"/>
              </w:rPr>
              <w:br w:type="textWrapping"/>
            </w:r>
            <w:r>
              <w:rPr>
                <w:rStyle w:val="8"/>
                <w:rFonts w:hint="default" w:ascii="Times New Roman" w:hAnsi="Times New Roman" w:cs="Times New Roman"/>
                <w:sz w:val="20"/>
                <w:szCs w:val="20"/>
              </w:rPr>
              <w:t>合理性</w:t>
            </w:r>
          </w:p>
        </w:tc>
        <w:tc>
          <w:tcPr>
            <w:tcW w:w="324" w:type="dxa"/>
            <w:noWrap/>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2</w:t>
            </w:r>
          </w:p>
        </w:tc>
        <w:tc>
          <w:tcPr>
            <w:tcW w:w="1134" w:type="dxa"/>
            <w:noWrap/>
            <w:tcMar>
              <w:top w:w="15" w:type="dxa"/>
              <w:left w:w="15" w:type="dxa"/>
              <w:right w:w="15" w:type="dxa"/>
            </w:tcMar>
            <w:vAlign w:val="center"/>
          </w:tcPr>
          <w:p>
            <w:pPr>
              <w:widowControl/>
              <w:spacing w:line="270" w:lineRule="exact"/>
              <w:jc w:val="left"/>
              <w:textAlignment w:val="center"/>
              <w:rPr>
                <w:color w:val="000000"/>
                <w:sz w:val="20"/>
                <w:szCs w:val="20"/>
              </w:rPr>
            </w:pPr>
            <w:r>
              <w:rPr>
                <w:rStyle w:val="8"/>
                <w:rFonts w:hint="default" w:ascii="Times New Roman" w:hAnsi="Times New Roman" w:cs="Times New Roman"/>
                <w:sz w:val="20"/>
                <w:szCs w:val="20"/>
              </w:rPr>
              <w:t>①是否符合国家法律法规、国民经济和社会发展总体规划；</w:t>
            </w:r>
            <w:r>
              <w:rPr>
                <w:rStyle w:val="9"/>
                <w:sz w:val="20"/>
                <w:szCs w:val="20"/>
              </w:rPr>
              <w:br w:type="textWrapping"/>
            </w:r>
            <w:r>
              <w:rPr>
                <w:rStyle w:val="8"/>
                <w:rFonts w:hint="default" w:ascii="Times New Roman" w:hAnsi="Times New Roman" w:cs="Times New Roman"/>
                <w:sz w:val="20"/>
                <w:szCs w:val="20"/>
              </w:rPr>
              <w:t>②是否符合部门</w:t>
            </w:r>
            <w:r>
              <w:rPr>
                <w:rStyle w:val="9"/>
                <w:sz w:val="20"/>
                <w:szCs w:val="20"/>
              </w:rPr>
              <w:t>“</w:t>
            </w:r>
            <w:r>
              <w:rPr>
                <w:rStyle w:val="8"/>
                <w:rFonts w:hint="default" w:ascii="Times New Roman" w:hAnsi="Times New Roman" w:cs="Times New Roman"/>
                <w:sz w:val="20"/>
                <w:szCs w:val="20"/>
              </w:rPr>
              <w:t>三定</w:t>
            </w:r>
            <w:r>
              <w:rPr>
                <w:rStyle w:val="9"/>
                <w:sz w:val="20"/>
                <w:szCs w:val="20"/>
              </w:rPr>
              <w:t>”</w:t>
            </w:r>
            <w:r>
              <w:rPr>
                <w:rStyle w:val="8"/>
                <w:rFonts w:hint="default" w:ascii="Times New Roman" w:hAnsi="Times New Roman" w:cs="Times New Roman"/>
                <w:sz w:val="20"/>
                <w:szCs w:val="20"/>
              </w:rPr>
              <w:t>方案确定的职责；</w:t>
            </w:r>
            <w:r>
              <w:rPr>
                <w:rStyle w:val="9"/>
                <w:sz w:val="20"/>
                <w:szCs w:val="20"/>
              </w:rPr>
              <w:br w:type="textWrapping"/>
            </w:r>
            <w:r>
              <w:rPr>
                <w:rStyle w:val="8"/>
                <w:rFonts w:hint="default" w:ascii="Times New Roman" w:hAnsi="Times New Roman" w:cs="Times New Roman"/>
                <w:sz w:val="20"/>
                <w:szCs w:val="20"/>
              </w:rPr>
              <w:t>③是否符合部门制定的发展实施规划。</w:t>
            </w:r>
          </w:p>
        </w:tc>
        <w:tc>
          <w:tcPr>
            <w:tcW w:w="1134" w:type="dxa"/>
            <w:noWrap/>
            <w:tcMar>
              <w:top w:w="15" w:type="dxa"/>
              <w:left w:w="15" w:type="dxa"/>
              <w:right w:w="15" w:type="dxa"/>
            </w:tcMar>
            <w:vAlign w:val="center"/>
          </w:tcPr>
          <w:p>
            <w:pPr>
              <w:widowControl/>
              <w:spacing w:line="270" w:lineRule="exact"/>
              <w:textAlignment w:val="center"/>
              <w:rPr>
                <w:color w:val="000000"/>
                <w:sz w:val="20"/>
                <w:szCs w:val="20"/>
              </w:rPr>
            </w:pPr>
            <w:r>
              <w:rPr>
                <w:rStyle w:val="8"/>
                <w:rFonts w:hint="default" w:ascii="Times New Roman" w:hAnsi="Times New Roman" w:cs="Times New Roman"/>
                <w:sz w:val="20"/>
                <w:szCs w:val="20"/>
              </w:rPr>
              <w:t>①符合国家相关法律法规，本市国民经济和社会发展规划，计</w:t>
            </w:r>
            <w:r>
              <w:rPr>
                <w:rStyle w:val="9"/>
                <w:sz w:val="20"/>
                <w:szCs w:val="20"/>
              </w:rPr>
              <w:t>0.5</w:t>
            </w:r>
            <w:r>
              <w:rPr>
                <w:rStyle w:val="8"/>
                <w:rFonts w:hint="default" w:ascii="Times New Roman" w:hAnsi="Times New Roman" w:cs="Times New Roman"/>
                <w:sz w:val="20"/>
                <w:szCs w:val="20"/>
              </w:rPr>
              <w:t>分，否则不得分；</w:t>
            </w:r>
            <w:r>
              <w:rPr>
                <w:rStyle w:val="9"/>
                <w:sz w:val="20"/>
                <w:szCs w:val="20"/>
              </w:rPr>
              <w:br w:type="textWrapping"/>
            </w:r>
            <w:r>
              <w:rPr>
                <w:rStyle w:val="8"/>
                <w:rFonts w:hint="default" w:ascii="Times New Roman" w:hAnsi="Times New Roman" w:cs="Times New Roman"/>
                <w:sz w:val="20"/>
                <w:szCs w:val="20"/>
              </w:rPr>
              <w:t>②与部门（单位）职责密切相关，计</w:t>
            </w:r>
            <w:r>
              <w:rPr>
                <w:rStyle w:val="9"/>
                <w:sz w:val="20"/>
                <w:szCs w:val="20"/>
              </w:rPr>
              <w:t>0.5</w:t>
            </w:r>
            <w:r>
              <w:rPr>
                <w:rStyle w:val="8"/>
                <w:rFonts w:hint="default" w:ascii="Times New Roman" w:hAnsi="Times New Roman" w:cs="Times New Roman"/>
                <w:sz w:val="20"/>
                <w:szCs w:val="20"/>
              </w:rPr>
              <w:t>分，否则不得分；</w:t>
            </w:r>
            <w:r>
              <w:rPr>
                <w:rStyle w:val="9"/>
                <w:sz w:val="20"/>
                <w:szCs w:val="20"/>
              </w:rPr>
              <w:br w:type="textWrapping"/>
            </w:r>
            <w:r>
              <w:rPr>
                <w:rStyle w:val="8"/>
                <w:rFonts w:hint="default" w:ascii="Times New Roman" w:hAnsi="Times New Roman" w:cs="Times New Roman"/>
                <w:sz w:val="20"/>
                <w:szCs w:val="20"/>
              </w:rPr>
              <w:t>③符合部门制定的发展实施规划，计</w:t>
            </w:r>
            <w:r>
              <w:rPr>
                <w:rStyle w:val="9"/>
                <w:sz w:val="20"/>
                <w:szCs w:val="20"/>
              </w:rPr>
              <w:t>1</w:t>
            </w:r>
            <w:r>
              <w:rPr>
                <w:rStyle w:val="8"/>
                <w:rFonts w:hint="default" w:ascii="Times New Roman" w:hAnsi="Times New Roman" w:cs="Times New Roman"/>
                <w:sz w:val="20"/>
                <w:szCs w:val="20"/>
              </w:rPr>
              <w:t>分，否则不得分。</w:t>
            </w:r>
          </w:p>
        </w:tc>
        <w:tc>
          <w:tcPr>
            <w:tcW w:w="618" w:type="dxa"/>
            <w:noWrap/>
            <w:tcMar>
              <w:top w:w="15" w:type="dxa"/>
              <w:left w:w="15" w:type="dxa"/>
              <w:right w:w="15" w:type="dxa"/>
            </w:tcMar>
            <w:vAlign w:val="center"/>
          </w:tcPr>
          <w:p>
            <w:pPr>
              <w:widowControl/>
              <w:spacing w:line="27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654" w:type="dxa"/>
            <w:vMerge w:val="continue"/>
            <w:noWrap/>
            <w:tcMar>
              <w:top w:w="15" w:type="dxa"/>
              <w:left w:w="15" w:type="dxa"/>
              <w:right w:w="15" w:type="dxa"/>
            </w:tcMar>
            <w:vAlign w:val="center"/>
          </w:tcPr>
          <w:p>
            <w:pPr>
              <w:widowControl/>
              <w:spacing w:line="270" w:lineRule="exact"/>
              <w:jc w:val="center"/>
              <w:rPr>
                <w:color w:val="000000"/>
                <w:sz w:val="20"/>
                <w:szCs w:val="20"/>
              </w:rPr>
            </w:pPr>
          </w:p>
        </w:tc>
        <w:tc>
          <w:tcPr>
            <w:tcW w:w="655" w:type="dxa"/>
            <w:vMerge w:val="continue"/>
            <w:noWrap/>
            <w:tcMar>
              <w:top w:w="15" w:type="dxa"/>
              <w:left w:w="15" w:type="dxa"/>
              <w:right w:w="15" w:type="dxa"/>
            </w:tcMar>
            <w:vAlign w:val="center"/>
          </w:tcPr>
          <w:p>
            <w:pPr>
              <w:widowControl/>
              <w:spacing w:line="270" w:lineRule="exact"/>
              <w:jc w:val="center"/>
              <w:rPr>
                <w:color w:val="000000"/>
                <w:sz w:val="20"/>
                <w:szCs w:val="20"/>
              </w:rPr>
            </w:pPr>
          </w:p>
        </w:tc>
        <w:tc>
          <w:tcPr>
            <w:tcW w:w="567" w:type="dxa"/>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8"/>
                <w:rFonts w:hint="default" w:ascii="Times New Roman" w:hAnsi="Times New Roman" w:cs="Times New Roman"/>
                <w:sz w:val="20"/>
                <w:szCs w:val="20"/>
              </w:rPr>
              <w:t>绩效指标</w:t>
            </w:r>
            <w:r>
              <w:rPr>
                <w:rStyle w:val="9"/>
                <w:sz w:val="20"/>
                <w:szCs w:val="20"/>
              </w:rPr>
              <w:br w:type="textWrapping"/>
            </w:r>
            <w:r>
              <w:rPr>
                <w:rStyle w:val="8"/>
                <w:rFonts w:hint="default" w:ascii="Times New Roman" w:hAnsi="Times New Roman" w:cs="Times New Roman"/>
                <w:sz w:val="20"/>
                <w:szCs w:val="20"/>
              </w:rPr>
              <w:t>明确性</w:t>
            </w:r>
          </w:p>
        </w:tc>
        <w:tc>
          <w:tcPr>
            <w:tcW w:w="324" w:type="dxa"/>
            <w:noWrap/>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134" w:type="dxa"/>
            <w:noWrap/>
            <w:tcMar>
              <w:top w:w="15" w:type="dxa"/>
              <w:left w:w="15" w:type="dxa"/>
              <w:right w:w="15" w:type="dxa"/>
            </w:tcMar>
            <w:vAlign w:val="center"/>
          </w:tcPr>
          <w:p>
            <w:pPr>
              <w:widowControl/>
              <w:spacing w:line="270" w:lineRule="exact"/>
              <w:jc w:val="left"/>
              <w:textAlignment w:val="center"/>
              <w:rPr>
                <w:color w:val="000000"/>
                <w:sz w:val="20"/>
                <w:szCs w:val="20"/>
              </w:rPr>
            </w:pPr>
            <w:r>
              <w:rPr>
                <w:rStyle w:val="8"/>
                <w:rFonts w:hint="default" w:ascii="Times New Roman" w:hAnsi="Times New Roman" w:cs="Times New Roman"/>
                <w:sz w:val="20"/>
                <w:szCs w:val="20"/>
              </w:rPr>
              <w:t>①是否将部门整体的绩效目标细化分解为具体的工作任务；</w:t>
            </w:r>
            <w:r>
              <w:rPr>
                <w:rStyle w:val="9"/>
                <w:sz w:val="20"/>
                <w:szCs w:val="20"/>
              </w:rPr>
              <w:br w:type="textWrapping"/>
            </w:r>
            <w:r>
              <w:rPr>
                <w:rStyle w:val="8"/>
                <w:rFonts w:hint="default" w:ascii="Times New Roman" w:hAnsi="Times New Roman" w:cs="Times New Roman"/>
                <w:sz w:val="20"/>
                <w:szCs w:val="20"/>
              </w:rPr>
              <w:t>②是否通过清晰、可衡量的指标值予以体现。</w:t>
            </w:r>
            <w:r>
              <w:rPr>
                <w:rStyle w:val="9"/>
                <w:sz w:val="20"/>
                <w:szCs w:val="20"/>
              </w:rPr>
              <w:br w:type="textWrapping"/>
            </w:r>
            <w:r>
              <w:rPr>
                <w:rStyle w:val="8"/>
                <w:rFonts w:hint="default" w:ascii="Times New Roman" w:hAnsi="Times New Roman" w:cs="Times New Roman"/>
                <w:sz w:val="20"/>
                <w:szCs w:val="20"/>
              </w:rPr>
              <w:t>③是否与部门年度的任务数或计划数相对应；</w:t>
            </w:r>
            <w:r>
              <w:rPr>
                <w:rStyle w:val="9"/>
                <w:sz w:val="20"/>
                <w:szCs w:val="20"/>
              </w:rPr>
              <w:br w:type="textWrapping"/>
            </w:r>
            <w:r>
              <w:rPr>
                <w:rStyle w:val="8"/>
                <w:rFonts w:hint="default" w:ascii="Times New Roman" w:hAnsi="Times New Roman" w:cs="Times New Roman"/>
                <w:sz w:val="20"/>
                <w:szCs w:val="20"/>
              </w:rPr>
              <w:t>④是否与本年度部门预算资金相匹配。</w:t>
            </w:r>
          </w:p>
        </w:tc>
        <w:tc>
          <w:tcPr>
            <w:tcW w:w="1134" w:type="dxa"/>
            <w:noWrap/>
            <w:tcMar>
              <w:top w:w="15" w:type="dxa"/>
              <w:left w:w="15" w:type="dxa"/>
              <w:right w:w="15" w:type="dxa"/>
            </w:tcMar>
            <w:vAlign w:val="center"/>
          </w:tcPr>
          <w:p>
            <w:pPr>
              <w:widowControl/>
              <w:spacing w:line="270" w:lineRule="exact"/>
              <w:textAlignment w:val="center"/>
              <w:rPr>
                <w:color w:val="000000"/>
                <w:sz w:val="20"/>
                <w:szCs w:val="20"/>
              </w:rPr>
            </w:pPr>
            <w:r>
              <w:rPr>
                <w:rStyle w:val="8"/>
                <w:rFonts w:hint="default" w:ascii="Times New Roman" w:hAnsi="Times New Roman" w:cs="Times New Roman"/>
                <w:sz w:val="20"/>
                <w:szCs w:val="20"/>
              </w:rPr>
              <w:t>①有目标，计1分，否则不得分；</w:t>
            </w:r>
            <w:r>
              <w:rPr>
                <w:rStyle w:val="9"/>
                <w:sz w:val="20"/>
                <w:szCs w:val="20"/>
              </w:rPr>
              <w:br w:type="textWrapping"/>
            </w:r>
            <w:r>
              <w:rPr>
                <w:rStyle w:val="8"/>
                <w:rFonts w:hint="default" w:ascii="Times New Roman" w:hAnsi="Times New Roman" w:cs="Times New Roman"/>
                <w:sz w:val="20"/>
                <w:szCs w:val="20"/>
              </w:rPr>
              <w:t>②目标明确，细化量化良好，个性指标中量化指标超过</w:t>
            </w:r>
            <w:r>
              <w:rPr>
                <w:rStyle w:val="9"/>
                <w:sz w:val="20"/>
                <w:szCs w:val="20"/>
              </w:rPr>
              <w:t>3</w:t>
            </w:r>
            <w:r>
              <w:rPr>
                <w:rStyle w:val="8"/>
                <w:rFonts w:hint="default" w:ascii="Times New Roman" w:hAnsi="Times New Roman" w:cs="Times New Roman"/>
                <w:sz w:val="20"/>
                <w:szCs w:val="20"/>
              </w:rPr>
              <w:t>个，计1分，量化指标为</w:t>
            </w:r>
            <w:r>
              <w:rPr>
                <w:rStyle w:val="9"/>
                <w:sz w:val="20"/>
                <w:szCs w:val="20"/>
              </w:rPr>
              <w:t>2</w:t>
            </w:r>
            <w:r>
              <w:rPr>
                <w:rStyle w:val="8"/>
                <w:rFonts w:hint="default" w:ascii="Times New Roman" w:hAnsi="Times New Roman" w:cs="Times New Roman"/>
                <w:sz w:val="20"/>
                <w:szCs w:val="20"/>
              </w:rPr>
              <w:t>个，计</w:t>
            </w:r>
            <w:r>
              <w:rPr>
                <w:rStyle w:val="9"/>
                <w:sz w:val="20"/>
                <w:szCs w:val="20"/>
              </w:rPr>
              <w:t>0.5</w:t>
            </w:r>
            <w:r>
              <w:rPr>
                <w:rStyle w:val="8"/>
                <w:rFonts w:hint="default" w:ascii="Times New Roman" w:hAnsi="Times New Roman" w:cs="Times New Roman"/>
                <w:sz w:val="20"/>
                <w:szCs w:val="20"/>
              </w:rPr>
              <w:t>分，</w:t>
            </w:r>
            <w:r>
              <w:rPr>
                <w:rStyle w:val="9"/>
                <w:sz w:val="20"/>
                <w:szCs w:val="20"/>
              </w:rPr>
              <w:t>2</w:t>
            </w:r>
            <w:r>
              <w:rPr>
                <w:rStyle w:val="8"/>
                <w:rFonts w:hint="default" w:ascii="Times New Roman" w:hAnsi="Times New Roman" w:cs="Times New Roman"/>
                <w:sz w:val="20"/>
                <w:szCs w:val="20"/>
              </w:rPr>
              <w:t>个以下不得分；</w:t>
            </w:r>
            <w:r>
              <w:rPr>
                <w:rStyle w:val="9"/>
                <w:sz w:val="20"/>
                <w:szCs w:val="20"/>
              </w:rPr>
              <w:br w:type="textWrapping"/>
            </w:r>
            <w:r>
              <w:rPr>
                <w:rStyle w:val="8"/>
                <w:rFonts w:hint="default" w:ascii="Times New Roman" w:hAnsi="Times New Roman" w:cs="Times New Roman"/>
                <w:sz w:val="20"/>
                <w:szCs w:val="20"/>
              </w:rPr>
              <w:t>③与年度任务数或计划数相对应，计1分，低于</w:t>
            </w:r>
            <w:r>
              <w:rPr>
                <w:rStyle w:val="9"/>
                <w:sz w:val="20"/>
                <w:szCs w:val="20"/>
              </w:rPr>
              <w:t>2</w:t>
            </w:r>
            <w:r>
              <w:rPr>
                <w:rStyle w:val="8"/>
                <w:rFonts w:hint="default" w:ascii="Times New Roman" w:hAnsi="Times New Roman" w:cs="Times New Roman"/>
                <w:sz w:val="20"/>
                <w:szCs w:val="20"/>
              </w:rPr>
              <w:t>个，计0.5分，低于</w:t>
            </w:r>
            <w:r>
              <w:rPr>
                <w:rStyle w:val="9"/>
                <w:sz w:val="20"/>
                <w:szCs w:val="20"/>
              </w:rPr>
              <w:t>4</w:t>
            </w:r>
            <w:r>
              <w:rPr>
                <w:rStyle w:val="8"/>
                <w:rFonts w:hint="default" w:ascii="Times New Roman" w:hAnsi="Times New Roman" w:cs="Times New Roman"/>
                <w:sz w:val="20"/>
                <w:szCs w:val="20"/>
              </w:rPr>
              <w:t>个不得分；</w:t>
            </w:r>
            <w:r>
              <w:rPr>
                <w:rStyle w:val="9"/>
                <w:sz w:val="20"/>
                <w:szCs w:val="20"/>
              </w:rPr>
              <w:br w:type="textWrapping"/>
            </w:r>
            <w:r>
              <w:rPr>
                <w:rStyle w:val="8"/>
                <w:rFonts w:hint="default" w:ascii="Times New Roman" w:hAnsi="Times New Roman" w:cs="Times New Roman"/>
                <w:sz w:val="20"/>
                <w:szCs w:val="20"/>
              </w:rPr>
              <w:t>④目标与资金匹配良好，逻辑关系明确，计1分，否则不得分。</w:t>
            </w:r>
          </w:p>
        </w:tc>
        <w:tc>
          <w:tcPr>
            <w:tcW w:w="618" w:type="dxa"/>
            <w:noWrap/>
            <w:tcMar>
              <w:top w:w="15" w:type="dxa"/>
              <w:left w:w="15" w:type="dxa"/>
              <w:right w:w="15" w:type="dxa"/>
            </w:tcMar>
            <w:vAlign w:val="center"/>
          </w:tcPr>
          <w:p>
            <w:pPr>
              <w:widowControl/>
              <w:spacing w:line="27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654" w:type="dxa"/>
            <w:vMerge w:val="continue"/>
            <w:noWrap/>
            <w:tcMar>
              <w:top w:w="15" w:type="dxa"/>
              <w:left w:w="15" w:type="dxa"/>
              <w:right w:w="15" w:type="dxa"/>
            </w:tcMar>
            <w:vAlign w:val="center"/>
          </w:tcPr>
          <w:p>
            <w:pPr>
              <w:widowControl/>
              <w:spacing w:line="270" w:lineRule="exact"/>
              <w:jc w:val="center"/>
              <w:rPr>
                <w:color w:val="000000"/>
                <w:sz w:val="20"/>
                <w:szCs w:val="20"/>
              </w:rPr>
            </w:pPr>
          </w:p>
        </w:tc>
        <w:tc>
          <w:tcPr>
            <w:tcW w:w="655" w:type="dxa"/>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8"/>
                <w:rFonts w:hint="default" w:ascii="Times New Roman" w:hAnsi="Times New Roman" w:cs="Times New Roman"/>
                <w:sz w:val="20"/>
                <w:szCs w:val="20"/>
              </w:rPr>
              <w:t>预算</w:t>
            </w:r>
            <w:r>
              <w:rPr>
                <w:rStyle w:val="9"/>
                <w:sz w:val="20"/>
                <w:szCs w:val="20"/>
              </w:rPr>
              <w:br w:type="textWrapping"/>
            </w:r>
            <w:r>
              <w:rPr>
                <w:rStyle w:val="8"/>
                <w:rFonts w:hint="default" w:ascii="Times New Roman" w:hAnsi="Times New Roman" w:cs="Times New Roman"/>
                <w:sz w:val="20"/>
                <w:szCs w:val="20"/>
              </w:rPr>
              <w:t>配置</w:t>
            </w:r>
            <w:r>
              <w:rPr>
                <w:rStyle w:val="9"/>
                <w:sz w:val="20"/>
                <w:szCs w:val="20"/>
              </w:rPr>
              <w:br w:type="textWrapping"/>
            </w:r>
            <w:r>
              <w:rPr>
                <w:rStyle w:val="8"/>
                <w:rFonts w:hint="default" w:ascii="Times New Roman" w:hAnsi="Times New Roman" w:cs="Times New Roman"/>
                <w:sz w:val="20"/>
                <w:szCs w:val="20"/>
              </w:rPr>
              <w:t>（</w:t>
            </w:r>
            <w:r>
              <w:rPr>
                <w:rStyle w:val="9"/>
                <w:sz w:val="20"/>
                <w:szCs w:val="20"/>
              </w:rPr>
              <w:t>4</w:t>
            </w:r>
            <w:r>
              <w:rPr>
                <w:rStyle w:val="8"/>
                <w:rFonts w:hint="default" w:ascii="Times New Roman" w:hAnsi="Times New Roman" w:cs="Times New Roman"/>
                <w:sz w:val="20"/>
                <w:szCs w:val="20"/>
              </w:rPr>
              <w:t>分）</w:t>
            </w:r>
          </w:p>
        </w:tc>
        <w:tc>
          <w:tcPr>
            <w:tcW w:w="567" w:type="dxa"/>
            <w:noWrap/>
            <w:tcMar>
              <w:top w:w="15" w:type="dxa"/>
              <w:left w:w="15" w:type="dxa"/>
              <w:right w:w="15" w:type="dxa"/>
            </w:tcMar>
            <w:vAlign w:val="center"/>
          </w:tcPr>
          <w:p>
            <w:pPr>
              <w:widowControl/>
              <w:spacing w:line="27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人员</w:t>
            </w:r>
          </w:p>
          <w:p>
            <w:pPr>
              <w:widowControl/>
              <w:spacing w:line="270" w:lineRule="exact"/>
              <w:jc w:val="center"/>
              <w:textAlignment w:val="center"/>
              <w:rPr>
                <w:color w:val="000000"/>
                <w:sz w:val="20"/>
                <w:szCs w:val="20"/>
              </w:rPr>
            </w:pPr>
            <w:r>
              <w:rPr>
                <w:rStyle w:val="8"/>
                <w:rFonts w:hint="default" w:ascii="Times New Roman" w:hAnsi="Times New Roman" w:cs="Times New Roman"/>
                <w:sz w:val="20"/>
                <w:szCs w:val="20"/>
              </w:rPr>
              <w:t>控制率</w:t>
            </w:r>
          </w:p>
        </w:tc>
        <w:tc>
          <w:tcPr>
            <w:tcW w:w="324" w:type="dxa"/>
            <w:noWrap/>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4</w:t>
            </w:r>
          </w:p>
        </w:tc>
        <w:tc>
          <w:tcPr>
            <w:tcW w:w="1134" w:type="dxa"/>
            <w:noWrap/>
            <w:tcMar>
              <w:top w:w="15" w:type="dxa"/>
              <w:left w:w="15" w:type="dxa"/>
              <w:right w:w="15" w:type="dxa"/>
            </w:tcMar>
            <w:vAlign w:val="center"/>
          </w:tcPr>
          <w:p>
            <w:pPr>
              <w:widowControl/>
              <w:spacing w:line="270" w:lineRule="exact"/>
              <w:jc w:val="left"/>
              <w:textAlignment w:val="center"/>
              <w:rPr>
                <w:color w:val="000000"/>
                <w:sz w:val="20"/>
                <w:szCs w:val="20"/>
              </w:rPr>
            </w:pPr>
            <w:r>
              <w:rPr>
                <w:rStyle w:val="8"/>
                <w:rFonts w:hint="default" w:ascii="Times New Roman" w:hAnsi="Times New Roman" w:cs="Times New Roman"/>
                <w:sz w:val="20"/>
                <w:szCs w:val="20"/>
              </w:rPr>
              <w:t>在职人员控制率</w:t>
            </w:r>
            <w:r>
              <w:rPr>
                <w:rStyle w:val="9"/>
                <w:sz w:val="20"/>
                <w:szCs w:val="20"/>
              </w:rPr>
              <w:t>=</w:t>
            </w:r>
            <w:r>
              <w:rPr>
                <w:rStyle w:val="8"/>
                <w:rFonts w:hint="default" w:ascii="Times New Roman" w:hAnsi="Times New Roman" w:cs="Times New Roman"/>
                <w:sz w:val="20"/>
                <w:szCs w:val="20"/>
              </w:rPr>
              <w:t>（在职人员数</w:t>
            </w:r>
            <w:r>
              <w:rPr>
                <w:rStyle w:val="9"/>
                <w:sz w:val="20"/>
                <w:szCs w:val="20"/>
              </w:rPr>
              <w:t>/</w:t>
            </w:r>
            <w:r>
              <w:rPr>
                <w:rStyle w:val="8"/>
                <w:rFonts w:hint="default" w:ascii="Times New Roman" w:hAnsi="Times New Roman" w:cs="Times New Roman"/>
                <w:sz w:val="20"/>
                <w:szCs w:val="20"/>
              </w:rPr>
              <w:t>编制数）</w:t>
            </w:r>
            <w:r>
              <w:rPr>
                <w:rStyle w:val="9"/>
                <w:sz w:val="20"/>
                <w:szCs w:val="20"/>
              </w:rPr>
              <w:t>×100%</w:t>
            </w:r>
            <w:r>
              <w:rPr>
                <w:rStyle w:val="8"/>
                <w:rFonts w:hint="default" w:ascii="Times New Roman" w:hAnsi="Times New Roman" w:cs="Times New Roman"/>
                <w:sz w:val="20"/>
                <w:szCs w:val="20"/>
              </w:rPr>
              <w:t>。</w:t>
            </w:r>
            <w:r>
              <w:rPr>
                <w:rStyle w:val="9"/>
                <w:sz w:val="20"/>
                <w:szCs w:val="20"/>
              </w:rPr>
              <w:br w:type="textWrapping"/>
            </w:r>
            <w:r>
              <w:rPr>
                <w:rStyle w:val="8"/>
                <w:rFonts w:hint="default" w:ascii="Times New Roman" w:hAnsi="Times New Roman" w:cs="Times New Roman"/>
                <w:sz w:val="20"/>
                <w:szCs w:val="20"/>
              </w:rPr>
              <w:t>聘用人员控制率≦人社和编办共同批复的人数；</w:t>
            </w:r>
            <w:r>
              <w:rPr>
                <w:rStyle w:val="9"/>
                <w:sz w:val="20"/>
                <w:szCs w:val="20"/>
              </w:rPr>
              <w:br w:type="textWrapping"/>
            </w:r>
            <w:r>
              <w:rPr>
                <w:rStyle w:val="8"/>
                <w:rFonts w:hint="default" w:ascii="Times New Roman" w:hAnsi="Times New Roman" w:cs="Times New Roman"/>
                <w:sz w:val="20"/>
                <w:szCs w:val="20"/>
              </w:rPr>
              <w:t>在职人员数：部门（单位）实际在职人数</w:t>
            </w:r>
            <w:r>
              <w:rPr>
                <w:rStyle w:val="9"/>
                <w:sz w:val="20"/>
                <w:szCs w:val="20"/>
              </w:rPr>
              <w:t>，</w:t>
            </w:r>
            <w:r>
              <w:rPr>
                <w:rStyle w:val="8"/>
                <w:rFonts w:hint="default" w:ascii="Times New Roman" w:hAnsi="Times New Roman" w:cs="Times New Roman"/>
                <w:sz w:val="20"/>
                <w:szCs w:val="20"/>
              </w:rPr>
              <w:t>以财政部门确定的部门决算编制口径为准。</w:t>
            </w:r>
            <w:r>
              <w:rPr>
                <w:rStyle w:val="9"/>
                <w:sz w:val="20"/>
                <w:szCs w:val="20"/>
              </w:rPr>
              <w:br w:type="textWrapping"/>
            </w:r>
            <w:r>
              <w:rPr>
                <w:rStyle w:val="8"/>
                <w:rFonts w:hint="default" w:ascii="Times New Roman" w:hAnsi="Times New Roman" w:cs="Times New Roman"/>
                <w:sz w:val="20"/>
                <w:szCs w:val="20"/>
              </w:rPr>
              <w:t>编制数：机构编制部门核定批复的部门（单位）的人员编制数。</w:t>
            </w:r>
          </w:p>
        </w:tc>
        <w:tc>
          <w:tcPr>
            <w:tcW w:w="1134" w:type="dxa"/>
            <w:noWrap/>
            <w:tcMar>
              <w:top w:w="15" w:type="dxa"/>
              <w:left w:w="15" w:type="dxa"/>
              <w:right w:w="15" w:type="dxa"/>
            </w:tcMar>
            <w:vAlign w:val="center"/>
          </w:tcPr>
          <w:p>
            <w:pPr>
              <w:widowControl/>
              <w:spacing w:line="270" w:lineRule="exact"/>
              <w:textAlignment w:val="center"/>
              <w:rPr>
                <w:color w:val="000000"/>
                <w:sz w:val="20"/>
                <w:szCs w:val="20"/>
              </w:rPr>
            </w:pPr>
            <w:r>
              <w:rPr>
                <w:rStyle w:val="8"/>
                <w:rFonts w:hint="default" w:ascii="Times New Roman" w:hAnsi="Times New Roman" w:cs="Times New Roman"/>
                <w:sz w:val="20"/>
                <w:szCs w:val="20"/>
              </w:rPr>
              <w:t>在职人员控制率≦</w:t>
            </w:r>
            <w:r>
              <w:rPr>
                <w:rStyle w:val="9"/>
                <w:sz w:val="20"/>
                <w:szCs w:val="20"/>
              </w:rPr>
              <w:t>100%</w:t>
            </w:r>
            <w:r>
              <w:rPr>
                <w:rStyle w:val="8"/>
                <w:rFonts w:hint="default" w:ascii="Times New Roman" w:hAnsi="Times New Roman" w:cs="Times New Roman"/>
                <w:sz w:val="20"/>
                <w:szCs w:val="20"/>
              </w:rPr>
              <w:t>计</w:t>
            </w:r>
            <w:r>
              <w:rPr>
                <w:rStyle w:val="9"/>
                <w:sz w:val="20"/>
                <w:szCs w:val="20"/>
              </w:rPr>
              <w:t>2</w:t>
            </w:r>
            <w:r>
              <w:rPr>
                <w:rStyle w:val="8"/>
                <w:rFonts w:hint="default" w:ascii="Times New Roman" w:hAnsi="Times New Roman" w:cs="Times New Roman"/>
                <w:sz w:val="20"/>
                <w:szCs w:val="20"/>
              </w:rPr>
              <w:t>分，每超出</w:t>
            </w:r>
            <w:r>
              <w:rPr>
                <w:rStyle w:val="9"/>
                <w:sz w:val="20"/>
                <w:szCs w:val="20"/>
              </w:rPr>
              <w:t>1%</w:t>
            </w:r>
            <w:r>
              <w:rPr>
                <w:rStyle w:val="8"/>
                <w:rFonts w:hint="default" w:ascii="Times New Roman" w:hAnsi="Times New Roman" w:cs="Times New Roman"/>
                <w:sz w:val="20"/>
                <w:szCs w:val="20"/>
              </w:rPr>
              <w:t>扣</w:t>
            </w:r>
            <w:r>
              <w:rPr>
                <w:rStyle w:val="9"/>
                <w:sz w:val="20"/>
                <w:szCs w:val="20"/>
              </w:rPr>
              <w:t>0.2</w:t>
            </w:r>
            <w:r>
              <w:rPr>
                <w:rStyle w:val="8"/>
                <w:rFonts w:hint="default" w:ascii="Times New Roman" w:hAnsi="Times New Roman" w:cs="Times New Roman"/>
                <w:sz w:val="20"/>
                <w:szCs w:val="20"/>
              </w:rPr>
              <w:t>分，扣完为止。</w:t>
            </w:r>
            <w:r>
              <w:rPr>
                <w:rStyle w:val="9"/>
                <w:sz w:val="20"/>
                <w:szCs w:val="20"/>
              </w:rPr>
              <w:br w:type="textWrapping"/>
            </w:r>
            <w:r>
              <w:rPr>
                <w:rStyle w:val="10"/>
                <w:rFonts w:hint="default" w:ascii="Times New Roman" w:hAnsi="Times New Roman" w:cs="Times New Roman"/>
                <w:color w:val="auto"/>
                <w:sz w:val="20"/>
                <w:szCs w:val="20"/>
              </w:rPr>
              <w:t>聘用人员实际使用数小于等于编办人社部门批复数，计</w:t>
            </w:r>
            <w:r>
              <w:rPr>
                <w:rStyle w:val="11"/>
                <w:color w:val="auto"/>
                <w:sz w:val="20"/>
                <w:szCs w:val="20"/>
              </w:rPr>
              <w:t>2</w:t>
            </w:r>
            <w:r>
              <w:rPr>
                <w:rStyle w:val="10"/>
                <w:rFonts w:hint="default" w:ascii="Times New Roman" w:hAnsi="Times New Roman" w:cs="Times New Roman"/>
                <w:color w:val="auto"/>
                <w:sz w:val="20"/>
                <w:szCs w:val="20"/>
              </w:rPr>
              <w:t>分，否则不得分。</w:t>
            </w:r>
          </w:p>
        </w:tc>
        <w:tc>
          <w:tcPr>
            <w:tcW w:w="618" w:type="dxa"/>
            <w:noWrap/>
            <w:tcMar>
              <w:top w:w="15" w:type="dxa"/>
              <w:left w:w="15" w:type="dxa"/>
              <w:right w:w="15" w:type="dxa"/>
            </w:tcMar>
            <w:vAlign w:val="center"/>
          </w:tcPr>
          <w:p>
            <w:pPr>
              <w:widowControl/>
              <w:spacing w:line="27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654" w:type="dxa"/>
            <w:noWrap/>
            <w:tcMar>
              <w:top w:w="15" w:type="dxa"/>
              <w:left w:w="15" w:type="dxa"/>
              <w:right w:w="15" w:type="dxa"/>
            </w:tcMar>
            <w:vAlign w:val="center"/>
          </w:tcPr>
          <w:p>
            <w:pPr>
              <w:widowControl/>
              <w:spacing w:line="270" w:lineRule="exact"/>
              <w:jc w:val="center"/>
              <w:textAlignment w:val="center"/>
              <w:rPr>
                <w:color w:val="000000"/>
                <w:sz w:val="20"/>
                <w:szCs w:val="20"/>
              </w:rPr>
            </w:pPr>
            <w:r>
              <w:rPr>
                <w:rStyle w:val="8"/>
                <w:rFonts w:hint="default" w:ascii="Times New Roman" w:hAnsi="Times New Roman" w:cs="Times New Roman"/>
                <w:sz w:val="20"/>
                <w:szCs w:val="20"/>
              </w:rPr>
              <w:t>过程</w:t>
            </w:r>
            <w:r>
              <w:rPr>
                <w:rStyle w:val="9"/>
                <w:sz w:val="20"/>
                <w:szCs w:val="20"/>
              </w:rPr>
              <w:br w:type="textWrapping"/>
            </w:r>
            <w:r>
              <w:rPr>
                <w:rStyle w:val="8"/>
                <w:rFonts w:hint="default" w:ascii="Times New Roman" w:hAnsi="Times New Roman" w:cs="Times New Roman"/>
                <w:sz w:val="20"/>
                <w:szCs w:val="20"/>
              </w:rPr>
              <w:t>（</w:t>
            </w:r>
            <w:r>
              <w:rPr>
                <w:rStyle w:val="9"/>
                <w:sz w:val="20"/>
                <w:szCs w:val="20"/>
              </w:rPr>
              <w:t>40</w:t>
            </w:r>
            <w:r>
              <w:rPr>
                <w:rStyle w:val="8"/>
                <w:rFonts w:hint="default" w:ascii="Times New Roman" w:hAnsi="Times New Roman" w:cs="Times New Roman"/>
                <w:sz w:val="20"/>
                <w:szCs w:val="20"/>
              </w:rPr>
              <w:t>分）</w:t>
            </w:r>
          </w:p>
        </w:tc>
        <w:tc>
          <w:tcPr>
            <w:tcW w:w="655" w:type="dxa"/>
            <w:noWrap/>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567" w:type="dxa"/>
            <w:noWrap/>
            <w:tcMar>
              <w:top w:w="15" w:type="dxa"/>
              <w:left w:w="15" w:type="dxa"/>
              <w:right w:w="15" w:type="dxa"/>
            </w:tcMar>
            <w:vAlign w:val="center"/>
          </w:tcPr>
          <w:p>
            <w:pPr>
              <w:widowControl/>
              <w:spacing w:line="27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预算</w:t>
            </w:r>
          </w:p>
          <w:p>
            <w:pPr>
              <w:widowControl/>
              <w:spacing w:line="270" w:lineRule="exact"/>
              <w:jc w:val="center"/>
              <w:textAlignment w:val="center"/>
              <w:rPr>
                <w:color w:val="000000"/>
                <w:sz w:val="20"/>
                <w:szCs w:val="20"/>
              </w:rPr>
            </w:pPr>
            <w:r>
              <w:rPr>
                <w:rStyle w:val="8"/>
                <w:rFonts w:hint="default" w:ascii="Times New Roman" w:hAnsi="Times New Roman" w:cs="Times New Roman"/>
                <w:sz w:val="20"/>
                <w:szCs w:val="20"/>
              </w:rPr>
              <w:t>执行率</w:t>
            </w:r>
          </w:p>
        </w:tc>
        <w:tc>
          <w:tcPr>
            <w:tcW w:w="324" w:type="dxa"/>
            <w:noWrap/>
            <w:tcMar>
              <w:top w:w="15" w:type="dxa"/>
              <w:left w:w="15" w:type="dxa"/>
              <w:right w:w="15" w:type="dxa"/>
            </w:tcMar>
            <w:vAlign w:val="center"/>
          </w:tcPr>
          <w:p>
            <w:pPr>
              <w:widowControl/>
              <w:spacing w:line="270" w:lineRule="exact"/>
              <w:jc w:val="center"/>
              <w:textAlignment w:val="center"/>
              <w:rPr>
                <w:color w:val="000000"/>
                <w:sz w:val="20"/>
                <w:szCs w:val="20"/>
              </w:rPr>
            </w:pPr>
            <w:r>
              <w:rPr>
                <w:color w:val="000000"/>
                <w:kern w:val="0"/>
                <w:sz w:val="20"/>
                <w:szCs w:val="20"/>
              </w:rPr>
              <w:t>6</w:t>
            </w:r>
          </w:p>
        </w:tc>
        <w:tc>
          <w:tcPr>
            <w:tcW w:w="1134" w:type="dxa"/>
            <w:noWrap/>
            <w:tcMar>
              <w:top w:w="15" w:type="dxa"/>
              <w:left w:w="15" w:type="dxa"/>
              <w:right w:w="15" w:type="dxa"/>
            </w:tcMar>
            <w:vAlign w:val="center"/>
          </w:tcPr>
          <w:p>
            <w:pPr>
              <w:widowControl/>
              <w:spacing w:line="270" w:lineRule="exact"/>
              <w:jc w:val="left"/>
              <w:textAlignment w:val="center"/>
              <w:rPr>
                <w:color w:val="000000"/>
                <w:sz w:val="20"/>
                <w:szCs w:val="20"/>
              </w:rPr>
            </w:pPr>
            <w:r>
              <w:rPr>
                <w:rStyle w:val="8"/>
                <w:rFonts w:hint="default" w:ascii="Times New Roman" w:hAnsi="Times New Roman" w:cs="Times New Roman"/>
                <w:sz w:val="20"/>
                <w:szCs w:val="20"/>
              </w:rPr>
              <w:t>①预算完成率</w:t>
            </w:r>
            <w:r>
              <w:rPr>
                <w:rStyle w:val="9"/>
                <w:sz w:val="20"/>
                <w:szCs w:val="20"/>
              </w:rPr>
              <w:t>=</w:t>
            </w:r>
            <w:r>
              <w:rPr>
                <w:rStyle w:val="8"/>
                <w:rFonts w:hint="default" w:ascii="Times New Roman" w:hAnsi="Times New Roman" w:cs="Times New Roman"/>
                <w:sz w:val="20"/>
                <w:szCs w:val="20"/>
              </w:rPr>
              <w:t>（预算完成数</w:t>
            </w:r>
            <w:r>
              <w:rPr>
                <w:rStyle w:val="9"/>
                <w:sz w:val="20"/>
                <w:szCs w:val="20"/>
              </w:rPr>
              <w:t>/</w:t>
            </w:r>
            <w:r>
              <w:rPr>
                <w:rStyle w:val="8"/>
                <w:rFonts w:hint="default" w:ascii="Times New Roman" w:hAnsi="Times New Roman" w:cs="Times New Roman"/>
                <w:sz w:val="20"/>
                <w:szCs w:val="20"/>
              </w:rPr>
              <w:t>预算数）</w:t>
            </w:r>
            <w:r>
              <w:rPr>
                <w:rStyle w:val="9"/>
                <w:sz w:val="20"/>
                <w:szCs w:val="20"/>
              </w:rPr>
              <w:t>×100%</w:t>
            </w:r>
            <w:r>
              <w:rPr>
                <w:rStyle w:val="8"/>
                <w:rFonts w:hint="default" w:ascii="Times New Roman" w:hAnsi="Times New Roman" w:cs="Times New Roman"/>
                <w:sz w:val="20"/>
                <w:szCs w:val="20"/>
              </w:rPr>
              <w:t>。</w:t>
            </w:r>
            <w:r>
              <w:rPr>
                <w:rStyle w:val="9"/>
                <w:sz w:val="20"/>
                <w:szCs w:val="20"/>
              </w:rPr>
              <w:br w:type="textWrapping"/>
            </w:r>
            <w:r>
              <w:rPr>
                <w:rStyle w:val="8"/>
                <w:rFonts w:hint="default" w:ascii="Times New Roman" w:hAnsi="Times New Roman" w:cs="Times New Roman"/>
                <w:sz w:val="20"/>
                <w:szCs w:val="20"/>
              </w:rPr>
              <w:t>预算完成数：部门（单位）本年度实际完成的预算数。</w:t>
            </w:r>
            <w:r>
              <w:rPr>
                <w:rStyle w:val="9"/>
                <w:sz w:val="20"/>
                <w:szCs w:val="20"/>
              </w:rPr>
              <w:br w:type="textWrapping"/>
            </w:r>
            <w:r>
              <w:rPr>
                <w:rStyle w:val="8"/>
                <w:rFonts w:hint="default" w:ascii="Times New Roman" w:hAnsi="Times New Roman" w:cs="Times New Roman"/>
                <w:sz w:val="20"/>
                <w:szCs w:val="20"/>
              </w:rPr>
              <w:t>预算数：财政部门批复的本年度部门（单位）预算数及追加的项目预算数。</w:t>
            </w:r>
            <w:r>
              <w:rPr>
                <w:rStyle w:val="9"/>
                <w:sz w:val="20"/>
                <w:szCs w:val="20"/>
              </w:rPr>
              <w:br w:type="textWrapping"/>
            </w:r>
            <w:r>
              <w:rPr>
                <w:rStyle w:val="8"/>
                <w:rFonts w:hint="default" w:ascii="Times New Roman" w:hAnsi="Times New Roman" w:cs="Times New Roman"/>
                <w:sz w:val="20"/>
                <w:szCs w:val="20"/>
              </w:rPr>
              <w:t>②支付序时进度</w:t>
            </w:r>
            <w:r>
              <w:rPr>
                <w:rStyle w:val="9"/>
                <w:sz w:val="20"/>
                <w:szCs w:val="20"/>
              </w:rPr>
              <w:t>=</w:t>
            </w:r>
            <w:r>
              <w:rPr>
                <w:rStyle w:val="8"/>
                <w:rFonts w:hint="default" w:ascii="Times New Roman" w:hAnsi="Times New Roman" w:cs="Times New Roman"/>
                <w:sz w:val="20"/>
                <w:szCs w:val="20"/>
              </w:rPr>
              <w:t>（序时执行数</w:t>
            </w:r>
            <w:r>
              <w:rPr>
                <w:rStyle w:val="9"/>
                <w:sz w:val="20"/>
                <w:szCs w:val="20"/>
              </w:rPr>
              <w:t>/</w:t>
            </w:r>
            <w:r>
              <w:rPr>
                <w:rStyle w:val="8"/>
                <w:rFonts w:hint="default" w:ascii="Times New Roman" w:hAnsi="Times New Roman" w:cs="Times New Roman"/>
                <w:sz w:val="20"/>
                <w:szCs w:val="20"/>
              </w:rPr>
              <w:t>序时指标下达数）</w:t>
            </w:r>
            <w:r>
              <w:rPr>
                <w:rStyle w:val="9"/>
                <w:sz w:val="20"/>
                <w:szCs w:val="20"/>
              </w:rPr>
              <w:t>×100%</w:t>
            </w:r>
            <w:r>
              <w:rPr>
                <w:rStyle w:val="8"/>
                <w:rFonts w:hint="default" w:ascii="Times New Roman" w:hAnsi="Times New Roman" w:cs="Times New Roman"/>
                <w:sz w:val="20"/>
                <w:szCs w:val="20"/>
              </w:rPr>
              <w:t>。</w:t>
            </w:r>
            <w:r>
              <w:rPr>
                <w:rStyle w:val="9"/>
                <w:sz w:val="20"/>
                <w:szCs w:val="20"/>
              </w:rPr>
              <w:br w:type="textWrapping"/>
            </w:r>
            <w:r>
              <w:rPr>
                <w:rStyle w:val="8"/>
                <w:rFonts w:hint="default" w:ascii="Times New Roman" w:hAnsi="Times New Roman" w:cs="Times New Roman"/>
                <w:sz w:val="20"/>
                <w:szCs w:val="20"/>
              </w:rPr>
              <w:t>序时执行数：指按时间节点部门预算项目实际支出数。序时指标下达数：按时间节点给部门预算下达的项目支出和追加的项目支出指标数之和。</w:t>
            </w:r>
            <w:r>
              <w:rPr>
                <w:rStyle w:val="9"/>
                <w:sz w:val="20"/>
                <w:szCs w:val="20"/>
              </w:rPr>
              <w:br w:type="textWrapping"/>
            </w:r>
            <w:r>
              <w:rPr>
                <w:rStyle w:val="8"/>
                <w:rFonts w:hint="default" w:ascii="Times New Roman" w:hAnsi="Times New Roman" w:cs="Times New Roman"/>
                <w:sz w:val="20"/>
                <w:szCs w:val="20"/>
              </w:rPr>
              <w:t>③部门预算项目支出调剂到</w:t>
            </w:r>
            <w:r>
              <w:rPr>
                <w:rStyle w:val="8"/>
                <w:rFonts w:hint="default" w:cs="Times New Roman"/>
                <w:sz w:val="20"/>
                <w:szCs w:val="20"/>
              </w:rPr>
              <w:t>单位</w:t>
            </w:r>
            <w:r>
              <w:rPr>
                <w:rStyle w:val="8"/>
                <w:rFonts w:hint="default" w:ascii="Times New Roman" w:hAnsi="Times New Roman" w:cs="Times New Roman"/>
                <w:sz w:val="20"/>
                <w:szCs w:val="20"/>
              </w:rPr>
              <w:t>。</w:t>
            </w:r>
          </w:p>
        </w:tc>
        <w:tc>
          <w:tcPr>
            <w:tcW w:w="1134" w:type="dxa"/>
            <w:noWrap/>
            <w:tcMar>
              <w:top w:w="15" w:type="dxa"/>
              <w:left w:w="15" w:type="dxa"/>
              <w:right w:w="15" w:type="dxa"/>
            </w:tcMar>
            <w:vAlign w:val="center"/>
          </w:tcPr>
          <w:p>
            <w:pPr>
              <w:widowControl/>
              <w:spacing w:line="270" w:lineRule="exact"/>
              <w:textAlignment w:val="center"/>
              <w:rPr>
                <w:color w:val="000000"/>
                <w:sz w:val="20"/>
                <w:szCs w:val="20"/>
              </w:rPr>
            </w:pPr>
            <w:r>
              <w:rPr>
                <w:rStyle w:val="8"/>
                <w:rFonts w:hint="default" w:ascii="Times New Roman" w:hAnsi="Times New Roman" w:cs="Times New Roman"/>
                <w:sz w:val="20"/>
                <w:szCs w:val="20"/>
              </w:rPr>
              <w:t>①全年预算完成率</w:t>
            </w:r>
            <w:r>
              <w:rPr>
                <w:rStyle w:val="9"/>
                <w:sz w:val="20"/>
                <w:szCs w:val="20"/>
              </w:rPr>
              <w:t>95%</w:t>
            </w:r>
            <w:r>
              <w:rPr>
                <w:rStyle w:val="8"/>
                <w:rFonts w:hint="default" w:ascii="Times New Roman" w:hAnsi="Times New Roman" w:cs="Times New Roman"/>
                <w:sz w:val="20"/>
                <w:szCs w:val="20"/>
              </w:rPr>
              <w:t>以上计</w:t>
            </w:r>
            <w:r>
              <w:rPr>
                <w:rStyle w:val="9"/>
                <w:sz w:val="20"/>
                <w:szCs w:val="20"/>
              </w:rPr>
              <w:t>2</w:t>
            </w:r>
            <w:r>
              <w:rPr>
                <w:rStyle w:val="8"/>
                <w:rFonts w:hint="default" w:ascii="Times New Roman" w:hAnsi="Times New Roman" w:cs="Times New Roman"/>
                <w:sz w:val="20"/>
                <w:szCs w:val="20"/>
              </w:rPr>
              <w:t>分，</w:t>
            </w:r>
            <w:r>
              <w:rPr>
                <w:rStyle w:val="9"/>
                <w:sz w:val="20"/>
                <w:szCs w:val="20"/>
              </w:rPr>
              <w:t>95-90%</w:t>
            </w:r>
            <w:r>
              <w:rPr>
                <w:rStyle w:val="8"/>
                <w:rFonts w:hint="default" w:ascii="Times New Roman" w:hAnsi="Times New Roman" w:cs="Times New Roman"/>
                <w:sz w:val="20"/>
                <w:szCs w:val="20"/>
              </w:rPr>
              <w:t>（含），计</w:t>
            </w:r>
            <w:r>
              <w:rPr>
                <w:rStyle w:val="9"/>
                <w:sz w:val="20"/>
                <w:szCs w:val="20"/>
              </w:rPr>
              <w:t>1.5</w:t>
            </w:r>
            <w:r>
              <w:rPr>
                <w:rStyle w:val="8"/>
                <w:rFonts w:hint="default" w:ascii="Times New Roman" w:hAnsi="Times New Roman" w:cs="Times New Roman"/>
                <w:sz w:val="20"/>
                <w:szCs w:val="20"/>
              </w:rPr>
              <w:t>分，</w:t>
            </w:r>
            <w:r>
              <w:rPr>
                <w:rStyle w:val="9"/>
                <w:sz w:val="20"/>
                <w:szCs w:val="20"/>
              </w:rPr>
              <w:t>90-80%</w:t>
            </w:r>
            <w:r>
              <w:rPr>
                <w:rStyle w:val="8"/>
                <w:rFonts w:hint="default" w:ascii="Times New Roman" w:hAnsi="Times New Roman" w:cs="Times New Roman"/>
                <w:sz w:val="20"/>
                <w:szCs w:val="20"/>
              </w:rPr>
              <w:t>（含），计</w:t>
            </w:r>
            <w:r>
              <w:rPr>
                <w:rStyle w:val="9"/>
                <w:sz w:val="20"/>
                <w:szCs w:val="20"/>
              </w:rPr>
              <w:t>1</w:t>
            </w:r>
            <w:r>
              <w:rPr>
                <w:rStyle w:val="8"/>
                <w:rFonts w:hint="default" w:ascii="Times New Roman" w:hAnsi="Times New Roman" w:cs="Times New Roman"/>
                <w:sz w:val="20"/>
                <w:szCs w:val="20"/>
              </w:rPr>
              <w:t>分，小于</w:t>
            </w:r>
            <w:r>
              <w:rPr>
                <w:rStyle w:val="9"/>
                <w:sz w:val="20"/>
                <w:szCs w:val="20"/>
              </w:rPr>
              <w:t>80%</w:t>
            </w:r>
            <w:r>
              <w:rPr>
                <w:rStyle w:val="8"/>
                <w:rFonts w:hint="default" w:ascii="Times New Roman" w:hAnsi="Times New Roman" w:cs="Times New Roman"/>
                <w:sz w:val="20"/>
                <w:szCs w:val="20"/>
              </w:rPr>
              <w:t>不得分；</w:t>
            </w:r>
            <w:r>
              <w:rPr>
                <w:rStyle w:val="9"/>
                <w:sz w:val="20"/>
                <w:szCs w:val="20"/>
              </w:rPr>
              <w:br w:type="textWrapping"/>
            </w:r>
            <w:r>
              <w:rPr>
                <w:rStyle w:val="8"/>
                <w:rFonts w:hint="default" w:ascii="Times New Roman" w:hAnsi="Times New Roman" w:cs="Times New Roman"/>
                <w:sz w:val="20"/>
                <w:szCs w:val="20"/>
              </w:rPr>
              <w:t>②一、二、三季度末支付序时进度分别达到</w:t>
            </w:r>
            <w:r>
              <w:rPr>
                <w:rStyle w:val="9"/>
                <w:sz w:val="20"/>
                <w:szCs w:val="20"/>
              </w:rPr>
              <w:t>20%</w:t>
            </w:r>
            <w:r>
              <w:rPr>
                <w:rStyle w:val="8"/>
                <w:rFonts w:hint="default" w:ascii="Times New Roman" w:hAnsi="Times New Roman" w:cs="Times New Roman"/>
                <w:sz w:val="20"/>
                <w:szCs w:val="20"/>
              </w:rPr>
              <w:t>、</w:t>
            </w:r>
            <w:r>
              <w:rPr>
                <w:rStyle w:val="9"/>
                <w:sz w:val="20"/>
                <w:szCs w:val="20"/>
              </w:rPr>
              <w:t>50%</w:t>
            </w:r>
            <w:r>
              <w:rPr>
                <w:rStyle w:val="8"/>
                <w:rFonts w:hint="default" w:ascii="Times New Roman" w:hAnsi="Times New Roman" w:cs="Times New Roman"/>
                <w:sz w:val="20"/>
                <w:szCs w:val="20"/>
              </w:rPr>
              <w:t>、</w:t>
            </w:r>
            <w:r>
              <w:rPr>
                <w:rStyle w:val="9"/>
                <w:sz w:val="20"/>
                <w:szCs w:val="20"/>
              </w:rPr>
              <w:t>80%</w:t>
            </w:r>
            <w:r>
              <w:rPr>
                <w:rStyle w:val="8"/>
                <w:rFonts w:hint="default" w:ascii="Times New Roman" w:hAnsi="Times New Roman" w:cs="Times New Roman"/>
                <w:sz w:val="20"/>
                <w:szCs w:val="20"/>
              </w:rPr>
              <w:t>（含）以上计</w:t>
            </w:r>
            <w:r>
              <w:rPr>
                <w:rStyle w:val="9"/>
                <w:sz w:val="20"/>
                <w:szCs w:val="20"/>
              </w:rPr>
              <w:t>2</w:t>
            </w:r>
            <w:r>
              <w:rPr>
                <w:rStyle w:val="8"/>
                <w:rFonts w:hint="default" w:ascii="Times New Roman" w:hAnsi="Times New Roman" w:cs="Times New Roman"/>
                <w:sz w:val="20"/>
                <w:szCs w:val="20"/>
              </w:rPr>
              <w:t>分，每低</w:t>
            </w:r>
            <w:r>
              <w:rPr>
                <w:rStyle w:val="9"/>
                <w:sz w:val="20"/>
                <w:szCs w:val="20"/>
              </w:rPr>
              <w:t>1</w:t>
            </w:r>
            <w:r>
              <w:rPr>
                <w:rStyle w:val="8"/>
                <w:rFonts w:hint="default" w:ascii="Times New Roman" w:hAnsi="Times New Roman" w:cs="Times New Roman"/>
                <w:sz w:val="20"/>
                <w:szCs w:val="20"/>
              </w:rPr>
              <w:t>个百分点扣</w:t>
            </w:r>
            <w:r>
              <w:rPr>
                <w:rStyle w:val="9"/>
                <w:sz w:val="20"/>
                <w:szCs w:val="20"/>
              </w:rPr>
              <w:t>0.2</w:t>
            </w:r>
            <w:r>
              <w:rPr>
                <w:rStyle w:val="8"/>
                <w:rFonts w:hint="default" w:ascii="Times New Roman" w:hAnsi="Times New Roman" w:cs="Times New Roman"/>
                <w:sz w:val="20"/>
                <w:szCs w:val="20"/>
              </w:rPr>
              <w:t>分，扣完为止。</w:t>
            </w:r>
            <w:r>
              <w:rPr>
                <w:rStyle w:val="9"/>
                <w:sz w:val="20"/>
                <w:szCs w:val="20"/>
              </w:rPr>
              <w:br w:type="textWrapping"/>
            </w:r>
            <w:r>
              <w:rPr>
                <w:rStyle w:val="8"/>
                <w:rFonts w:hint="default" w:ascii="Times New Roman" w:hAnsi="Times New Roman" w:cs="Times New Roman"/>
                <w:sz w:val="20"/>
                <w:szCs w:val="20"/>
              </w:rPr>
              <w:t>③部门预算项目支出调剂到</w:t>
            </w:r>
            <w:r>
              <w:rPr>
                <w:rStyle w:val="8"/>
                <w:rFonts w:hint="default" w:cs="Times New Roman"/>
                <w:sz w:val="20"/>
                <w:szCs w:val="20"/>
              </w:rPr>
              <w:t>单位</w:t>
            </w:r>
            <w:r>
              <w:rPr>
                <w:rStyle w:val="8"/>
                <w:rFonts w:hint="default" w:ascii="Times New Roman" w:hAnsi="Times New Roman" w:cs="Times New Roman"/>
                <w:sz w:val="20"/>
                <w:szCs w:val="20"/>
              </w:rPr>
              <w:t>小于等于项目支出</w:t>
            </w:r>
            <w:r>
              <w:rPr>
                <w:rStyle w:val="9"/>
                <w:sz w:val="20"/>
                <w:szCs w:val="20"/>
              </w:rPr>
              <w:t>2%</w:t>
            </w:r>
            <w:r>
              <w:rPr>
                <w:rStyle w:val="8"/>
                <w:rFonts w:hint="default" w:ascii="Times New Roman" w:hAnsi="Times New Roman" w:cs="Times New Roman"/>
                <w:sz w:val="20"/>
                <w:szCs w:val="20"/>
              </w:rPr>
              <w:t>，计</w:t>
            </w:r>
            <w:r>
              <w:rPr>
                <w:rStyle w:val="9"/>
                <w:sz w:val="20"/>
                <w:szCs w:val="20"/>
              </w:rPr>
              <w:t>2</w:t>
            </w:r>
            <w:r>
              <w:rPr>
                <w:rStyle w:val="8"/>
                <w:rFonts w:hint="default" w:ascii="Times New Roman" w:hAnsi="Times New Roman" w:cs="Times New Roman"/>
                <w:sz w:val="20"/>
                <w:szCs w:val="20"/>
              </w:rPr>
              <w:t>分；大于</w:t>
            </w:r>
            <w:r>
              <w:rPr>
                <w:rStyle w:val="9"/>
                <w:sz w:val="20"/>
                <w:szCs w:val="20"/>
              </w:rPr>
              <w:t>2%</w:t>
            </w:r>
            <w:r>
              <w:rPr>
                <w:rStyle w:val="8"/>
                <w:rFonts w:hint="default" w:ascii="Times New Roman" w:hAnsi="Times New Roman" w:cs="Times New Roman"/>
                <w:sz w:val="20"/>
                <w:szCs w:val="20"/>
              </w:rPr>
              <w:t>，不计分；</w:t>
            </w:r>
          </w:p>
        </w:tc>
        <w:tc>
          <w:tcPr>
            <w:tcW w:w="618" w:type="dxa"/>
            <w:noWrap/>
            <w:tcMar>
              <w:top w:w="15" w:type="dxa"/>
              <w:left w:w="15" w:type="dxa"/>
              <w:right w:w="15" w:type="dxa"/>
            </w:tcMar>
            <w:vAlign w:val="center"/>
          </w:tcPr>
          <w:p>
            <w:pPr>
              <w:widowControl/>
              <w:spacing w:line="27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654" w:type="dxa"/>
            <w:vMerge w:val="restart"/>
            <w:noWrap/>
            <w:tcMar>
              <w:top w:w="15" w:type="dxa"/>
              <w:left w:w="15" w:type="dxa"/>
              <w:right w:w="15" w:type="dxa"/>
            </w:tcMar>
            <w:vAlign w:val="center"/>
          </w:tcPr>
          <w:p>
            <w:pPr>
              <w:spacing w:line="260" w:lineRule="exact"/>
              <w:jc w:val="center"/>
              <w:rPr>
                <w:color w:val="000000"/>
                <w:sz w:val="20"/>
                <w:szCs w:val="20"/>
              </w:rPr>
            </w:pPr>
            <w:r>
              <w:rPr>
                <w:rStyle w:val="8"/>
                <w:rFonts w:hint="default" w:ascii="Times New Roman" w:hAnsi="Times New Roman" w:cs="Times New Roman"/>
                <w:sz w:val="20"/>
                <w:szCs w:val="20"/>
              </w:rPr>
              <w:t>过程</w:t>
            </w:r>
            <w:r>
              <w:rPr>
                <w:rStyle w:val="9"/>
                <w:sz w:val="20"/>
                <w:szCs w:val="20"/>
              </w:rPr>
              <w:br w:type="textWrapping"/>
            </w:r>
            <w:r>
              <w:rPr>
                <w:rStyle w:val="8"/>
                <w:rFonts w:hint="default" w:ascii="Times New Roman" w:hAnsi="Times New Roman" w:cs="Times New Roman"/>
                <w:sz w:val="20"/>
                <w:szCs w:val="20"/>
              </w:rPr>
              <w:t>（</w:t>
            </w:r>
            <w:r>
              <w:rPr>
                <w:rStyle w:val="9"/>
                <w:sz w:val="20"/>
                <w:szCs w:val="20"/>
              </w:rPr>
              <w:t>40</w:t>
            </w:r>
            <w:r>
              <w:rPr>
                <w:rStyle w:val="8"/>
                <w:rFonts w:hint="default" w:ascii="Times New Roman" w:hAnsi="Times New Roman" w:cs="Times New Roman"/>
                <w:sz w:val="20"/>
                <w:szCs w:val="20"/>
              </w:rPr>
              <w:t>分）</w:t>
            </w:r>
          </w:p>
        </w:tc>
        <w:tc>
          <w:tcPr>
            <w:tcW w:w="655" w:type="dxa"/>
            <w:vMerge w:val="restart"/>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预算</w:t>
            </w:r>
            <w:r>
              <w:rPr>
                <w:color w:val="000000"/>
                <w:kern w:val="0"/>
                <w:sz w:val="20"/>
                <w:szCs w:val="20"/>
              </w:rPr>
              <w:br w:type="textWrapping"/>
            </w:r>
            <w:r>
              <w:rPr>
                <w:color w:val="000000"/>
                <w:kern w:val="0"/>
                <w:sz w:val="20"/>
                <w:szCs w:val="20"/>
              </w:rPr>
              <w:t>执行</w:t>
            </w:r>
            <w:r>
              <w:rPr>
                <w:color w:val="000000"/>
                <w:kern w:val="0"/>
                <w:sz w:val="20"/>
                <w:szCs w:val="20"/>
              </w:rPr>
              <w:br w:type="textWrapping"/>
            </w:r>
            <w:r>
              <w:rPr>
                <w:color w:val="000000"/>
                <w:kern w:val="0"/>
                <w:sz w:val="20"/>
                <w:szCs w:val="20"/>
              </w:rPr>
              <w:t>（15分）</w:t>
            </w:r>
          </w:p>
        </w:tc>
        <w:tc>
          <w:tcPr>
            <w:tcW w:w="567" w:type="dxa"/>
            <w:noWrap/>
            <w:tcMar>
              <w:top w:w="15" w:type="dxa"/>
              <w:left w:w="15" w:type="dxa"/>
              <w:right w:w="15" w:type="dxa"/>
            </w:tcMar>
            <w:vAlign w:val="center"/>
          </w:tcPr>
          <w:p>
            <w:pPr>
              <w:widowControl/>
              <w:spacing w:line="26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预算</w:t>
            </w:r>
          </w:p>
          <w:p>
            <w:pPr>
              <w:widowControl/>
              <w:spacing w:line="260" w:lineRule="exact"/>
              <w:jc w:val="center"/>
              <w:textAlignment w:val="center"/>
              <w:rPr>
                <w:color w:val="000000"/>
                <w:sz w:val="20"/>
                <w:szCs w:val="20"/>
              </w:rPr>
            </w:pPr>
            <w:r>
              <w:rPr>
                <w:rStyle w:val="8"/>
                <w:rFonts w:hint="default" w:ascii="Times New Roman" w:hAnsi="Times New Roman" w:cs="Times New Roman"/>
                <w:sz w:val="20"/>
                <w:szCs w:val="20"/>
              </w:rPr>
              <w:t>调整率</w:t>
            </w:r>
          </w:p>
        </w:tc>
        <w:tc>
          <w:tcPr>
            <w:tcW w:w="324" w:type="dxa"/>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134" w:type="dxa"/>
            <w:noWrap/>
            <w:tcMar>
              <w:top w:w="15" w:type="dxa"/>
              <w:left w:w="15" w:type="dxa"/>
              <w:right w:w="15" w:type="dxa"/>
            </w:tcMar>
            <w:vAlign w:val="center"/>
          </w:tcPr>
          <w:p>
            <w:pPr>
              <w:widowControl/>
              <w:spacing w:line="260" w:lineRule="exact"/>
              <w:jc w:val="left"/>
              <w:textAlignment w:val="center"/>
              <w:rPr>
                <w:color w:val="000000"/>
                <w:sz w:val="20"/>
                <w:szCs w:val="20"/>
              </w:rPr>
            </w:pPr>
            <w:r>
              <w:rPr>
                <w:rStyle w:val="8"/>
                <w:rFonts w:hint="default" w:ascii="Times New Roman" w:hAnsi="Times New Roman" w:cs="Times New Roman"/>
                <w:sz w:val="20"/>
                <w:szCs w:val="20"/>
              </w:rPr>
              <w:t>预算调整率</w:t>
            </w:r>
            <w:r>
              <w:rPr>
                <w:rStyle w:val="9"/>
                <w:sz w:val="20"/>
                <w:szCs w:val="20"/>
              </w:rPr>
              <w:t>=</w:t>
            </w:r>
            <w:r>
              <w:rPr>
                <w:rStyle w:val="8"/>
                <w:rFonts w:hint="default" w:ascii="Times New Roman" w:hAnsi="Times New Roman" w:cs="Times New Roman"/>
                <w:sz w:val="20"/>
                <w:szCs w:val="20"/>
              </w:rPr>
              <w:t>（预算调整数</w:t>
            </w:r>
            <w:r>
              <w:rPr>
                <w:rStyle w:val="9"/>
                <w:sz w:val="20"/>
                <w:szCs w:val="20"/>
              </w:rPr>
              <w:t>/</w:t>
            </w:r>
            <w:r>
              <w:rPr>
                <w:rStyle w:val="8"/>
                <w:rFonts w:hint="default" w:ascii="Times New Roman" w:hAnsi="Times New Roman" w:cs="Times New Roman"/>
                <w:sz w:val="20"/>
                <w:szCs w:val="20"/>
              </w:rPr>
              <w:t>预算数）</w:t>
            </w:r>
            <w:r>
              <w:rPr>
                <w:rStyle w:val="9"/>
                <w:sz w:val="20"/>
                <w:szCs w:val="20"/>
              </w:rPr>
              <w:t>×100%</w:t>
            </w:r>
            <w:r>
              <w:rPr>
                <w:rStyle w:val="8"/>
                <w:rFonts w:hint="default" w:ascii="Times New Roman" w:hAnsi="Times New Roman" w:cs="Times New Roman"/>
                <w:sz w:val="20"/>
                <w:szCs w:val="20"/>
              </w:rPr>
              <w:t>。</w:t>
            </w:r>
            <w:r>
              <w:rPr>
                <w:rStyle w:val="9"/>
                <w:sz w:val="20"/>
                <w:szCs w:val="20"/>
              </w:rPr>
              <w:br w:type="textWrapping"/>
            </w:r>
            <w:r>
              <w:rPr>
                <w:rStyle w:val="8"/>
                <w:rFonts w:hint="default" w:ascii="Times New Roman" w:hAnsi="Times New Roman" w:cs="Times New Roman"/>
                <w:sz w:val="20"/>
                <w:szCs w:val="20"/>
              </w:rPr>
              <w:t>预算调整数：部门（单位）在本年度内涉及预算的追加、追减或结构调整的资金总和（因落实国家政策、发生不可抗力，市委、市政府临时交办而产生的调整及经济科目非跨类调整除外）。</w:t>
            </w:r>
          </w:p>
        </w:tc>
        <w:tc>
          <w:tcPr>
            <w:tcW w:w="1134" w:type="dxa"/>
            <w:noWrap/>
            <w:tcMar>
              <w:top w:w="15" w:type="dxa"/>
              <w:left w:w="15" w:type="dxa"/>
              <w:right w:w="15" w:type="dxa"/>
            </w:tcMar>
            <w:vAlign w:val="center"/>
          </w:tcPr>
          <w:p>
            <w:pPr>
              <w:widowControl/>
              <w:spacing w:line="260" w:lineRule="exact"/>
              <w:textAlignment w:val="center"/>
              <w:rPr>
                <w:color w:val="000000"/>
                <w:sz w:val="20"/>
                <w:szCs w:val="20"/>
              </w:rPr>
            </w:pPr>
            <w:r>
              <w:rPr>
                <w:rStyle w:val="8"/>
                <w:rFonts w:hint="default" w:ascii="Times New Roman" w:hAnsi="Times New Roman" w:cs="Times New Roman"/>
                <w:sz w:val="20"/>
                <w:szCs w:val="20"/>
              </w:rPr>
              <w:t>预算调整率</w:t>
            </w:r>
            <w:r>
              <w:rPr>
                <w:rStyle w:val="9"/>
                <w:sz w:val="20"/>
                <w:szCs w:val="20"/>
              </w:rPr>
              <w:t>&lt;5%</w:t>
            </w:r>
            <w:r>
              <w:rPr>
                <w:rStyle w:val="8"/>
                <w:rFonts w:hint="default" w:ascii="Times New Roman" w:hAnsi="Times New Roman" w:cs="Times New Roman"/>
                <w:sz w:val="20"/>
                <w:szCs w:val="20"/>
              </w:rPr>
              <w:t>，计</w:t>
            </w:r>
            <w:r>
              <w:rPr>
                <w:rStyle w:val="9"/>
                <w:sz w:val="20"/>
                <w:szCs w:val="20"/>
              </w:rPr>
              <w:t>3</w:t>
            </w:r>
            <w:r>
              <w:rPr>
                <w:rStyle w:val="8"/>
                <w:rFonts w:hint="default" w:ascii="Times New Roman" w:hAnsi="Times New Roman" w:cs="Times New Roman"/>
                <w:sz w:val="20"/>
                <w:szCs w:val="20"/>
              </w:rPr>
              <w:t>分；</w:t>
            </w:r>
            <w:r>
              <w:rPr>
                <w:rStyle w:val="9"/>
                <w:sz w:val="20"/>
                <w:szCs w:val="20"/>
              </w:rPr>
              <w:t>5-10%</w:t>
            </w:r>
            <w:r>
              <w:rPr>
                <w:rStyle w:val="8"/>
                <w:rFonts w:hint="default" w:ascii="Times New Roman" w:hAnsi="Times New Roman" w:cs="Times New Roman"/>
                <w:sz w:val="20"/>
                <w:szCs w:val="20"/>
              </w:rPr>
              <w:t>（含），计</w:t>
            </w:r>
            <w:r>
              <w:rPr>
                <w:rStyle w:val="9"/>
                <w:sz w:val="20"/>
                <w:szCs w:val="20"/>
              </w:rPr>
              <w:t>1.5</w:t>
            </w:r>
            <w:r>
              <w:rPr>
                <w:rStyle w:val="8"/>
                <w:rFonts w:hint="default" w:ascii="Times New Roman" w:hAnsi="Times New Roman" w:cs="Times New Roman"/>
                <w:sz w:val="20"/>
                <w:szCs w:val="20"/>
              </w:rPr>
              <w:t>分；大于</w:t>
            </w:r>
            <w:r>
              <w:rPr>
                <w:rStyle w:val="9"/>
                <w:sz w:val="20"/>
                <w:szCs w:val="20"/>
              </w:rPr>
              <w:t>10%</w:t>
            </w:r>
            <w:r>
              <w:rPr>
                <w:rStyle w:val="8"/>
                <w:rFonts w:hint="default" w:ascii="Times New Roman" w:hAnsi="Times New Roman" w:cs="Times New Roman"/>
                <w:sz w:val="20"/>
                <w:szCs w:val="20"/>
              </w:rPr>
              <w:t>不得分。</w:t>
            </w:r>
          </w:p>
        </w:tc>
        <w:tc>
          <w:tcPr>
            <w:tcW w:w="618" w:type="dxa"/>
            <w:noWrap/>
            <w:tcMar>
              <w:top w:w="15" w:type="dxa"/>
              <w:left w:w="15" w:type="dxa"/>
              <w:right w:w="15" w:type="dxa"/>
            </w:tcMar>
            <w:vAlign w:val="center"/>
          </w:tcPr>
          <w:p>
            <w:pPr>
              <w:widowControl/>
              <w:spacing w:line="26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654" w:type="dxa"/>
            <w:vMerge w:val="continue"/>
            <w:noWrap/>
            <w:tcMar>
              <w:top w:w="15" w:type="dxa"/>
              <w:left w:w="15" w:type="dxa"/>
              <w:right w:w="15" w:type="dxa"/>
            </w:tcMar>
            <w:vAlign w:val="center"/>
          </w:tcPr>
          <w:p>
            <w:pPr>
              <w:spacing w:line="260" w:lineRule="exact"/>
              <w:jc w:val="center"/>
              <w:rPr>
                <w:color w:val="000000"/>
                <w:sz w:val="20"/>
                <w:szCs w:val="20"/>
              </w:rPr>
            </w:pPr>
          </w:p>
        </w:tc>
        <w:tc>
          <w:tcPr>
            <w:tcW w:w="655" w:type="dxa"/>
            <w:vMerge w:val="continue"/>
            <w:noWrap/>
            <w:tcMar>
              <w:top w:w="15" w:type="dxa"/>
              <w:left w:w="15" w:type="dxa"/>
              <w:right w:w="15" w:type="dxa"/>
            </w:tcMar>
            <w:vAlign w:val="center"/>
          </w:tcPr>
          <w:p>
            <w:pPr>
              <w:spacing w:line="260" w:lineRule="exact"/>
              <w:jc w:val="center"/>
              <w:rPr>
                <w:color w:val="000000"/>
                <w:sz w:val="20"/>
                <w:szCs w:val="20"/>
              </w:rPr>
            </w:pPr>
          </w:p>
        </w:tc>
        <w:tc>
          <w:tcPr>
            <w:tcW w:w="567" w:type="dxa"/>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结转结余</w:t>
            </w:r>
          </w:p>
        </w:tc>
        <w:tc>
          <w:tcPr>
            <w:tcW w:w="324" w:type="dxa"/>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134" w:type="dxa"/>
            <w:noWrap/>
            <w:tcMar>
              <w:top w:w="15" w:type="dxa"/>
              <w:left w:w="15" w:type="dxa"/>
              <w:right w:w="15" w:type="dxa"/>
            </w:tcMar>
            <w:vAlign w:val="center"/>
          </w:tcPr>
          <w:p>
            <w:pPr>
              <w:widowControl/>
              <w:spacing w:line="260" w:lineRule="exact"/>
              <w:jc w:val="left"/>
              <w:textAlignment w:val="center"/>
              <w:rPr>
                <w:color w:val="000000"/>
                <w:sz w:val="20"/>
                <w:szCs w:val="20"/>
              </w:rPr>
            </w:pPr>
            <w:r>
              <w:rPr>
                <w:color w:val="000000"/>
                <w:kern w:val="0"/>
                <w:sz w:val="20"/>
                <w:szCs w:val="20"/>
              </w:rPr>
              <w:t>根据</w:t>
            </w:r>
            <w:r>
              <w:rPr>
                <w:rFonts w:hint="eastAsia"/>
                <w:color w:val="000000"/>
                <w:kern w:val="0"/>
                <w:sz w:val="20"/>
                <w:szCs w:val="20"/>
              </w:rPr>
              <w:t>区</w:t>
            </w:r>
            <w:r>
              <w:rPr>
                <w:color w:val="000000"/>
                <w:kern w:val="0"/>
                <w:sz w:val="20"/>
                <w:szCs w:val="20"/>
              </w:rPr>
              <w:t>政府文件规定，预算单位年度安排的</w:t>
            </w:r>
            <w:r>
              <w:rPr>
                <w:rFonts w:hint="eastAsia"/>
                <w:color w:val="000000"/>
                <w:kern w:val="0"/>
                <w:sz w:val="20"/>
                <w:szCs w:val="20"/>
              </w:rPr>
              <w:t>区</w:t>
            </w:r>
            <w:r>
              <w:rPr>
                <w:color w:val="000000"/>
                <w:kern w:val="0"/>
                <w:sz w:val="20"/>
                <w:szCs w:val="20"/>
              </w:rPr>
              <w:t>级预算资金不能结转。</w:t>
            </w:r>
          </w:p>
        </w:tc>
        <w:tc>
          <w:tcPr>
            <w:tcW w:w="1134" w:type="dxa"/>
            <w:noWrap/>
            <w:tcMar>
              <w:top w:w="15" w:type="dxa"/>
              <w:left w:w="15" w:type="dxa"/>
              <w:right w:w="15" w:type="dxa"/>
            </w:tcMar>
            <w:vAlign w:val="center"/>
          </w:tcPr>
          <w:p>
            <w:pPr>
              <w:widowControl/>
              <w:spacing w:line="260" w:lineRule="exact"/>
              <w:textAlignment w:val="center"/>
              <w:rPr>
                <w:color w:val="000000"/>
                <w:sz w:val="20"/>
                <w:szCs w:val="20"/>
              </w:rPr>
            </w:pPr>
            <w:r>
              <w:rPr>
                <w:rFonts w:hint="eastAsia"/>
                <w:color w:val="000000"/>
                <w:kern w:val="0"/>
                <w:sz w:val="20"/>
                <w:szCs w:val="20"/>
              </w:rPr>
              <w:t>区</w:t>
            </w:r>
            <w:r>
              <w:rPr>
                <w:color w:val="000000"/>
                <w:kern w:val="0"/>
                <w:sz w:val="20"/>
                <w:szCs w:val="20"/>
              </w:rPr>
              <w:t>本级资金无结转，计2分；有结转，不计分；</w:t>
            </w:r>
          </w:p>
        </w:tc>
        <w:tc>
          <w:tcPr>
            <w:tcW w:w="618" w:type="dxa"/>
            <w:noWrap/>
            <w:tcMar>
              <w:top w:w="15" w:type="dxa"/>
              <w:left w:w="15" w:type="dxa"/>
              <w:right w:w="15" w:type="dxa"/>
            </w:tcMar>
            <w:vAlign w:val="center"/>
          </w:tcPr>
          <w:p>
            <w:pPr>
              <w:widowControl/>
              <w:spacing w:line="260" w:lineRule="exact"/>
              <w:textAlignment w:val="center"/>
              <w:rPr>
                <w:color w:val="000000"/>
                <w:kern w:val="0"/>
                <w:sz w:val="20"/>
                <w:szCs w:val="20"/>
              </w:rPr>
            </w:pPr>
            <w:r>
              <w:rPr>
                <w:rFonts w:hint="eastAsia"/>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654" w:type="dxa"/>
            <w:vMerge w:val="continue"/>
            <w:noWrap/>
            <w:tcMar>
              <w:top w:w="15" w:type="dxa"/>
              <w:left w:w="15" w:type="dxa"/>
              <w:right w:w="15" w:type="dxa"/>
            </w:tcMar>
            <w:vAlign w:val="center"/>
          </w:tcPr>
          <w:p>
            <w:pPr>
              <w:widowControl/>
              <w:spacing w:line="260" w:lineRule="exact"/>
              <w:jc w:val="center"/>
              <w:textAlignment w:val="center"/>
              <w:rPr>
                <w:color w:val="000000"/>
                <w:sz w:val="20"/>
                <w:szCs w:val="20"/>
              </w:rPr>
            </w:pPr>
          </w:p>
        </w:tc>
        <w:tc>
          <w:tcPr>
            <w:tcW w:w="655" w:type="dxa"/>
            <w:vMerge w:val="continue"/>
            <w:noWrap/>
            <w:tcMar>
              <w:top w:w="15" w:type="dxa"/>
              <w:left w:w="15" w:type="dxa"/>
              <w:right w:w="15" w:type="dxa"/>
            </w:tcMar>
            <w:vAlign w:val="center"/>
          </w:tcPr>
          <w:p>
            <w:pPr>
              <w:widowControl/>
              <w:spacing w:line="260" w:lineRule="exact"/>
              <w:jc w:val="center"/>
              <w:textAlignment w:val="center"/>
              <w:rPr>
                <w:color w:val="000000"/>
                <w:sz w:val="20"/>
                <w:szCs w:val="20"/>
              </w:rPr>
            </w:pPr>
          </w:p>
        </w:tc>
        <w:tc>
          <w:tcPr>
            <w:tcW w:w="567" w:type="dxa"/>
            <w:noWrap/>
            <w:tcMar>
              <w:top w:w="15" w:type="dxa"/>
              <w:left w:w="15" w:type="dxa"/>
              <w:right w:w="15" w:type="dxa"/>
            </w:tcMar>
            <w:vAlign w:val="center"/>
          </w:tcPr>
          <w:p>
            <w:pPr>
              <w:widowControl/>
              <w:spacing w:line="260" w:lineRule="exact"/>
              <w:jc w:val="center"/>
              <w:textAlignment w:val="center"/>
              <w:rPr>
                <w:rStyle w:val="8"/>
                <w:rFonts w:hint="default" w:ascii="Times New Roman" w:hAnsi="Times New Roman" w:cs="Times New Roman"/>
                <w:sz w:val="20"/>
                <w:szCs w:val="20"/>
              </w:rPr>
            </w:pPr>
            <w:r>
              <w:rPr>
                <w:rStyle w:val="9"/>
                <w:sz w:val="20"/>
                <w:szCs w:val="20"/>
              </w:rPr>
              <w:t>“</w:t>
            </w:r>
            <w:r>
              <w:rPr>
                <w:rStyle w:val="8"/>
                <w:rFonts w:hint="default" w:ascii="Times New Roman" w:hAnsi="Times New Roman" w:cs="Times New Roman"/>
                <w:sz w:val="20"/>
                <w:szCs w:val="20"/>
              </w:rPr>
              <w:t>三公</w:t>
            </w:r>
          </w:p>
          <w:p>
            <w:pPr>
              <w:widowControl/>
              <w:spacing w:line="260" w:lineRule="exact"/>
              <w:jc w:val="center"/>
              <w:textAlignment w:val="center"/>
              <w:rPr>
                <w:rStyle w:val="9"/>
                <w:sz w:val="20"/>
                <w:szCs w:val="20"/>
              </w:rPr>
            </w:pPr>
            <w:r>
              <w:rPr>
                <w:rStyle w:val="8"/>
                <w:rFonts w:hint="default" w:ascii="Times New Roman" w:hAnsi="Times New Roman" w:cs="Times New Roman"/>
                <w:sz w:val="20"/>
                <w:szCs w:val="20"/>
              </w:rPr>
              <w:t>经费</w:t>
            </w:r>
            <w:r>
              <w:rPr>
                <w:rStyle w:val="9"/>
                <w:sz w:val="20"/>
                <w:szCs w:val="20"/>
              </w:rPr>
              <w:t>”</w:t>
            </w:r>
          </w:p>
          <w:p>
            <w:pPr>
              <w:widowControl/>
              <w:spacing w:line="260" w:lineRule="exact"/>
              <w:jc w:val="center"/>
              <w:textAlignment w:val="center"/>
              <w:rPr>
                <w:color w:val="000000"/>
                <w:sz w:val="20"/>
                <w:szCs w:val="20"/>
              </w:rPr>
            </w:pPr>
            <w:r>
              <w:rPr>
                <w:rStyle w:val="8"/>
                <w:rFonts w:hint="default" w:ascii="Times New Roman" w:hAnsi="Times New Roman" w:cs="Times New Roman"/>
                <w:sz w:val="20"/>
                <w:szCs w:val="20"/>
              </w:rPr>
              <w:t>控制率</w:t>
            </w:r>
          </w:p>
        </w:tc>
        <w:tc>
          <w:tcPr>
            <w:tcW w:w="324" w:type="dxa"/>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134" w:type="dxa"/>
            <w:noWrap/>
            <w:tcMar>
              <w:top w:w="15" w:type="dxa"/>
              <w:left w:w="15" w:type="dxa"/>
              <w:right w:w="15" w:type="dxa"/>
            </w:tcMar>
            <w:vAlign w:val="center"/>
          </w:tcPr>
          <w:p>
            <w:pPr>
              <w:widowControl/>
              <w:spacing w:line="260" w:lineRule="exact"/>
              <w:jc w:val="left"/>
              <w:textAlignment w:val="center"/>
              <w:rPr>
                <w:color w:val="000000"/>
                <w:sz w:val="20"/>
                <w:szCs w:val="20"/>
              </w:rPr>
            </w:pPr>
            <w:r>
              <w:rPr>
                <w:rStyle w:val="9"/>
                <w:sz w:val="20"/>
                <w:szCs w:val="20"/>
              </w:rPr>
              <w:t>“</w:t>
            </w:r>
            <w:r>
              <w:rPr>
                <w:rStyle w:val="8"/>
                <w:rFonts w:hint="default" w:ascii="Times New Roman" w:hAnsi="Times New Roman" w:cs="Times New Roman"/>
                <w:sz w:val="20"/>
                <w:szCs w:val="20"/>
              </w:rPr>
              <w:t>三公经费</w:t>
            </w:r>
            <w:r>
              <w:rPr>
                <w:rStyle w:val="9"/>
                <w:sz w:val="20"/>
                <w:szCs w:val="20"/>
              </w:rPr>
              <w:t>”</w:t>
            </w:r>
            <w:r>
              <w:rPr>
                <w:rStyle w:val="8"/>
                <w:rFonts w:hint="default" w:ascii="Times New Roman" w:hAnsi="Times New Roman" w:cs="Times New Roman"/>
                <w:sz w:val="20"/>
                <w:szCs w:val="20"/>
              </w:rPr>
              <w:t>控制率</w:t>
            </w:r>
            <w:r>
              <w:rPr>
                <w:rStyle w:val="9"/>
                <w:sz w:val="20"/>
                <w:szCs w:val="20"/>
              </w:rPr>
              <w:t>=</w:t>
            </w:r>
            <w:r>
              <w:rPr>
                <w:rStyle w:val="8"/>
                <w:rFonts w:hint="default" w:ascii="Times New Roman" w:hAnsi="Times New Roman" w:cs="Times New Roman"/>
                <w:sz w:val="20"/>
                <w:szCs w:val="20"/>
              </w:rPr>
              <w:t>（</w:t>
            </w:r>
            <w:r>
              <w:rPr>
                <w:rStyle w:val="9"/>
                <w:sz w:val="20"/>
                <w:szCs w:val="20"/>
              </w:rPr>
              <w:t>“</w:t>
            </w:r>
            <w:r>
              <w:rPr>
                <w:rStyle w:val="8"/>
                <w:rFonts w:hint="default" w:ascii="Times New Roman" w:hAnsi="Times New Roman" w:cs="Times New Roman"/>
                <w:sz w:val="20"/>
                <w:szCs w:val="20"/>
              </w:rPr>
              <w:t>三公经费</w:t>
            </w:r>
            <w:r>
              <w:rPr>
                <w:rStyle w:val="9"/>
                <w:sz w:val="20"/>
                <w:szCs w:val="20"/>
              </w:rPr>
              <w:t>”</w:t>
            </w:r>
            <w:r>
              <w:rPr>
                <w:rStyle w:val="8"/>
                <w:rFonts w:hint="default" w:ascii="Times New Roman" w:hAnsi="Times New Roman" w:cs="Times New Roman"/>
                <w:sz w:val="20"/>
                <w:szCs w:val="20"/>
              </w:rPr>
              <w:t>实际支出数</w:t>
            </w:r>
            <w:r>
              <w:rPr>
                <w:rStyle w:val="9"/>
                <w:sz w:val="20"/>
                <w:szCs w:val="20"/>
              </w:rPr>
              <w:t>/“</w:t>
            </w:r>
            <w:r>
              <w:rPr>
                <w:rStyle w:val="8"/>
                <w:rFonts w:hint="default" w:ascii="Times New Roman" w:hAnsi="Times New Roman" w:cs="Times New Roman"/>
                <w:sz w:val="20"/>
                <w:szCs w:val="20"/>
              </w:rPr>
              <w:t>三公经费</w:t>
            </w:r>
            <w:r>
              <w:rPr>
                <w:rStyle w:val="9"/>
                <w:sz w:val="20"/>
                <w:szCs w:val="20"/>
              </w:rPr>
              <w:t>”</w:t>
            </w:r>
            <w:r>
              <w:rPr>
                <w:rStyle w:val="8"/>
                <w:rFonts w:hint="default" w:ascii="Times New Roman" w:hAnsi="Times New Roman" w:cs="Times New Roman"/>
                <w:sz w:val="20"/>
                <w:szCs w:val="20"/>
              </w:rPr>
              <w:t>预算安排数）</w:t>
            </w:r>
            <w:r>
              <w:rPr>
                <w:rStyle w:val="9"/>
                <w:sz w:val="20"/>
                <w:szCs w:val="20"/>
              </w:rPr>
              <w:t>×100%</w:t>
            </w:r>
            <w:r>
              <w:rPr>
                <w:rStyle w:val="8"/>
                <w:rFonts w:hint="default" w:ascii="Times New Roman" w:hAnsi="Times New Roman" w:cs="Times New Roman"/>
                <w:sz w:val="20"/>
                <w:szCs w:val="20"/>
              </w:rPr>
              <w:t>。不超当年预算，不超上年决算。</w:t>
            </w:r>
          </w:p>
        </w:tc>
        <w:tc>
          <w:tcPr>
            <w:tcW w:w="1134" w:type="dxa"/>
            <w:noWrap/>
            <w:tcMar>
              <w:top w:w="15" w:type="dxa"/>
              <w:left w:w="15" w:type="dxa"/>
              <w:right w:w="15" w:type="dxa"/>
            </w:tcMar>
            <w:vAlign w:val="center"/>
          </w:tcPr>
          <w:p>
            <w:pPr>
              <w:widowControl/>
              <w:spacing w:line="260" w:lineRule="exact"/>
              <w:textAlignment w:val="center"/>
              <w:rPr>
                <w:color w:val="000000"/>
                <w:sz w:val="20"/>
                <w:szCs w:val="20"/>
              </w:rPr>
            </w:pPr>
            <w:r>
              <w:rPr>
                <w:rStyle w:val="9"/>
                <w:sz w:val="20"/>
                <w:szCs w:val="20"/>
              </w:rPr>
              <w:t>“</w:t>
            </w:r>
            <w:r>
              <w:rPr>
                <w:rStyle w:val="8"/>
                <w:rFonts w:hint="default" w:ascii="Times New Roman" w:hAnsi="Times New Roman" w:cs="Times New Roman"/>
                <w:sz w:val="20"/>
                <w:szCs w:val="20"/>
              </w:rPr>
              <w:t>三公经费</w:t>
            </w:r>
            <w:r>
              <w:rPr>
                <w:rStyle w:val="9"/>
                <w:sz w:val="20"/>
                <w:szCs w:val="20"/>
              </w:rPr>
              <w:t>”</w:t>
            </w:r>
            <w:r>
              <w:rPr>
                <w:rStyle w:val="8"/>
                <w:rFonts w:hint="default" w:ascii="Times New Roman" w:hAnsi="Times New Roman" w:cs="Times New Roman"/>
                <w:sz w:val="20"/>
                <w:szCs w:val="20"/>
              </w:rPr>
              <w:t>控制率</w:t>
            </w:r>
            <w:r>
              <w:rPr>
                <w:rStyle w:val="9"/>
                <w:sz w:val="20"/>
                <w:szCs w:val="20"/>
              </w:rPr>
              <w:t>100%</w:t>
            </w:r>
            <w:r>
              <w:rPr>
                <w:rStyle w:val="8"/>
                <w:rFonts w:hint="default" w:ascii="Times New Roman" w:hAnsi="Times New Roman" w:cs="Times New Roman"/>
                <w:sz w:val="20"/>
                <w:szCs w:val="20"/>
              </w:rPr>
              <w:t>以下（含）计</w:t>
            </w:r>
            <w:r>
              <w:rPr>
                <w:rStyle w:val="9"/>
                <w:sz w:val="20"/>
                <w:szCs w:val="20"/>
              </w:rPr>
              <w:t>2</w:t>
            </w:r>
            <w:r>
              <w:rPr>
                <w:rStyle w:val="8"/>
                <w:rFonts w:hint="default" w:ascii="Times New Roman" w:hAnsi="Times New Roman" w:cs="Times New Roman"/>
                <w:sz w:val="20"/>
                <w:szCs w:val="20"/>
              </w:rPr>
              <w:t>分，每超出</w:t>
            </w:r>
            <w:r>
              <w:rPr>
                <w:rStyle w:val="9"/>
                <w:sz w:val="20"/>
                <w:szCs w:val="20"/>
              </w:rPr>
              <w:t>1%</w:t>
            </w:r>
            <w:r>
              <w:rPr>
                <w:rStyle w:val="8"/>
                <w:rFonts w:hint="default" w:ascii="Times New Roman" w:hAnsi="Times New Roman" w:cs="Times New Roman"/>
                <w:sz w:val="20"/>
                <w:szCs w:val="20"/>
              </w:rPr>
              <w:t>扣</w:t>
            </w:r>
            <w:r>
              <w:rPr>
                <w:rStyle w:val="9"/>
                <w:sz w:val="20"/>
                <w:szCs w:val="20"/>
              </w:rPr>
              <w:t>0.15</w:t>
            </w:r>
            <w:r>
              <w:rPr>
                <w:rStyle w:val="8"/>
                <w:rFonts w:hint="default" w:ascii="Times New Roman" w:hAnsi="Times New Roman" w:cs="Times New Roman"/>
                <w:sz w:val="20"/>
                <w:szCs w:val="20"/>
              </w:rPr>
              <w:t>分，扣完为止。</w:t>
            </w:r>
          </w:p>
        </w:tc>
        <w:tc>
          <w:tcPr>
            <w:tcW w:w="618" w:type="dxa"/>
            <w:noWrap/>
            <w:tcMar>
              <w:top w:w="15" w:type="dxa"/>
              <w:left w:w="15" w:type="dxa"/>
              <w:right w:w="15" w:type="dxa"/>
            </w:tcMar>
            <w:vAlign w:val="center"/>
          </w:tcPr>
          <w:p>
            <w:pPr>
              <w:widowControl/>
              <w:spacing w:line="260" w:lineRule="exact"/>
              <w:textAlignment w:val="center"/>
              <w:rPr>
                <w:rStyle w:val="9"/>
                <w:sz w:val="20"/>
                <w:szCs w:val="20"/>
              </w:rPr>
            </w:pPr>
            <w:r>
              <w:rPr>
                <w:rStyle w:val="9"/>
                <w:rFonts w:hint="eastAsia"/>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654" w:type="dxa"/>
            <w:vMerge w:val="continue"/>
            <w:noWrap/>
            <w:tcMar>
              <w:top w:w="15" w:type="dxa"/>
              <w:left w:w="15" w:type="dxa"/>
              <w:right w:w="15" w:type="dxa"/>
            </w:tcMar>
            <w:vAlign w:val="center"/>
          </w:tcPr>
          <w:p>
            <w:pPr>
              <w:spacing w:line="260" w:lineRule="exact"/>
              <w:jc w:val="center"/>
              <w:rPr>
                <w:color w:val="000000"/>
                <w:sz w:val="20"/>
                <w:szCs w:val="20"/>
              </w:rPr>
            </w:pPr>
          </w:p>
        </w:tc>
        <w:tc>
          <w:tcPr>
            <w:tcW w:w="655" w:type="dxa"/>
            <w:vMerge w:val="continue"/>
            <w:noWrap/>
            <w:tcMar>
              <w:top w:w="15" w:type="dxa"/>
              <w:left w:w="15" w:type="dxa"/>
              <w:right w:w="15" w:type="dxa"/>
            </w:tcMar>
            <w:vAlign w:val="center"/>
          </w:tcPr>
          <w:p>
            <w:pPr>
              <w:spacing w:line="260" w:lineRule="exact"/>
              <w:jc w:val="center"/>
              <w:rPr>
                <w:color w:val="000000"/>
                <w:sz w:val="20"/>
                <w:szCs w:val="20"/>
              </w:rPr>
            </w:pPr>
          </w:p>
        </w:tc>
        <w:tc>
          <w:tcPr>
            <w:tcW w:w="567" w:type="dxa"/>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政府采购</w:t>
            </w:r>
            <w:r>
              <w:rPr>
                <w:color w:val="000000"/>
                <w:kern w:val="0"/>
                <w:sz w:val="20"/>
                <w:szCs w:val="20"/>
              </w:rPr>
              <w:br w:type="textWrapping"/>
            </w:r>
            <w:r>
              <w:rPr>
                <w:color w:val="000000"/>
                <w:kern w:val="0"/>
                <w:sz w:val="20"/>
                <w:szCs w:val="20"/>
              </w:rPr>
              <w:t>执行率和</w:t>
            </w:r>
            <w:r>
              <w:rPr>
                <w:color w:val="000000"/>
                <w:kern w:val="0"/>
                <w:sz w:val="20"/>
                <w:szCs w:val="20"/>
              </w:rPr>
              <w:br w:type="textWrapping"/>
            </w:r>
            <w:r>
              <w:rPr>
                <w:color w:val="000000"/>
                <w:kern w:val="0"/>
                <w:sz w:val="20"/>
                <w:szCs w:val="20"/>
              </w:rPr>
              <w:t>规范性</w:t>
            </w:r>
          </w:p>
        </w:tc>
        <w:tc>
          <w:tcPr>
            <w:tcW w:w="324" w:type="dxa"/>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2</w:t>
            </w:r>
          </w:p>
        </w:tc>
        <w:tc>
          <w:tcPr>
            <w:tcW w:w="1134" w:type="dxa"/>
            <w:noWrap/>
            <w:tcMar>
              <w:top w:w="15" w:type="dxa"/>
              <w:left w:w="15" w:type="dxa"/>
              <w:right w:w="15" w:type="dxa"/>
            </w:tcMar>
            <w:vAlign w:val="center"/>
          </w:tcPr>
          <w:p>
            <w:pPr>
              <w:widowControl/>
              <w:spacing w:line="260" w:lineRule="exact"/>
              <w:jc w:val="left"/>
              <w:textAlignment w:val="center"/>
              <w:rPr>
                <w:color w:val="000000"/>
                <w:sz w:val="20"/>
                <w:szCs w:val="20"/>
              </w:rPr>
            </w:pPr>
            <w:r>
              <w:rPr>
                <w:rStyle w:val="8"/>
                <w:rFonts w:hint="default" w:ascii="Times New Roman" w:hAnsi="Times New Roman" w:cs="Times New Roman"/>
                <w:sz w:val="20"/>
                <w:szCs w:val="20"/>
              </w:rPr>
              <w:t>政府采购执行率</w:t>
            </w:r>
            <w:r>
              <w:rPr>
                <w:rStyle w:val="9"/>
                <w:sz w:val="20"/>
                <w:szCs w:val="20"/>
              </w:rPr>
              <w:t>=</w:t>
            </w:r>
            <w:r>
              <w:rPr>
                <w:rStyle w:val="8"/>
                <w:rFonts w:hint="default" w:ascii="Times New Roman" w:hAnsi="Times New Roman" w:cs="Times New Roman"/>
                <w:sz w:val="20"/>
                <w:szCs w:val="20"/>
              </w:rPr>
              <w:t>（实际政府采购金额</w:t>
            </w:r>
            <w:r>
              <w:rPr>
                <w:rStyle w:val="9"/>
                <w:sz w:val="20"/>
                <w:szCs w:val="20"/>
              </w:rPr>
              <w:t>/</w:t>
            </w:r>
            <w:r>
              <w:rPr>
                <w:rStyle w:val="8"/>
                <w:rFonts w:hint="default" w:ascii="Times New Roman" w:hAnsi="Times New Roman" w:cs="Times New Roman"/>
                <w:sz w:val="20"/>
                <w:szCs w:val="20"/>
              </w:rPr>
              <w:t>政府采购预算数）</w:t>
            </w:r>
            <w:r>
              <w:rPr>
                <w:rStyle w:val="9"/>
                <w:sz w:val="20"/>
                <w:szCs w:val="20"/>
              </w:rPr>
              <w:t>×100%</w:t>
            </w:r>
            <w:r>
              <w:rPr>
                <w:rStyle w:val="8"/>
                <w:rFonts w:hint="default" w:ascii="Times New Roman" w:hAnsi="Times New Roman" w:cs="Times New Roman"/>
                <w:sz w:val="20"/>
                <w:szCs w:val="20"/>
              </w:rPr>
              <w:t>；</w:t>
            </w:r>
            <w:r>
              <w:rPr>
                <w:rStyle w:val="9"/>
                <w:sz w:val="20"/>
                <w:szCs w:val="20"/>
              </w:rPr>
              <w:br w:type="textWrapping"/>
            </w:r>
            <w:r>
              <w:rPr>
                <w:rStyle w:val="8"/>
                <w:rFonts w:hint="default" w:ascii="Times New Roman" w:hAnsi="Times New Roman" w:cs="Times New Roman"/>
                <w:spacing w:val="-6"/>
                <w:sz w:val="20"/>
                <w:szCs w:val="20"/>
              </w:rPr>
              <w:t>政府采购预算：采购机关根据事业发展计划和行政任务编制的、并经过规定程序批准的年度政府采购计划。</w:t>
            </w:r>
            <w:r>
              <w:rPr>
                <w:rStyle w:val="8"/>
                <w:rFonts w:hint="default" w:ascii="Times New Roman" w:hAnsi="Times New Roman" w:cs="Times New Roman"/>
                <w:sz w:val="20"/>
                <w:szCs w:val="20"/>
              </w:rPr>
              <w:br w:type="textWrapping"/>
            </w:r>
            <w:r>
              <w:rPr>
                <w:rStyle w:val="8"/>
                <w:rFonts w:hint="default" w:ascii="Times New Roman" w:hAnsi="Times New Roman" w:cs="Times New Roman"/>
                <w:sz w:val="20"/>
                <w:szCs w:val="20"/>
              </w:rPr>
              <w:t>预算单位严格执行《中华人民共和国</w:t>
            </w:r>
            <w:r>
              <w:rPr>
                <w:rStyle w:val="8"/>
                <w:rFonts w:hint="default" w:ascii="Times New Roman" w:hAnsi="Times New Roman" w:cs="Times New Roman"/>
                <w:sz w:val="20"/>
                <w:szCs w:val="20"/>
              </w:rPr>
              <w:t>政府采购法》，无规避政府采购或化整为零进行政府采购的行为。所有项目必须依法采购，履行验收手续。</w:t>
            </w:r>
          </w:p>
        </w:tc>
        <w:tc>
          <w:tcPr>
            <w:tcW w:w="1134" w:type="dxa"/>
            <w:noWrap/>
            <w:tcMar>
              <w:top w:w="15" w:type="dxa"/>
              <w:left w:w="15" w:type="dxa"/>
              <w:right w:w="15" w:type="dxa"/>
            </w:tcMar>
            <w:vAlign w:val="center"/>
          </w:tcPr>
          <w:p>
            <w:pPr>
              <w:widowControl/>
              <w:spacing w:line="260" w:lineRule="exact"/>
              <w:textAlignment w:val="center"/>
              <w:rPr>
                <w:color w:val="000000"/>
                <w:sz w:val="20"/>
                <w:szCs w:val="20"/>
              </w:rPr>
            </w:pPr>
            <w:r>
              <w:rPr>
                <w:rStyle w:val="8"/>
                <w:rFonts w:hint="default" w:ascii="Times New Roman" w:hAnsi="Times New Roman" w:cs="Times New Roman"/>
                <w:sz w:val="20"/>
                <w:szCs w:val="20"/>
              </w:rPr>
              <w:t>政府采购执行率</w:t>
            </w:r>
            <w:r>
              <w:rPr>
                <w:rStyle w:val="9"/>
                <w:sz w:val="20"/>
                <w:szCs w:val="20"/>
              </w:rPr>
              <w:t>100%</w:t>
            </w:r>
            <w:r>
              <w:rPr>
                <w:rStyle w:val="8"/>
                <w:rFonts w:hint="default" w:ascii="Times New Roman" w:hAnsi="Times New Roman" w:cs="Times New Roman"/>
                <w:sz w:val="20"/>
                <w:szCs w:val="20"/>
              </w:rPr>
              <w:t>计</w:t>
            </w:r>
            <w:r>
              <w:rPr>
                <w:rStyle w:val="9"/>
                <w:sz w:val="20"/>
                <w:szCs w:val="20"/>
              </w:rPr>
              <w:t>1</w:t>
            </w:r>
            <w:r>
              <w:rPr>
                <w:rStyle w:val="8"/>
                <w:rFonts w:hint="default" w:ascii="Times New Roman" w:hAnsi="Times New Roman" w:cs="Times New Roman"/>
                <w:sz w:val="20"/>
                <w:szCs w:val="20"/>
              </w:rPr>
              <w:t>分，每超过（降低）</w:t>
            </w:r>
            <w:r>
              <w:rPr>
                <w:rStyle w:val="9"/>
                <w:sz w:val="20"/>
                <w:szCs w:val="20"/>
              </w:rPr>
              <w:t>1%</w:t>
            </w:r>
            <w:r>
              <w:rPr>
                <w:rStyle w:val="8"/>
                <w:rFonts w:hint="default" w:ascii="Times New Roman" w:hAnsi="Times New Roman" w:cs="Times New Roman"/>
                <w:sz w:val="20"/>
                <w:szCs w:val="20"/>
              </w:rPr>
              <w:t>扣</w:t>
            </w:r>
            <w:r>
              <w:rPr>
                <w:rStyle w:val="9"/>
                <w:sz w:val="20"/>
                <w:szCs w:val="20"/>
              </w:rPr>
              <w:t>0.1</w:t>
            </w:r>
            <w:r>
              <w:rPr>
                <w:rStyle w:val="8"/>
                <w:rFonts w:hint="default" w:ascii="Times New Roman" w:hAnsi="Times New Roman" w:cs="Times New Roman"/>
                <w:sz w:val="20"/>
                <w:szCs w:val="20"/>
              </w:rPr>
              <w:t>分，扣完为止。</w:t>
            </w:r>
            <w:r>
              <w:rPr>
                <w:rStyle w:val="9"/>
                <w:sz w:val="20"/>
                <w:szCs w:val="20"/>
              </w:rPr>
              <w:br w:type="textWrapping"/>
            </w:r>
            <w:r>
              <w:rPr>
                <w:rStyle w:val="8"/>
                <w:rFonts w:hint="default" w:ascii="Times New Roman" w:hAnsi="Times New Roman" w:cs="Times New Roman"/>
                <w:sz w:val="20"/>
                <w:szCs w:val="20"/>
              </w:rPr>
              <w:t>所有项目依法采购，无规避政府采购或化整为零进行政府采购的行为，并履行验收手续计1分</w:t>
            </w:r>
            <w:bookmarkStart w:id="0" w:name="_GoBack"/>
            <w:bookmarkEnd w:id="0"/>
            <w:r>
              <w:rPr>
                <w:rStyle w:val="8"/>
                <w:rFonts w:hint="default" w:ascii="Times New Roman" w:hAnsi="Times New Roman" w:cs="Times New Roman"/>
                <w:sz w:val="20"/>
                <w:szCs w:val="20"/>
              </w:rPr>
              <w:t>，否则不得分。</w:t>
            </w:r>
          </w:p>
        </w:tc>
        <w:tc>
          <w:tcPr>
            <w:tcW w:w="618" w:type="dxa"/>
            <w:noWrap/>
            <w:tcMar>
              <w:top w:w="15" w:type="dxa"/>
              <w:left w:w="15" w:type="dxa"/>
              <w:right w:w="15" w:type="dxa"/>
            </w:tcMar>
            <w:vAlign w:val="center"/>
          </w:tcPr>
          <w:p>
            <w:pPr>
              <w:widowControl/>
              <w:spacing w:line="26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654" w:type="dxa"/>
            <w:vMerge w:val="continue"/>
            <w:noWrap/>
            <w:tcMar>
              <w:top w:w="15" w:type="dxa"/>
              <w:left w:w="15" w:type="dxa"/>
              <w:right w:w="15" w:type="dxa"/>
            </w:tcMar>
            <w:vAlign w:val="center"/>
          </w:tcPr>
          <w:p>
            <w:pPr>
              <w:spacing w:line="260" w:lineRule="exact"/>
              <w:jc w:val="center"/>
              <w:rPr>
                <w:color w:val="000000"/>
                <w:sz w:val="20"/>
                <w:szCs w:val="20"/>
              </w:rPr>
            </w:pPr>
          </w:p>
        </w:tc>
        <w:tc>
          <w:tcPr>
            <w:tcW w:w="655" w:type="dxa"/>
            <w:vMerge w:val="restart"/>
            <w:noWrap/>
            <w:tcMar>
              <w:top w:w="15" w:type="dxa"/>
              <w:left w:w="15" w:type="dxa"/>
              <w:right w:w="15" w:type="dxa"/>
            </w:tcMar>
            <w:vAlign w:val="center"/>
          </w:tcPr>
          <w:p>
            <w:pPr>
              <w:widowControl/>
              <w:spacing w:line="260" w:lineRule="exact"/>
              <w:jc w:val="center"/>
              <w:textAlignment w:val="center"/>
              <w:rPr>
                <w:color w:val="000000"/>
                <w:sz w:val="20"/>
                <w:szCs w:val="20"/>
              </w:rPr>
            </w:pPr>
            <w:r>
              <w:rPr>
                <w:rStyle w:val="8"/>
                <w:rFonts w:hint="default" w:ascii="Times New Roman" w:hAnsi="Times New Roman" w:cs="Times New Roman"/>
                <w:sz w:val="20"/>
                <w:szCs w:val="20"/>
              </w:rPr>
              <w:t>预算</w:t>
            </w:r>
            <w:r>
              <w:rPr>
                <w:rStyle w:val="9"/>
                <w:sz w:val="20"/>
                <w:szCs w:val="20"/>
              </w:rPr>
              <w:br w:type="textWrapping"/>
            </w:r>
            <w:r>
              <w:rPr>
                <w:rStyle w:val="8"/>
                <w:rFonts w:hint="default" w:ascii="Times New Roman" w:hAnsi="Times New Roman" w:cs="Times New Roman"/>
                <w:sz w:val="20"/>
                <w:szCs w:val="20"/>
              </w:rPr>
              <w:t>管理</w:t>
            </w:r>
            <w:r>
              <w:rPr>
                <w:rStyle w:val="9"/>
                <w:sz w:val="20"/>
                <w:szCs w:val="20"/>
              </w:rPr>
              <w:br w:type="textWrapping"/>
            </w:r>
            <w:r>
              <w:rPr>
                <w:rStyle w:val="8"/>
                <w:rFonts w:hint="default" w:ascii="Times New Roman" w:hAnsi="Times New Roman" w:cs="Times New Roman"/>
                <w:sz w:val="20"/>
                <w:szCs w:val="20"/>
              </w:rPr>
              <w:t>（</w:t>
            </w:r>
            <w:r>
              <w:rPr>
                <w:rStyle w:val="9"/>
                <w:sz w:val="20"/>
                <w:szCs w:val="20"/>
              </w:rPr>
              <w:t>20</w:t>
            </w:r>
            <w:r>
              <w:rPr>
                <w:rStyle w:val="8"/>
                <w:rFonts w:hint="default" w:ascii="Times New Roman" w:hAnsi="Times New Roman" w:cs="Times New Roman"/>
                <w:sz w:val="20"/>
                <w:szCs w:val="20"/>
              </w:rPr>
              <w:t>分）</w:t>
            </w:r>
          </w:p>
        </w:tc>
        <w:tc>
          <w:tcPr>
            <w:tcW w:w="567" w:type="dxa"/>
            <w:noWrap/>
            <w:tcMar>
              <w:top w:w="15" w:type="dxa"/>
              <w:left w:w="15" w:type="dxa"/>
              <w:right w:w="15" w:type="dxa"/>
            </w:tcMar>
            <w:vAlign w:val="center"/>
          </w:tcPr>
          <w:p>
            <w:pPr>
              <w:widowControl/>
              <w:spacing w:line="260" w:lineRule="exact"/>
              <w:jc w:val="center"/>
              <w:textAlignment w:val="center"/>
              <w:rPr>
                <w:color w:val="000000"/>
                <w:sz w:val="20"/>
                <w:szCs w:val="20"/>
              </w:rPr>
            </w:pPr>
            <w:r>
              <w:rPr>
                <w:rStyle w:val="8"/>
                <w:rFonts w:hint="default" w:ascii="Times New Roman" w:hAnsi="Times New Roman" w:cs="Times New Roman"/>
                <w:sz w:val="20"/>
                <w:szCs w:val="20"/>
              </w:rPr>
              <w:t>管理制度</w:t>
            </w:r>
            <w:r>
              <w:rPr>
                <w:rStyle w:val="9"/>
                <w:sz w:val="20"/>
                <w:szCs w:val="20"/>
              </w:rPr>
              <w:br w:type="textWrapping"/>
            </w:r>
            <w:r>
              <w:rPr>
                <w:rStyle w:val="8"/>
                <w:rFonts w:hint="default" w:ascii="Times New Roman" w:hAnsi="Times New Roman" w:cs="Times New Roman"/>
                <w:sz w:val="20"/>
                <w:szCs w:val="20"/>
              </w:rPr>
              <w:t>健全性</w:t>
            </w:r>
          </w:p>
        </w:tc>
        <w:tc>
          <w:tcPr>
            <w:tcW w:w="324" w:type="dxa"/>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3</w:t>
            </w:r>
          </w:p>
        </w:tc>
        <w:tc>
          <w:tcPr>
            <w:tcW w:w="1134" w:type="dxa"/>
            <w:noWrap/>
            <w:tcMar>
              <w:top w:w="15" w:type="dxa"/>
              <w:left w:w="15" w:type="dxa"/>
              <w:right w:w="15" w:type="dxa"/>
            </w:tcMar>
            <w:vAlign w:val="center"/>
          </w:tcPr>
          <w:p>
            <w:pPr>
              <w:widowControl/>
              <w:spacing w:line="260" w:lineRule="exact"/>
              <w:jc w:val="left"/>
              <w:textAlignment w:val="center"/>
              <w:rPr>
                <w:color w:val="000000"/>
                <w:sz w:val="20"/>
                <w:szCs w:val="20"/>
              </w:rPr>
            </w:pPr>
            <w:r>
              <w:rPr>
                <w:rStyle w:val="8"/>
                <w:rFonts w:hint="default" w:ascii="Times New Roman" w:hAnsi="Times New Roman" w:cs="Times New Roman"/>
                <w:sz w:val="20"/>
                <w:szCs w:val="20"/>
              </w:rPr>
              <w:t>①部门（单位）内控制度、内部财务管理制度和会计核算制度是否健全；</w:t>
            </w:r>
            <w:r>
              <w:rPr>
                <w:rStyle w:val="9"/>
                <w:sz w:val="20"/>
                <w:szCs w:val="20"/>
              </w:rPr>
              <w:br w:type="textWrapping"/>
            </w:r>
            <w:r>
              <w:rPr>
                <w:rStyle w:val="8"/>
                <w:rFonts w:hint="default" w:ascii="Times New Roman" w:hAnsi="Times New Roman" w:cs="Times New Roman"/>
                <w:sz w:val="20"/>
                <w:szCs w:val="20"/>
              </w:rPr>
              <w:t>②相关管理制度是否合法、合规、完整；</w:t>
            </w:r>
            <w:r>
              <w:rPr>
                <w:rStyle w:val="9"/>
                <w:sz w:val="20"/>
                <w:szCs w:val="20"/>
              </w:rPr>
              <w:br w:type="textWrapping"/>
            </w:r>
            <w:r>
              <w:rPr>
                <w:rStyle w:val="8"/>
                <w:rFonts w:hint="default" w:ascii="Times New Roman" w:hAnsi="Times New Roman" w:cs="Times New Roman"/>
                <w:sz w:val="20"/>
                <w:szCs w:val="20"/>
              </w:rPr>
              <w:t>③相关管理制度是否得到有效执行。</w:t>
            </w:r>
          </w:p>
        </w:tc>
        <w:tc>
          <w:tcPr>
            <w:tcW w:w="1134" w:type="dxa"/>
            <w:noWrap/>
            <w:tcMar>
              <w:top w:w="15" w:type="dxa"/>
              <w:left w:w="15" w:type="dxa"/>
              <w:right w:w="15" w:type="dxa"/>
            </w:tcMar>
            <w:vAlign w:val="center"/>
          </w:tcPr>
          <w:p>
            <w:pPr>
              <w:widowControl/>
              <w:spacing w:line="260" w:lineRule="exact"/>
              <w:textAlignment w:val="center"/>
              <w:rPr>
                <w:color w:val="000000"/>
                <w:sz w:val="20"/>
                <w:szCs w:val="20"/>
              </w:rPr>
            </w:pPr>
            <w:r>
              <w:rPr>
                <w:rStyle w:val="8"/>
                <w:rFonts w:hint="default" w:ascii="Times New Roman" w:hAnsi="Times New Roman" w:cs="Times New Roman"/>
                <w:sz w:val="20"/>
                <w:szCs w:val="20"/>
              </w:rPr>
              <w:t>①部门（单位）内控制度、内部财务管理制度和会计核算制度健全，计</w:t>
            </w:r>
            <w:r>
              <w:rPr>
                <w:rStyle w:val="9"/>
                <w:sz w:val="20"/>
                <w:szCs w:val="20"/>
              </w:rPr>
              <w:t>1</w:t>
            </w:r>
            <w:r>
              <w:rPr>
                <w:rStyle w:val="8"/>
                <w:rFonts w:hint="default" w:ascii="Times New Roman" w:hAnsi="Times New Roman" w:cs="Times New Roman"/>
                <w:sz w:val="20"/>
                <w:szCs w:val="20"/>
              </w:rPr>
              <w:t>分，否则酌情扣分；</w:t>
            </w:r>
            <w:r>
              <w:rPr>
                <w:rStyle w:val="9"/>
                <w:sz w:val="20"/>
                <w:szCs w:val="20"/>
              </w:rPr>
              <w:br w:type="textWrapping"/>
            </w:r>
            <w:r>
              <w:rPr>
                <w:rStyle w:val="8"/>
                <w:rFonts w:hint="default" w:ascii="Times New Roman" w:hAnsi="Times New Roman" w:cs="Times New Roman"/>
                <w:sz w:val="20"/>
                <w:szCs w:val="20"/>
              </w:rPr>
              <w:t>②管理制度合法、合规、完整，计</w:t>
            </w:r>
            <w:r>
              <w:rPr>
                <w:rStyle w:val="9"/>
                <w:sz w:val="20"/>
                <w:szCs w:val="20"/>
              </w:rPr>
              <w:t>1</w:t>
            </w:r>
            <w:r>
              <w:rPr>
                <w:rStyle w:val="8"/>
                <w:rFonts w:hint="default" w:ascii="Times New Roman" w:hAnsi="Times New Roman" w:cs="Times New Roman"/>
                <w:sz w:val="20"/>
                <w:szCs w:val="20"/>
              </w:rPr>
              <w:t>分，否则酌情扣分；</w:t>
            </w:r>
            <w:r>
              <w:rPr>
                <w:rStyle w:val="9"/>
                <w:sz w:val="20"/>
                <w:szCs w:val="20"/>
              </w:rPr>
              <w:br w:type="textWrapping"/>
            </w:r>
            <w:r>
              <w:rPr>
                <w:rStyle w:val="8"/>
                <w:rFonts w:hint="default" w:ascii="Times New Roman" w:hAnsi="Times New Roman" w:cs="Times New Roman"/>
                <w:sz w:val="20"/>
                <w:szCs w:val="20"/>
              </w:rPr>
              <w:t>③管理制度得到有效执行，计</w:t>
            </w:r>
            <w:r>
              <w:rPr>
                <w:rStyle w:val="9"/>
                <w:sz w:val="20"/>
                <w:szCs w:val="20"/>
              </w:rPr>
              <w:t>1</w:t>
            </w:r>
            <w:r>
              <w:rPr>
                <w:rStyle w:val="8"/>
                <w:rFonts w:hint="default" w:ascii="Times New Roman" w:hAnsi="Times New Roman" w:cs="Times New Roman"/>
                <w:sz w:val="20"/>
                <w:szCs w:val="20"/>
              </w:rPr>
              <w:t>分，</w:t>
            </w:r>
            <w:r>
              <w:rPr>
                <w:rStyle w:val="9"/>
                <w:sz w:val="20"/>
                <w:szCs w:val="20"/>
              </w:rPr>
              <w:t>1</w:t>
            </w:r>
            <w:r>
              <w:rPr>
                <w:rStyle w:val="8"/>
                <w:rFonts w:hint="default" w:ascii="Times New Roman" w:hAnsi="Times New Roman" w:cs="Times New Roman"/>
                <w:sz w:val="20"/>
                <w:szCs w:val="20"/>
              </w:rPr>
              <w:t>例不符合扣</w:t>
            </w:r>
            <w:r>
              <w:rPr>
                <w:rStyle w:val="9"/>
                <w:sz w:val="20"/>
                <w:szCs w:val="20"/>
              </w:rPr>
              <w:t>0.2</w:t>
            </w:r>
            <w:r>
              <w:rPr>
                <w:rStyle w:val="8"/>
                <w:rFonts w:hint="default" w:ascii="Times New Roman" w:hAnsi="Times New Roman" w:cs="Times New Roman"/>
                <w:sz w:val="20"/>
                <w:szCs w:val="20"/>
              </w:rPr>
              <w:t>分。</w:t>
            </w:r>
          </w:p>
        </w:tc>
        <w:tc>
          <w:tcPr>
            <w:tcW w:w="618" w:type="dxa"/>
            <w:noWrap/>
            <w:tcMar>
              <w:top w:w="15" w:type="dxa"/>
              <w:left w:w="15" w:type="dxa"/>
              <w:right w:w="15" w:type="dxa"/>
            </w:tcMar>
            <w:vAlign w:val="center"/>
          </w:tcPr>
          <w:p>
            <w:pPr>
              <w:widowControl/>
              <w:spacing w:line="26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54" w:type="dxa"/>
            <w:vMerge w:val="continue"/>
            <w:noWrap/>
            <w:tcMar>
              <w:top w:w="15" w:type="dxa"/>
              <w:left w:w="15" w:type="dxa"/>
              <w:right w:w="15" w:type="dxa"/>
            </w:tcMar>
            <w:vAlign w:val="center"/>
          </w:tcPr>
          <w:p>
            <w:pPr>
              <w:spacing w:line="260" w:lineRule="exact"/>
              <w:jc w:val="center"/>
              <w:rPr>
                <w:color w:val="000000"/>
                <w:sz w:val="20"/>
                <w:szCs w:val="20"/>
              </w:rPr>
            </w:pPr>
          </w:p>
        </w:tc>
        <w:tc>
          <w:tcPr>
            <w:tcW w:w="655" w:type="dxa"/>
            <w:vMerge w:val="continue"/>
            <w:noWrap/>
            <w:tcMar>
              <w:top w:w="15" w:type="dxa"/>
              <w:left w:w="15" w:type="dxa"/>
              <w:right w:w="15" w:type="dxa"/>
            </w:tcMar>
            <w:vAlign w:val="center"/>
          </w:tcPr>
          <w:p>
            <w:pPr>
              <w:spacing w:line="260" w:lineRule="exact"/>
              <w:jc w:val="center"/>
              <w:rPr>
                <w:color w:val="000000"/>
                <w:sz w:val="20"/>
                <w:szCs w:val="20"/>
              </w:rPr>
            </w:pPr>
          </w:p>
        </w:tc>
        <w:tc>
          <w:tcPr>
            <w:tcW w:w="567" w:type="dxa"/>
            <w:noWrap/>
            <w:tcMar>
              <w:top w:w="15" w:type="dxa"/>
              <w:left w:w="15" w:type="dxa"/>
              <w:right w:w="15" w:type="dxa"/>
            </w:tcMar>
            <w:vAlign w:val="center"/>
          </w:tcPr>
          <w:p>
            <w:pPr>
              <w:widowControl/>
              <w:spacing w:line="260" w:lineRule="exact"/>
              <w:jc w:val="center"/>
              <w:textAlignment w:val="center"/>
              <w:rPr>
                <w:color w:val="000000"/>
                <w:sz w:val="20"/>
                <w:szCs w:val="20"/>
              </w:rPr>
            </w:pPr>
            <w:r>
              <w:rPr>
                <w:rStyle w:val="8"/>
                <w:rFonts w:hint="default" w:ascii="Times New Roman" w:hAnsi="Times New Roman" w:cs="Times New Roman"/>
                <w:sz w:val="20"/>
                <w:szCs w:val="20"/>
              </w:rPr>
              <w:t>资金使用</w:t>
            </w:r>
            <w:r>
              <w:rPr>
                <w:rStyle w:val="9"/>
                <w:sz w:val="20"/>
                <w:szCs w:val="20"/>
              </w:rPr>
              <w:br w:type="textWrapping"/>
            </w:r>
            <w:r>
              <w:rPr>
                <w:rStyle w:val="8"/>
                <w:rFonts w:hint="default" w:ascii="Times New Roman" w:hAnsi="Times New Roman" w:cs="Times New Roman"/>
                <w:sz w:val="20"/>
                <w:szCs w:val="20"/>
              </w:rPr>
              <w:t>合规性</w:t>
            </w:r>
          </w:p>
        </w:tc>
        <w:tc>
          <w:tcPr>
            <w:tcW w:w="324" w:type="dxa"/>
            <w:noWrap/>
            <w:tcMar>
              <w:top w:w="15" w:type="dxa"/>
              <w:left w:w="15" w:type="dxa"/>
              <w:right w:w="15" w:type="dxa"/>
            </w:tcMar>
            <w:vAlign w:val="center"/>
          </w:tcPr>
          <w:p>
            <w:pPr>
              <w:widowControl/>
              <w:spacing w:line="260" w:lineRule="exact"/>
              <w:jc w:val="center"/>
              <w:textAlignment w:val="center"/>
              <w:rPr>
                <w:color w:val="000000"/>
                <w:sz w:val="20"/>
                <w:szCs w:val="20"/>
              </w:rPr>
            </w:pPr>
            <w:r>
              <w:rPr>
                <w:color w:val="000000"/>
                <w:kern w:val="0"/>
                <w:sz w:val="20"/>
                <w:szCs w:val="20"/>
              </w:rPr>
              <w:t>6</w:t>
            </w:r>
          </w:p>
        </w:tc>
        <w:tc>
          <w:tcPr>
            <w:tcW w:w="1134" w:type="dxa"/>
            <w:noWrap/>
            <w:tcMar>
              <w:top w:w="15" w:type="dxa"/>
              <w:left w:w="15" w:type="dxa"/>
              <w:right w:w="15" w:type="dxa"/>
            </w:tcMar>
            <w:vAlign w:val="center"/>
          </w:tcPr>
          <w:p>
            <w:pPr>
              <w:widowControl/>
              <w:spacing w:line="260" w:lineRule="exact"/>
              <w:jc w:val="left"/>
              <w:textAlignment w:val="center"/>
              <w:rPr>
                <w:color w:val="000000"/>
                <w:sz w:val="20"/>
                <w:szCs w:val="20"/>
              </w:rPr>
            </w:pPr>
            <w:r>
              <w:rPr>
                <w:rStyle w:val="8"/>
                <w:rFonts w:hint="default" w:ascii="Times New Roman" w:hAnsi="Times New Roman" w:cs="Times New Roman"/>
                <w:sz w:val="20"/>
                <w:szCs w:val="20"/>
              </w:rPr>
              <w:t>①是否符合国家财经法规和财务管理制度以及有关专项资金管理办法的规定；</w:t>
            </w:r>
            <w:r>
              <w:rPr>
                <w:rStyle w:val="9"/>
                <w:sz w:val="20"/>
                <w:szCs w:val="20"/>
              </w:rPr>
              <w:br w:type="textWrapping"/>
            </w:r>
            <w:r>
              <w:rPr>
                <w:rStyle w:val="8"/>
                <w:rFonts w:hint="default" w:ascii="Times New Roman" w:hAnsi="Times New Roman" w:cs="Times New Roman"/>
                <w:sz w:val="20"/>
                <w:szCs w:val="20"/>
              </w:rPr>
              <w:t>②资金的支付是否有完整的审批程序和手续；</w:t>
            </w:r>
            <w:r>
              <w:rPr>
                <w:rStyle w:val="9"/>
                <w:sz w:val="20"/>
                <w:szCs w:val="20"/>
              </w:rPr>
              <w:br w:type="textWrapping"/>
            </w:r>
            <w:r>
              <w:rPr>
                <w:rStyle w:val="8"/>
                <w:rFonts w:hint="default" w:ascii="Times New Roman" w:hAnsi="Times New Roman" w:cs="Times New Roman"/>
                <w:sz w:val="20"/>
                <w:szCs w:val="20"/>
              </w:rPr>
              <w:t>③重大项目开支和大额资金使用是否经单位党组集体研究决策；</w:t>
            </w:r>
            <w:r>
              <w:rPr>
                <w:rStyle w:val="9"/>
                <w:sz w:val="20"/>
                <w:szCs w:val="20"/>
              </w:rPr>
              <w:br w:type="textWrapping"/>
            </w:r>
            <w:r>
              <w:rPr>
                <w:rStyle w:val="8"/>
                <w:rFonts w:hint="default" w:ascii="Times New Roman" w:hAnsi="Times New Roman" w:cs="Times New Roman"/>
                <w:sz w:val="20"/>
                <w:szCs w:val="20"/>
              </w:rPr>
              <w:t>④是否符合项目预算批复或合同规定的用途；</w:t>
            </w:r>
            <w:r>
              <w:rPr>
                <w:rStyle w:val="9"/>
                <w:sz w:val="20"/>
                <w:szCs w:val="20"/>
              </w:rPr>
              <w:br w:type="textWrapping"/>
            </w:r>
            <w:r>
              <w:rPr>
                <w:rStyle w:val="8"/>
                <w:rFonts w:hint="default" w:ascii="Times New Roman" w:hAnsi="Times New Roman" w:cs="Times New Roman"/>
                <w:sz w:val="20"/>
                <w:szCs w:val="20"/>
              </w:rPr>
              <w:t>⑤是否存在截留、挤占、挪用、虚列支出等情况；</w:t>
            </w:r>
            <w:r>
              <w:rPr>
                <w:rStyle w:val="9"/>
                <w:sz w:val="20"/>
                <w:szCs w:val="20"/>
              </w:rPr>
              <w:br w:type="textWrapping"/>
            </w:r>
            <w:r>
              <w:rPr>
                <w:rStyle w:val="8"/>
                <w:rFonts w:hint="default" w:ascii="Times New Roman" w:hAnsi="Times New Roman" w:cs="Times New Roman"/>
                <w:sz w:val="20"/>
                <w:szCs w:val="20"/>
              </w:rPr>
              <w:t>⑥是否存在重复申报项目、虚报冒领资金。</w:t>
            </w:r>
          </w:p>
        </w:tc>
        <w:tc>
          <w:tcPr>
            <w:tcW w:w="1134" w:type="dxa"/>
            <w:noWrap/>
            <w:tcMar>
              <w:top w:w="15" w:type="dxa"/>
              <w:left w:w="15" w:type="dxa"/>
              <w:right w:w="15" w:type="dxa"/>
            </w:tcMar>
            <w:vAlign w:val="center"/>
          </w:tcPr>
          <w:p>
            <w:pPr>
              <w:widowControl/>
              <w:spacing w:line="260" w:lineRule="exact"/>
              <w:textAlignment w:val="center"/>
              <w:rPr>
                <w:color w:val="000000"/>
                <w:sz w:val="20"/>
                <w:szCs w:val="20"/>
              </w:rPr>
            </w:pPr>
            <w:r>
              <w:rPr>
                <w:rStyle w:val="8"/>
                <w:rFonts w:hint="default" w:ascii="Times New Roman" w:hAnsi="Times New Roman" w:cs="Times New Roman"/>
                <w:sz w:val="20"/>
                <w:szCs w:val="20"/>
              </w:rPr>
              <w:t>①符合国家财经法规和财务管理制度以及有关专项资金管理办法的规定，计</w:t>
            </w:r>
            <w:r>
              <w:rPr>
                <w:rStyle w:val="9"/>
                <w:sz w:val="20"/>
                <w:szCs w:val="20"/>
              </w:rPr>
              <w:t>1</w:t>
            </w:r>
            <w:r>
              <w:rPr>
                <w:rStyle w:val="8"/>
                <w:rFonts w:hint="default" w:ascii="Times New Roman" w:hAnsi="Times New Roman" w:cs="Times New Roman"/>
                <w:sz w:val="20"/>
                <w:szCs w:val="20"/>
              </w:rPr>
              <w:t>分，</w:t>
            </w:r>
            <w:r>
              <w:rPr>
                <w:rStyle w:val="9"/>
                <w:sz w:val="20"/>
                <w:szCs w:val="20"/>
              </w:rPr>
              <w:t>1</w:t>
            </w:r>
            <w:r>
              <w:rPr>
                <w:rStyle w:val="8"/>
                <w:rFonts w:hint="default" w:ascii="Times New Roman" w:hAnsi="Times New Roman" w:cs="Times New Roman"/>
                <w:sz w:val="20"/>
                <w:szCs w:val="20"/>
              </w:rPr>
              <w:t>例不符合扣</w:t>
            </w:r>
            <w:r>
              <w:rPr>
                <w:rStyle w:val="9"/>
                <w:sz w:val="20"/>
                <w:szCs w:val="20"/>
              </w:rPr>
              <w:t>0.2</w:t>
            </w:r>
            <w:r>
              <w:rPr>
                <w:rStyle w:val="8"/>
                <w:rFonts w:hint="default" w:ascii="Times New Roman" w:hAnsi="Times New Roman" w:cs="Times New Roman"/>
                <w:sz w:val="20"/>
                <w:szCs w:val="20"/>
              </w:rPr>
              <w:t>分；</w:t>
            </w:r>
            <w:r>
              <w:rPr>
                <w:rStyle w:val="9"/>
                <w:sz w:val="20"/>
                <w:szCs w:val="20"/>
              </w:rPr>
              <w:br w:type="textWrapping"/>
            </w:r>
            <w:r>
              <w:rPr>
                <w:rStyle w:val="8"/>
                <w:rFonts w:hint="default" w:ascii="Times New Roman" w:hAnsi="Times New Roman" w:cs="Times New Roman"/>
                <w:sz w:val="20"/>
                <w:szCs w:val="20"/>
              </w:rPr>
              <w:t>②资金的支付有完整的审批程序和手续，计</w:t>
            </w:r>
            <w:r>
              <w:rPr>
                <w:rStyle w:val="9"/>
                <w:sz w:val="20"/>
                <w:szCs w:val="20"/>
              </w:rPr>
              <w:t>1</w:t>
            </w:r>
            <w:r>
              <w:rPr>
                <w:rStyle w:val="8"/>
                <w:rFonts w:hint="default" w:ascii="Times New Roman" w:hAnsi="Times New Roman" w:cs="Times New Roman"/>
                <w:sz w:val="20"/>
                <w:szCs w:val="20"/>
              </w:rPr>
              <w:t>分，</w:t>
            </w:r>
            <w:r>
              <w:rPr>
                <w:rStyle w:val="9"/>
                <w:sz w:val="20"/>
                <w:szCs w:val="20"/>
              </w:rPr>
              <w:t>1</w:t>
            </w:r>
            <w:r>
              <w:rPr>
                <w:rStyle w:val="8"/>
                <w:rFonts w:hint="default" w:ascii="Times New Roman" w:hAnsi="Times New Roman" w:cs="Times New Roman"/>
                <w:sz w:val="20"/>
                <w:szCs w:val="20"/>
              </w:rPr>
              <w:t>例不符合扣</w:t>
            </w:r>
            <w:r>
              <w:rPr>
                <w:rStyle w:val="9"/>
                <w:sz w:val="20"/>
                <w:szCs w:val="20"/>
              </w:rPr>
              <w:t>0.2</w:t>
            </w:r>
            <w:r>
              <w:rPr>
                <w:rStyle w:val="8"/>
                <w:rFonts w:hint="default" w:ascii="Times New Roman" w:hAnsi="Times New Roman" w:cs="Times New Roman"/>
                <w:sz w:val="20"/>
                <w:szCs w:val="20"/>
              </w:rPr>
              <w:t>分；</w:t>
            </w:r>
            <w:r>
              <w:rPr>
                <w:rStyle w:val="9"/>
                <w:sz w:val="20"/>
                <w:szCs w:val="20"/>
              </w:rPr>
              <w:br w:type="textWrapping"/>
            </w:r>
            <w:r>
              <w:rPr>
                <w:rStyle w:val="8"/>
                <w:rFonts w:hint="default" w:ascii="Times New Roman" w:hAnsi="Times New Roman" w:cs="Times New Roman"/>
                <w:sz w:val="20"/>
                <w:szCs w:val="20"/>
              </w:rPr>
              <w:t>③重大项目开支和大额资金使用经过单位党组集体研究决策，计</w:t>
            </w:r>
            <w:r>
              <w:rPr>
                <w:rStyle w:val="9"/>
                <w:sz w:val="20"/>
                <w:szCs w:val="20"/>
              </w:rPr>
              <w:t>1</w:t>
            </w:r>
            <w:r>
              <w:rPr>
                <w:rStyle w:val="8"/>
                <w:rFonts w:hint="default" w:ascii="Times New Roman" w:hAnsi="Times New Roman" w:cs="Times New Roman"/>
                <w:sz w:val="20"/>
                <w:szCs w:val="20"/>
              </w:rPr>
              <w:t>分，</w:t>
            </w:r>
            <w:r>
              <w:rPr>
                <w:rStyle w:val="9"/>
                <w:sz w:val="20"/>
                <w:szCs w:val="20"/>
              </w:rPr>
              <w:t>1</w:t>
            </w:r>
            <w:r>
              <w:rPr>
                <w:rStyle w:val="8"/>
                <w:rFonts w:hint="default" w:ascii="Times New Roman" w:hAnsi="Times New Roman" w:cs="Times New Roman"/>
                <w:sz w:val="20"/>
                <w:szCs w:val="20"/>
              </w:rPr>
              <w:t>例不符合扣</w:t>
            </w:r>
            <w:r>
              <w:rPr>
                <w:rStyle w:val="9"/>
                <w:sz w:val="20"/>
                <w:szCs w:val="20"/>
              </w:rPr>
              <w:t>0.2</w:t>
            </w:r>
            <w:r>
              <w:rPr>
                <w:rStyle w:val="8"/>
                <w:rFonts w:hint="default" w:ascii="Times New Roman" w:hAnsi="Times New Roman" w:cs="Times New Roman"/>
                <w:sz w:val="20"/>
                <w:szCs w:val="20"/>
              </w:rPr>
              <w:t>分；</w:t>
            </w:r>
            <w:r>
              <w:rPr>
                <w:rStyle w:val="9"/>
                <w:sz w:val="20"/>
                <w:szCs w:val="20"/>
              </w:rPr>
              <w:br w:type="textWrapping"/>
            </w:r>
            <w:r>
              <w:rPr>
                <w:rStyle w:val="8"/>
                <w:rFonts w:hint="default" w:ascii="Times New Roman" w:hAnsi="Times New Roman" w:cs="Times New Roman"/>
                <w:sz w:val="20"/>
                <w:szCs w:val="20"/>
              </w:rPr>
              <w:t>④符合项目预算批复或合同规定的用途，计</w:t>
            </w:r>
            <w:r>
              <w:rPr>
                <w:rStyle w:val="9"/>
                <w:sz w:val="20"/>
                <w:szCs w:val="20"/>
              </w:rPr>
              <w:t>1</w:t>
            </w:r>
            <w:r>
              <w:rPr>
                <w:rStyle w:val="8"/>
                <w:rFonts w:hint="default" w:ascii="Times New Roman" w:hAnsi="Times New Roman" w:cs="Times New Roman"/>
                <w:sz w:val="20"/>
                <w:szCs w:val="20"/>
              </w:rPr>
              <w:t>分，</w:t>
            </w:r>
            <w:r>
              <w:rPr>
                <w:rStyle w:val="9"/>
                <w:sz w:val="20"/>
                <w:szCs w:val="20"/>
              </w:rPr>
              <w:t>1</w:t>
            </w:r>
            <w:r>
              <w:rPr>
                <w:rStyle w:val="8"/>
                <w:rFonts w:hint="default" w:ascii="Times New Roman" w:hAnsi="Times New Roman" w:cs="Times New Roman"/>
                <w:sz w:val="20"/>
                <w:szCs w:val="20"/>
              </w:rPr>
              <w:t>例不符合扣</w:t>
            </w:r>
            <w:r>
              <w:rPr>
                <w:rStyle w:val="9"/>
                <w:sz w:val="20"/>
                <w:szCs w:val="20"/>
              </w:rPr>
              <w:t>0.2</w:t>
            </w:r>
            <w:r>
              <w:rPr>
                <w:rStyle w:val="8"/>
                <w:rFonts w:hint="default" w:ascii="Times New Roman" w:hAnsi="Times New Roman" w:cs="Times New Roman"/>
                <w:sz w:val="20"/>
                <w:szCs w:val="20"/>
              </w:rPr>
              <w:t>分；</w:t>
            </w:r>
            <w:r>
              <w:rPr>
                <w:rStyle w:val="9"/>
                <w:sz w:val="20"/>
                <w:szCs w:val="20"/>
              </w:rPr>
              <w:br w:type="textWrapping"/>
            </w:r>
            <w:r>
              <w:rPr>
                <w:rStyle w:val="8"/>
                <w:rFonts w:hint="default" w:ascii="Times New Roman" w:hAnsi="Times New Roman" w:cs="Times New Roman"/>
                <w:sz w:val="20"/>
                <w:szCs w:val="20"/>
              </w:rPr>
              <w:t>⑤不存在截留、挤占、挪用、虚列支出等情况，计</w:t>
            </w:r>
            <w:r>
              <w:rPr>
                <w:rStyle w:val="9"/>
                <w:sz w:val="20"/>
                <w:szCs w:val="20"/>
              </w:rPr>
              <w:t>1</w:t>
            </w:r>
            <w:r>
              <w:rPr>
                <w:rStyle w:val="8"/>
                <w:rFonts w:hint="default" w:ascii="Times New Roman" w:hAnsi="Times New Roman" w:cs="Times New Roman"/>
                <w:sz w:val="20"/>
                <w:szCs w:val="20"/>
              </w:rPr>
              <w:t>分，</w:t>
            </w:r>
            <w:r>
              <w:rPr>
                <w:rStyle w:val="9"/>
                <w:sz w:val="20"/>
                <w:szCs w:val="20"/>
              </w:rPr>
              <w:t>1</w:t>
            </w:r>
            <w:r>
              <w:rPr>
                <w:rStyle w:val="8"/>
                <w:rFonts w:hint="default" w:ascii="Times New Roman" w:hAnsi="Times New Roman" w:cs="Times New Roman"/>
                <w:sz w:val="20"/>
                <w:szCs w:val="20"/>
              </w:rPr>
              <w:t>例不符合本指标</w:t>
            </w:r>
            <w:r>
              <w:rPr>
                <w:rStyle w:val="9"/>
                <w:sz w:val="20"/>
                <w:szCs w:val="20"/>
              </w:rPr>
              <w:t>6</w:t>
            </w:r>
            <w:r>
              <w:rPr>
                <w:rStyle w:val="8"/>
                <w:rFonts w:hint="default" w:ascii="Times New Roman" w:hAnsi="Times New Roman" w:cs="Times New Roman"/>
                <w:sz w:val="20"/>
                <w:szCs w:val="20"/>
              </w:rPr>
              <w:t>分全扣；</w:t>
            </w:r>
            <w:r>
              <w:rPr>
                <w:rStyle w:val="9"/>
                <w:sz w:val="20"/>
                <w:szCs w:val="20"/>
              </w:rPr>
              <w:br w:type="textWrapping"/>
            </w:r>
            <w:r>
              <w:rPr>
                <w:rStyle w:val="8"/>
                <w:rFonts w:hint="default" w:ascii="Times New Roman" w:hAnsi="Times New Roman" w:cs="Times New Roman"/>
                <w:sz w:val="20"/>
                <w:szCs w:val="20"/>
              </w:rPr>
              <w:t>⑥</w:t>
            </w:r>
            <w:r>
              <w:rPr>
                <w:rStyle w:val="8"/>
                <w:rFonts w:hint="default" w:ascii="Times New Roman" w:hAnsi="Times New Roman" w:cs="Times New Roman"/>
                <w:spacing w:val="-6"/>
                <w:sz w:val="20"/>
                <w:szCs w:val="20"/>
              </w:rPr>
              <w:t>不存在重复申报项目、虚报冒领资金，计</w:t>
            </w:r>
            <w:r>
              <w:rPr>
                <w:rStyle w:val="9"/>
                <w:spacing w:val="-6"/>
                <w:sz w:val="20"/>
                <w:szCs w:val="20"/>
              </w:rPr>
              <w:t>1</w:t>
            </w:r>
            <w:r>
              <w:rPr>
                <w:rStyle w:val="8"/>
                <w:rFonts w:hint="default" w:ascii="Times New Roman" w:hAnsi="Times New Roman" w:cs="Times New Roman"/>
                <w:spacing w:val="-6"/>
                <w:sz w:val="20"/>
                <w:szCs w:val="20"/>
              </w:rPr>
              <w:t>分，</w:t>
            </w:r>
            <w:r>
              <w:rPr>
                <w:rStyle w:val="9"/>
                <w:spacing w:val="-6"/>
                <w:sz w:val="20"/>
                <w:szCs w:val="20"/>
              </w:rPr>
              <w:t>1</w:t>
            </w:r>
            <w:r>
              <w:rPr>
                <w:rStyle w:val="8"/>
                <w:rFonts w:hint="default" w:ascii="Times New Roman" w:hAnsi="Times New Roman" w:cs="Times New Roman"/>
                <w:spacing w:val="-6"/>
                <w:sz w:val="20"/>
                <w:szCs w:val="20"/>
              </w:rPr>
              <w:t>例不符合本指标6分全扣；</w:t>
            </w:r>
            <w:r>
              <w:rPr>
                <w:rStyle w:val="8"/>
                <w:rFonts w:hint="default" w:ascii="Times New Roman" w:hAnsi="Times New Roman" w:cs="Times New Roman"/>
                <w:sz w:val="20"/>
                <w:szCs w:val="20"/>
              </w:rPr>
              <w:br w:type="textWrapping"/>
            </w:r>
            <w:r>
              <w:rPr>
                <w:rStyle w:val="8"/>
                <w:rFonts w:hint="default" w:ascii="Times New Roman" w:hAnsi="Times New Roman" w:cs="Times New Roman"/>
                <w:sz w:val="20"/>
                <w:szCs w:val="20"/>
              </w:rPr>
              <w:t>⑦违规情况特别严重的，重点绩效评价等级定为“差”。</w:t>
            </w:r>
          </w:p>
        </w:tc>
        <w:tc>
          <w:tcPr>
            <w:tcW w:w="618" w:type="dxa"/>
            <w:noWrap/>
            <w:tcMar>
              <w:top w:w="15" w:type="dxa"/>
              <w:left w:w="15" w:type="dxa"/>
              <w:right w:w="15" w:type="dxa"/>
            </w:tcMar>
            <w:vAlign w:val="center"/>
          </w:tcPr>
          <w:p>
            <w:pPr>
              <w:widowControl/>
              <w:spacing w:line="26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654" w:type="dxa"/>
            <w:vMerge w:val="restart"/>
            <w:noWrap/>
            <w:tcMar>
              <w:top w:w="15" w:type="dxa"/>
              <w:left w:w="15" w:type="dxa"/>
              <w:right w:w="15" w:type="dxa"/>
            </w:tcMar>
            <w:vAlign w:val="center"/>
          </w:tcPr>
          <w:p>
            <w:pPr>
              <w:spacing w:line="280" w:lineRule="exact"/>
              <w:jc w:val="center"/>
              <w:rPr>
                <w:color w:val="000000"/>
                <w:sz w:val="20"/>
                <w:szCs w:val="20"/>
              </w:rPr>
            </w:pPr>
            <w:r>
              <w:rPr>
                <w:rStyle w:val="8"/>
                <w:rFonts w:hint="default" w:ascii="Times New Roman" w:hAnsi="Times New Roman" w:cs="Times New Roman"/>
                <w:sz w:val="20"/>
                <w:szCs w:val="20"/>
              </w:rPr>
              <w:t>过程</w:t>
            </w:r>
            <w:r>
              <w:rPr>
                <w:rStyle w:val="9"/>
                <w:sz w:val="20"/>
                <w:szCs w:val="20"/>
              </w:rPr>
              <w:br w:type="textWrapping"/>
            </w:r>
            <w:r>
              <w:rPr>
                <w:rStyle w:val="8"/>
                <w:rFonts w:hint="default" w:ascii="Times New Roman" w:hAnsi="Times New Roman" w:cs="Times New Roman"/>
                <w:sz w:val="20"/>
                <w:szCs w:val="20"/>
              </w:rPr>
              <w:t>（</w:t>
            </w:r>
            <w:r>
              <w:rPr>
                <w:rStyle w:val="9"/>
                <w:sz w:val="20"/>
                <w:szCs w:val="20"/>
              </w:rPr>
              <w:t>40</w:t>
            </w:r>
            <w:r>
              <w:rPr>
                <w:rStyle w:val="8"/>
                <w:rFonts w:hint="default" w:ascii="Times New Roman" w:hAnsi="Times New Roman" w:cs="Times New Roman"/>
                <w:sz w:val="20"/>
                <w:szCs w:val="20"/>
              </w:rPr>
              <w:t>分）</w:t>
            </w:r>
          </w:p>
        </w:tc>
        <w:tc>
          <w:tcPr>
            <w:tcW w:w="655" w:type="dxa"/>
            <w:vMerge w:val="restart"/>
            <w:noWrap/>
            <w:tcMar>
              <w:top w:w="15" w:type="dxa"/>
              <w:left w:w="15" w:type="dxa"/>
              <w:right w:w="15" w:type="dxa"/>
            </w:tcMar>
            <w:vAlign w:val="center"/>
          </w:tcPr>
          <w:p>
            <w:pPr>
              <w:widowControl/>
              <w:spacing w:line="260" w:lineRule="exact"/>
              <w:jc w:val="center"/>
              <w:textAlignment w:val="center"/>
              <w:rPr>
                <w:color w:val="000000"/>
                <w:sz w:val="20"/>
                <w:szCs w:val="20"/>
              </w:rPr>
            </w:pPr>
            <w:r>
              <w:rPr>
                <w:rStyle w:val="8"/>
                <w:rFonts w:hint="default" w:ascii="Times New Roman" w:hAnsi="Times New Roman" w:cs="Times New Roman"/>
                <w:sz w:val="20"/>
                <w:szCs w:val="20"/>
              </w:rPr>
              <w:t>预算</w:t>
            </w:r>
            <w:r>
              <w:rPr>
                <w:rStyle w:val="9"/>
                <w:sz w:val="20"/>
                <w:szCs w:val="20"/>
              </w:rPr>
              <w:br w:type="textWrapping"/>
            </w:r>
            <w:r>
              <w:rPr>
                <w:rStyle w:val="8"/>
                <w:rFonts w:hint="default" w:ascii="Times New Roman" w:hAnsi="Times New Roman" w:cs="Times New Roman"/>
                <w:sz w:val="20"/>
                <w:szCs w:val="20"/>
              </w:rPr>
              <w:t>管理</w:t>
            </w:r>
            <w:r>
              <w:rPr>
                <w:rStyle w:val="9"/>
                <w:sz w:val="20"/>
                <w:szCs w:val="20"/>
              </w:rPr>
              <w:br w:type="textWrapping"/>
            </w:r>
            <w:r>
              <w:rPr>
                <w:rStyle w:val="8"/>
                <w:rFonts w:hint="default" w:ascii="Times New Roman" w:hAnsi="Times New Roman" w:cs="Times New Roman"/>
                <w:sz w:val="20"/>
                <w:szCs w:val="20"/>
              </w:rPr>
              <w:t>（</w:t>
            </w:r>
            <w:r>
              <w:rPr>
                <w:rStyle w:val="9"/>
                <w:sz w:val="20"/>
                <w:szCs w:val="20"/>
              </w:rPr>
              <w:t>20</w:t>
            </w:r>
            <w:r>
              <w:rPr>
                <w:rStyle w:val="8"/>
                <w:rFonts w:hint="default" w:ascii="Times New Roman" w:hAnsi="Times New Roman" w:cs="Times New Roman"/>
                <w:sz w:val="20"/>
                <w:szCs w:val="20"/>
              </w:rPr>
              <w:t>分）</w:t>
            </w:r>
          </w:p>
        </w:tc>
        <w:tc>
          <w:tcPr>
            <w:tcW w:w="567" w:type="dxa"/>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信息</w:t>
            </w:r>
          </w:p>
          <w:p>
            <w:pPr>
              <w:widowControl/>
              <w:spacing w:line="280" w:lineRule="exact"/>
              <w:jc w:val="center"/>
              <w:textAlignment w:val="center"/>
              <w:rPr>
                <w:color w:val="000000"/>
                <w:sz w:val="20"/>
                <w:szCs w:val="20"/>
              </w:rPr>
            </w:pPr>
            <w:r>
              <w:rPr>
                <w:color w:val="000000"/>
                <w:kern w:val="0"/>
                <w:sz w:val="20"/>
                <w:szCs w:val="20"/>
              </w:rPr>
              <w:t>公开性</w:t>
            </w:r>
          </w:p>
        </w:tc>
        <w:tc>
          <w:tcPr>
            <w:tcW w:w="324" w:type="dxa"/>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134" w:type="dxa"/>
            <w:noWrap/>
            <w:tcMar>
              <w:top w:w="15" w:type="dxa"/>
              <w:left w:w="15" w:type="dxa"/>
              <w:right w:w="15" w:type="dxa"/>
            </w:tcMar>
            <w:vAlign w:val="center"/>
          </w:tcPr>
          <w:p>
            <w:pPr>
              <w:widowControl/>
              <w:spacing w:line="280" w:lineRule="exact"/>
              <w:jc w:val="left"/>
              <w:textAlignment w:val="center"/>
              <w:rPr>
                <w:color w:val="000000"/>
                <w:sz w:val="20"/>
                <w:szCs w:val="20"/>
              </w:rPr>
            </w:pPr>
            <w:r>
              <w:rPr>
                <w:rStyle w:val="8"/>
                <w:rFonts w:hint="default" w:ascii="Times New Roman" w:hAnsi="Times New Roman" w:cs="Times New Roman"/>
                <w:sz w:val="20"/>
                <w:szCs w:val="20"/>
              </w:rPr>
              <w:t>①预算单位按规定及时、准确、完整的公开预决算和绩效管理信息；</w:t>
            </w:r>
            <w:r>
              <w:rPr>
                <w:rStyle w:val="9"/>
                <w:sz w:val="20"/>
                <w:szCs w:val="20"/>
              </w:rPr>
              <w:br w:type="textWrapping"/>
            </w:r>
            <w:r>
              <w:rPr>
                <w:rStyle w:val="8"/>
                <w:rFonts w:hint="default" w:ascii="Times New Roman" w:hAnsi="Times New Roman" w:cs="Times New Roman"/>
                <w:sz w:val="20"/>
                <w:szCs w:val="20"/>
              </w:rPr>
              <w:t>②基础数据信息和会计信息资料真实、准确、完整；</w:t>
            </w:r>
          </w:p>
        </w:tc>
        <w:tc>
          <w:tcPr>
            <w:tcW w:w="1134" w:type="dxa"/>
            <w:noWrap/>
            <w:tcMar>
              <w:top w:w="15" w:type="dxa"/>
              <w:left w:w="15" w:type="dxa"/>
              <w:right w:w="15" w:type="dxa"/>
            </w:tcMar>
            <w:vAlign w:val="center"/>
          </w:tcPr>
          <w:p>
            <w:pPr>
              <w:widowControl/>
              <w:spacing w:line="280" w:lineRule="exact"/>
              <w:textAlignment w:val="center"/>
              <w:rPr>
                <w:color w:val="000000"/>
                <w:sz w:val="20"/>
                <w:szCs w:val="20"/>
              </w:rPr>
            </w:pPr>
            <w:r>
              <w:rPr>
                <w:rStyle w:val="8"/>
                <w:rFonts w:hint="default" w:ascii="Times New Roman" w:hAnsi="Times New Roman" w:cs="Times New Roman"/>
                <w:sz w:val="20"/>
                <w:szCs w:val="20"/>
              </w:rPr>
              <w:t>①、②各计</w:t>
            </w:r>
            <w:r>
              <w:rPr>
                <w:rStyle w:val="9"/>
                <w:sz w:val="20"/>
                <w:szCs w:val="20"/>
              </w:rPr>
              <w:t>1</w:t>
            </w:r>
            <w:r>
              <w:rPr>
                <w:rStyle w:val="8"/>
                <w:rFonts w:hint="default" w:ascii="Times New Roman" w:hAnsi="Times New Roman" w:cs="Times New Roman"/>
                <w:sz w:val="20"/>
                <w:szCs w:val="20"/>
              </w:rPr>
              <w:t>分，否则，酌情扣分；</w:t>
            </w:r>
          </w:p>
        </w:tc>
        <w:tc>
          <w:tcPr>
            <w:tcW w:w="618" w:type="dxa"/>
            <w:noWrap/>
            <w:tcMar>
              <w:top w:w="15" w:type="dxa"/>
              <w:left w:w="15" w:type="dxa"/>
              <w:right w:w="15" w:type="dxa"/>
            </w:tcMar>
            <w:vAlign w:val="center"/>
          </w:tcPr>
          <w:p>
            <w:pPr>
              <w:widowControl/>
              <w:spacing w:line="28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654" w:type="dxa"/>
            <w:vMerge w:val="continue"/>
            <w:noWrap/>
            <w:tcMar>
              <w:top w:w="15" w:type="dxa"/>
              <w:left w:w="15" w:type="dxa"/>
              <w:right w:w="15" w:type="dxa"/>
            </w:tcMar>
            <w:vAlign w:val="center"/>
          </w:tcPr>
          <w:p>
            <w:pPr>
              <w:spacing w:line="280" w:lineRule="exact"/>
              <w:jc w:val="center"/>
              <w:rPr>
                <w:color w:val="000000"/>
                <w:sz w:val="20"/>
                <w:szCs w:val="20"/>
              </w:rPr>
            </w:pPr>
          </w:p>
        </w:tc>
        <w:tc>
          <w:tcPr>
            <w:tcW w:w="655" w:type="dxa"/>
            <w:vMerge w:val="continue"/>
            <w:noWrap/>
            <w:tcMar>
              <w:top w:w="15" w:type="dxa"/>
              <w:left w:w="15" w:type="dxa"/>
              <w:right w:w="15" w:type="dxa"/>
            </w:tcMar>
            <w:vAlign w:val="center"/>
          </w:tcPr>
          <w:p>
            <w:pPr>
              <w:spacing w:line="280" w:lineRule="exact"/>
              <w:jc w:val="center"/>
              <w:rPr>
                <w:color w:val="000000"/>
                <w:sz w:val="20"/>
                <w:szCs w:val="20"/>
              </w:rPr>
            </w:pPr>
          </w:p>
        </w:tc>
        <w:tc>
          <w:tcPr>
            <w:tcW w:w="567" w:type="dxa"/>
            <w:noWrap/>
            <w:tcMar>
              <w:top w:w="15" w:type="dxa"/>
              <w:left w:w="15" w:type="dxa"/>
              <w:right w:w="15" w:type="dxa"/>
            </w:tcMar>
            <w:vAlign w:val="center"/>
          </w:tcPr>
          <w:p>
            <w:pPr>
              <w:widowControl/>
              <w:spacing w:line="280" w:lineRule="exact"/>
              <w:jc w:val="center"/>
              <w:textAlignment w:val="center"/>
              <w:rPr>
                <w:color w:val="000000"/>
                <w:sz w:val="20"/>
                <w:szCs w:val="20"/>
              </w:rPr>
            </w:pPr>
            <w:r>
              <w:rPr>
                <w:rStyle w:val="8"/>
                <w:rFonts w:hint="default" w:ascii="Times New Roman" w:hAnsi="Times New Roman" w:cs="Times New Roman"/>
                <w:sz w:val="20"/>
                <w:szCs w:val="20"/>
              </w:rPr>
              <w:t>绩效自评</w:t>
            </w:r>
            <w:r>
              <w:rPr>
                <w:rStyle w:val="9"/>
                <w:sz w:val="20"/>
                <w:szCs w:val="20"/>
              </w:rPr>
              <w:br w:type="textWrapping"/>
            </w:r>
            <w:r>
              <w:rPr>
                <w:rStyle w:val="8"/>
                <w:rFonts w:hint="default" w:ascii="Times New Roman" w:hAnsi="Times New Roman" w:cs="Times New Roman"/>
                <w:sz w:val="20"/>
                <w:szCs w:val="20"/>
              </w:rPr>
              <w:t>管理情况</w:t>
            </w:r>
          </w:p>
        </w:tc>
        <w:tc>
          <w:tcPr>
            <w:tcW w:w="324" w:type="dxa"/>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4</w:t>
            </w:r>
          </w:p>
        </w:tc>
        <w:tc>
          <w:tcPr>
            <w:tcW w:w="1134" w:type="dxa"/>
            <w:noWrap/>
            <w:tcMar>
              <w:top w:w="15" w:type="dxa"/>
              <w:left w:w="15" w:type="dxa"/>
              <w:right w:w="15" w:type="dxa"/>
            </w:tcMar>
            <w:vAlign w:val="center"/>
          </w:tcPr>
          <w:p>
            <w:pPr>
              <w:widowControl/>
              <w:spacing w:line="280" w:lineRule="exact"/>
              <w:jc w:val="left"/>
              <w:textAlignment w:val="center"/>
              <w:rPr>
                <w:color w:val="000000"/>
                <w:sz w:val="20"/>
                <w:szCs w:val="20"/>
              </w:rPr>
            </w:pPr>
            <w:r>
              <w:rPr>
                <w:rStyle w:val="8"/>
                <w:rFonts w:hint="default" w:ascii="Times New Roman" w:hAnsi="Times New Roman" w:cs="Times New Roman"/>
                <w:sz w:val="20"/>
                <w:szCs w:val="20"/>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134" w:type="dxa"/>
            <w:noWrap/>
            <w:tcMar>
              <w:top w:w="15" w:type="dxa"/>
              <w:left w:w="15" w:type="dxa"/>
              <w:right w:w="15" w:type="dxa"/>
            </w:tcMar>
            <w:vAlign w:val="center"/>
          </w:tcPr>
          <w:p>
            <w:pPr>
              <w:widowControl/>
              <w:spacing w:line="280" w:lineRule="exact"/>
              <w:textAlignment w:val="center"/>
              <w:rPr>
                <w:color w:val="000000"/>
                <w:sz w:val="20"/>
                <w:szCs w:val="20"/>
              </w:rPr>
            </w:pPr>
            <w:r>
              <w:rPr>
                <w:rStyle w:val="8"/>
                <w:rFonts w:hint="default" w:ascii="Times New Roman" w:hAnsi="Times New Roman" w:cs="Times New Roman"/>
                <w:sz w:val="20"/>
                <w:szCs w:val="20"/>
              </w:rPr>
              <w:t>根据</w:t>
            </w:r>
            <w:r>
              <w:rPr>
                <w:rStyle w:val="8"/>
                <w:rFonts w:hint="default" w:cs="Times New Roman"/>
                <w:sz w:val="20"/>
                <w:szCs w:val="20"/>
              </w:rPr>
              <w:t>区</w:t>
            </w:r>
            <w:r>
              <w:rPr>
                <w:rStyle w:val="8"/>
                <w:rFonts w:hint="default" w:ascii="Times New Roman" w:hAnsi="Times New Roman" w:cs="Times New Roman"/>
                <w:sz w:val="20"/>
                <w:szCs w:val="20"/>
              </w:rPr>
              <w:t>财政局2020年考核结果，评审为优，计</w:t>
            </w:r>
            <w:r>
              <w:rPr>
                <w:rStyle w:val="9"/>
                <w:sz w:val="20"/>
                <w:szCs w:val="20"/>
              </w:rPr>
              <w:t>4</w:t>
            </w:r>
            <w:r>
              <w:rPr>
                <w:rStyle w:val="8"/>
                <w:rFonts w:hint="default" w:ascii="Times New Roman" w:hAnsi="Times New Roman" w:cs="Times New Roman"/>
                <w:sz w:val="20"/>
                <w:szCs w:val="20"/>
              </w:rPr>
              <w:t>分；评审为良，计</w:t>
            </w:r>
            <w:r>
              <w:rPr>
                <w:rStyle w:val="9"/>
                <w:sz w:val="20"/>
                <w:szCs w:val="20"/>
              </w:rPr>
              <w:t>3</w:t>
            </w:r>
            <w:r>
              <w:rPr>
                <w:rStyle w:val="8"/>
                <w:rFonts w:hint="default" w:ascii="Times New Roman" w:hAnsi="Times New Roman" w:cs="Times New Roman"/>
                <w:sz w:val="20"/>
                <w:szCs w:val="20"/>
              </w:rPr>
              <w:t>分；评审为中，计</w:t>
            </w:r>
            <w:r>
              <w:rPr>
                <w:rStyle w:val="9"/>
                <w:sz w:val="20"/>
                <w:szCs w:val="20"/>
              </w:rPr>
              <w:t>2</w:t>
            </w:r>
            <w:r>
              <w:rPr>
                <w:rStyle w:val="8"/>
                <w:rFonts w:hint="default" w:ascii="Times New Roman" w:hAnsi="Times New Roman" w:cs="Times New Roman"/>
                <w:sz w:val="20"/>
                <w:szCs w:val="20"/>
              </w:rPr>
              <w:t>分；评审为低，计</w:t>
            </w:r>
            <w:r>
              <w:rPr>
                <w:rStyle w:val="9"/>
                <w:sz w:val="20"/>
                <w:szCs w:val="20"/>
              </w:rPr>
              <w:t>1</w:t>
            </w:r>
            <w:r>
              <w:rPr>
                <w:rStyle w:val="8"/>
                <w:rFonts w:hint="default" w:ascii="Times New Roman" w:hAnsi="Times New Roman" w:cs="Times New Roman"/>
                <w:sz w:val="20"/>
                <w:szCs w:val="20"/>
              </w:rPr>
              <w:t>分；评审为差，计</w:t>
            </w:r>
            <w:r>
              <w:rPr>
                <w:rStyle w:val="9"/>
                <w:sz w:val="20"/>
                <w:szCs w:val="20"/>
              </w:rPr>
              <w:t>0</w:t>
            </w:r>
            <w:r>
              <w:rPr>
                <w:rStyle w:val="8"/>
                <w:rFonts w:hint="default" w:ascii="Times New Roman" w:hAnsi="Times New Roman" w:cs="Times New Roman"/>
                <w:sz w:val="20"/>
                <w:szCs w:val="20"/>
              </w:rPr>
              <w:t>分。</w:t>
            </w:r>
          </w:p>
        </w:tc>
        <w:tc>
          <w:tcPr>
            <w:tcW w:w="618" w:type="dxa"/>
            <w:noWrap/>
            <w:tcMar>
              <w:top w:w="15" w:type="dxa"/>
              <w:left w:w="15" w:type="dxa"/>
              <w:right w:w="15" w:type="dxa"/>
            </w:tcMar>
            <w:vAlign w:val="center"/>
          </w:tcPr>
          <w:p>
            <w:pPr>
              <w:widowControl/>
              <w:spacing w:line="28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654" w:type="dxa"/>
            <w:vMerge w:val="continue"/>
            <w:noWrap/>
            <w:tcMar>
              <w:top w:w="15" w:type="dxa"/>
              <w:left w:w="15" w:type="dxa"/>
              <w:right w:w="15" w:type="dxa"/>
            </w:tcMar>
            <w:vAlign w:val="center"/>
          </w:tcPr>
          <w:p>
            <w:pPr>
              <w:spacing w:line="280" w:lineRule="exact"/>
              <w:jc w:val="center"/>
              <w:rPr>
                <w:color w:val="000000"/>
                <w:sz w:val="20"/>
                <w:szCs w:val="20"/>
              </w:rPr>
            </w:pPr>
          </w:p>
        </w:tc>
        <w:tc>
          <w:tcPr>
            <w:tcW w:w="655" w:type="dxa"/>
            <w:vMerge w:val="continue"/>
            <w:noWrap/>
            <w:tcMar>
              <w:top w:w="15" w:type="dxa"/>
              <w:left w:w="15" w:type="dxa"/>
              <w:right w:w="15" w:type="dxa"/>
            </w:tcMar>
            <w:vAlign w:val="center"/>
          </w:tcPr>
          <w:p>
            <w:pPr>
              <w:spacing w:line="280" w:lineRule="exact"/>
              <w:jc w:val="center"/>
              <w:rPr>
                <w:color w:val="000000"/>
                <w:sz w:val="20"/>
                <w:szCs w:val="20"/>
              </w:rPr>
            </w:pPr>
          </w:p>
        </w:tc>
        <w:tc>
          <w:tcPr>
            <w:tcW w:w="567" w:type="dxa"/>
            <w:noWrap/>
            <w:tcMar>
              <w:top w:w="15" w:type="dxa"/>
              <w:left w:w="15" w:type="dxa"/>
              <w:right w:w="15" w:type="dxa"/>
            </w:tcMar>
            <w:vAlign w:val="center"/>
          </w:tcPr>
          <w:p>
            <w:pPr>
              <w:widowControl/>
              <w:spacing w:line="280" w:lineRule="exact"/>
              <w:jc w:val="center"/>
              <w:textAlignment w:val="center"/>
              <w:rPr>
                <w:color w:val="000000"/>
                <w:sz w:val="20"/>
                <w:szCs w:val="20"/>
              </w:rPr>
            </w:pPr>
            <w:r>
              <w:rPr>
                <w:rStyle w:val="8"/>
                <w:rFonts w:hint="default" w:ascii="Times New Roman" w:hAnsi="Times New Roman" w:cs="Times New Roman"/>
                <w:sz w:val="20"/>
                <w:szCs w:val="20"/>
              </w:rPr>
              <w:t>重点绩效评价整改情况</w:t>
            </w:r>
          </w:p>
        </w:tc>
        <w:tc>
          <w:tcPr>
            <w:tcW w:w="324" w:type="dxa"/>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5</w:t>
            </w:r>
          </w:p>
        </w:tc>
        <w:tc>
          <w:tcPr>
            <w:tcW w:w="1134" w:type="dxa"/>
            <w:noWrap/>
            <w:tcMar>
              <w:top w:w="15" w:type="dxa"/>
              <w:left w:w="15" w:type="dxa"/>
              <w:right w:w="15" w:type="dxa"/>
            </w:tcMar>
            <w:vAlign w:val="center"/>
          </w:tcPr>
          <w:p>
            <w:pPr>
              <w:widowControl/>
              <w:spacing w:line="280" w:lineRule="exact"/>
              <w:jc w:val="left"/>
              <w:textAlignment w:val="center"/>
              <w:rPr>
                <w:color w:val="000000"/>
                <w:sz w:val="20"/>
                <w:szCs w:val="20"/>
              </w:rPr>
            </w:pPr>
            <w:r>
              <w:rPr>
                <w:rStyle w:val="8"/>
                <w:rFonts w:hint="default" w:ascii="Times New Roman" w:hAnsi="Times New Roman" w:cs="Times New Roman"/>
                <w:sz w:val="20"/>
                <w:szCs w:val="20"/>
              </w:rPr>
              <w:t>对上年度财政重点评价中存在的问题是否进行整改。</w:t>
            </w:r>
          </w:p>
        </w:tc>
        <w:tc>
          <w:tcPr>
            <w:tcW w:w="1134" w:type="dxa"/>
            <w:noWrap/>
            <w:tcMar>
              <w:top w:w="15" w:type="dxa"/>
              <w:left w:w="15" w:type="dxa"/>
              <w:right w:w="15" w:type="dxa"/>
            </w:tcMar>
            <w:vAlign w:val="center"/>
          </w:tcPr>
          <w:p>
            <w:pPr>
              <w:widowControl/>
              <w:spacing w:line="280" w:lineRule="exact"/>
              <w:textAlignment w:val="center"/>
              <w:rPr>
                <w:color w:val="000000"/>
                <w:sz w:val="20"/>
                <w:szCs w:val="20"/>
              </w:rPr>
            </w:pPr>
            <w:r>
              <w:rPr>
                <w:rStyle w:val="8"/>
                <w:rFonts w:hint="default" w:ascii="Times New Roman" w:hAnsi="Times New Roman" w:cs="Times New Roman"/>
                <w:sz w:val="20"/>
                <w:szCs w:val="20"/>
              </w:rPr>
              <w:t>2019年重点评价问题全部整改，计</w:t>
            </w:r>
            <w:r>
              <w:rPr>
                <w:rStyle w:val="9"/>
                <w:sz w:val="20"/>
                <w:szCs w:val="20"/>
              </w:rPr>
              <w:t>5</w:t>
            </w:r>
            <w:r>
              <w:rPr>
                <w:rStyle w:val="8"/>
                <w:rFonts w:hint="default" w:ascii="Times New Roman" w:hAnsi="Times New Roman" w:cs="Times New Roman"/>
                <w:sz w:val="20"/>
                <w:szCs w:val="20"/>
              </w:rPr>
              <w:t>分；2019年重点评价问题部分整改，计</w:t>
            </w:r>
            <w:r>
              <w:rPr>
                <w:rStyle w:val="9"/>
                <w:sz w:val="20"/>
                <w:szCs w:val="20"/>
              </w:rPr>
              <w:t>3</w:t>
            </w:r>
            <w:r>
              <w:rPr>
                <w:rStyle w:val="8"/>
                <w:rFonts w:hint="default" w:ascii="Times New Roman" w:hAnsi="Times New Roman" w:cs="Times New Roman"/>
                <w:sz w:val="20"/>
                <w:szCs w:val="20"/>
              </w:rPr>
              <w:t>分；2019年重点评价问题未整改且无整改情况说明的不计分。</w:t>
            </w:r>
          </w:p>
        </w:tc>
        <w:tc>
          <w:tcPr>
            <w:tcW w:w="618" w:type="dxa"/>
            <w:noWrap/>
            <w:tcMar>
              <w:top w:w="15" w:type="dxa"/>
              <w:left w:w="15" w:type="dxa"/>
              <w:right w:w="15" w:type="dxa"/>
            </w:tcMar>
            <w:vAlign w:val="center"/>
          </w:tcPr>
          <w:p>
            <w:pPr>
              <w:widowControl/>
              <w:spacing w:line="28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654" w:type="dxa"/>
            <w:vMerge w:val="continue"/>
            <w:noWrap/>
            <w:tcMar>
              <w:top w:w="15" w:type="dxa"/>
              <w:left w:w="15" w:type="dxa"/>
              <w:right w:w="15" w:type="dxa"/>
            </w:tcMar>
            <w:vAlign w:val="center"/>
          </w:tcPr>
          <w:p>
            <w:pPr>
              <w:widowControl/>
              <w:spacing w:line="280" w:lineRule="exact"/>
              <w:jc w:val="center"/>
              <w:textAlignment w:val="center"/>
              <w:rPr>
                <w:color w:val="000000"/>
                <w:sz w:val="20"/>
                <w:szCs w:val="20"/>
              </w:rPr>
            </w:pPr>
          </w:p>
        </w:tc>
        <w:tc>
          <w:tcPr>
            <w:tcW w:w="655" w:type="dxa"/>
            <w:vMerge w:val="restart"/>
            <w:noWrap/>
            <w:tcMar>
              <w:top w:w="15" w:type="dxa"/>
              <w:left w:w="15" w:type="dxa"/>
              <w:right w:w="15" w:type="dxa"/>
            </w:tcMar>
            <w:vAlign w:val="center"/>
          </w:tcPr>
          <w:p>
            <w:pPr>
              <w:widowControl/>
              <w:spacing w:line="280" w:lineRule="exact"/>
              <w:jc w:val="center"/>
              <w:textAlignment w:val="center"/>
              <w:rPr>
                <w:color w:val="000000"/>
                <w:sz w:val="20"/>
                <w:szCs w:val="20"/>
              </w:rPr>
            </w:pPr>
            <w:r>
              <w:rPr>
                <w:rStyle w:val="8"/>
                <w:rFonts w:hint="default" w:ascii="Times New Roman" w:hAnsi="Times New Roman" w:cs="Times New Roman"/>
                <w:sz w:val="20"/>
                <w:szCs w:val="20"/>
              </w:rPr>
              <w:t>资产</w:t>
            </w:r>
            <w:r>
              <w:rPr>
                <w:rStyle w:val="9"/>
                <w:sz w:val="20"/>
                <w:szCs w:val="20"/>
              </w:rPr>
              <w:br w:type="textWrapping"/>
            </w:r>
            <w:r>
              <w:rPr>
                <w:rStyle w:val="8"/>
                <w:rFonts w:hint="default" w:ascii="Times New Roman" w:hAnsi="Times New Roman" w:cs="Times New Roman"/>
                <w:sz w:val="20"/>
                <w:szCs w:val="20"/>
              </w:rPr>
              <w:t>管理</w:t>
            </w:r>
            <w:r>
              <w:rPr>
                <w:rStyle w:val="9"/>
                <w:sz w:val="20"/>
                <w:szCs w:val="20"/>
              </w:rPr>
              <w:br w:type="textWrapping"/>
            </w:r>
            <w:r>
              <w:rPr>
                <w:rStyle w:val="8"/>
                <w:rFonts w:hint="default" w:ascii="Times New Roman" w:hAnsi="Times New Roman" w:cs="Times New Roman"/>
                <w:sz w:val="20"/>
                <w:szCs w:val="20"/>
              </w:rPr>
              <w:t>（</w:t>
            </w:r>
            <w:r>
              <w:rPr>
                <w:rStyle w:val="9"/>
                <w:sz w:val="20"/>
                <w:szCs w:val="20"/>
              </w:rPr>
              <w:t>5</w:t>
            </w:r>
            <w:r>
              <w:rPr>
                <w:rStyle w:val="8"/>
                <w:rFonts w:hint="default" w:ascii="Times New Roman" w:hAnsi="Times New Roman" w:cs="Times New Roman"/>
                <w:sz w:val="20"/>
                <w:szCs w:val="20"/>
              </w:rPr>
              <w:t>分）</w:t>
            </w:r>
          </w:p>
        </w:tc>
        <w:tc>
          <w:tcPr>
            <w:tcW w:w="567" w:type="dxa"/>
            <w:noWrap/>
            <w:tcMar>
              <w:top w:w="15" w:type="dxa"/>
              <w:left w:w="15" w:type="dxa"/>
              <w:right w:w="15" w:type="dxa"/>
            </w:tcMar>
            <w:vAlign w:val="center"/>
          </w:tcPr>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资产</w:t>
            </w:r>
          </w:p>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管理</w:t>
            </w:r>
            <w:r>
              <w:rPr>
                <w:rStyle w:val="9"/>
                <w:sz w:val="20"/>
                <w:szCs w:val="20"/>
              </w:rPr>
              <w:br w:type="textWrapping"/>
            </w:r>
            <w:r>
              <w:rPr>
                <w:rStyle w:val="8"/>
                <w:rFonts w:hint="default" w:ascii="Times New Roman" w:hAnsi="Times New Roman" w:cs="Times New Roman"/>
                <w:sz w:val="20"/>
                <w:szCs w:val="20"/>
              </w:rPr>
              <w:t>制度</w:t>
            </w:r>
          </w:p>
          <w:p>
            <w:pPr>
              <w:widowControl/>
              <w:spacing w:line="280" w:lineRule="exact"/>
              <w:jc w:val="center"/>
              <w:textAlignment w:val="center"/>
              <w:rPr>
                <w:color w:val="000000"/>
                <w:sz w:val="20"/>
                <w:szCs w:val="20"/>
              </w:rPr>
            </w:pPr>
            <w:r>
              <w:rPr>
                <w:rStyle w:val="8"/>
                <w:rFonts w:hint="default" w:ascii="Times New Roman" w:hAnsi="Times New Roman" w:cs="Times New Roman"/>
                <w:sz w:val="20"/>
                <w:szCs w:val="20"/>
              </w:rPr>
              <w:t>健全性</w:t>
            </w:r>
          </w:p>
        </w:tc>
        <w:tc>
          <w:tcPr>
            <w:tcW w:w="324" w:type="dxa"/>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134" w:type="dxa"/>
            <w:noWrap/>
            <w:tcMar>
              <w:top w:w="15" w:type="dxa"/>
              <w:left w:w="15" w:type="dxa"/>
              <w:right w:w="15" w:type="dxa"/>
            </w:tcMar>
            <w:vAlign w:val="center"/>
          </w:tcPr>
          <w:p>
            <w:pPr>
              <w:widowControl/>
              <w:spacing w:line="280" w:lineRule="exact"/>
              <w:jc w:val="left"/>
              <w:textAlignment w:val="center"/>
              <w:rPr>
                <w:color w:val="000000"/>
                <w:sz w:val="20"/>
                <w:szCs w:val="20"/>
              </w:rPr>
            </w:pPr>
            <w:r>
              <w:rPr>
                <w:rStyle w:val="8"/>
                <w:rFonts w:hint="default" w:ascii="Times New Roman" w:hAnsi="Times New Roman" w:cs="Times New Roman"/>
                <w:sz w:val="20"/>
                <w:szCs w:val="20"/>
              </w:rPr>
              <w:t>①是否已制定合法、合规、完整的资产管理制度；</w:t>
            </w:r>
            <w:r>
              <w:rPr>
                <w:rStyle w:val="9"/>
                <w:sz w:val="20"/>
                <w:szCs w:val="20"/>
              </w:rPr>
              <w:br w:type="textWrapping"/>
            </w:r>
            <w:r>
              <w:rPr>
                <w:rStyle w:val="8"/>
                <w:rFonts w:hint="default" w:ascii="Times New Roman" w:hAnsi="Times New Roman" w:cs="Times New Roman"/>
                <w:sz w:val="20"/>
                <w:szCs w:val="20"/>
              </w:rPr>
              <w:t>②相关资产管理制度是否得到有效执行；</w:t>
            </w:r>
            <w:r>
              <w:rPr>
                <w:rStyle w:val="9"/>
                <w:sz w:val="20"/>
                <w:szCs w:val="20"/>
              </w:rPr>
              <w:br w:type="textWrapping"/>
            </w:r>
            <w:r>
              <w:rPr>
                <w:rStyle w:val="8"/>
                <w:rFonts w:hint="default" w:ascii="Times New Roman" w:hAnsi="Times New Roman" w:cs="Times New Roman"/>
                <w:sz w:val="20"/>
                <w:szCs w:val="20"/>
              </w:rPr>
              <w:t>③资产配置是否编制年度预算；</w:t>
            </w:r>
            <w:r>
              <w:rPr>
                <w:rStyle w:val="8"/>
                <w:rFonts w:hint="default" w:ascii="Times New Roman" w:hAnsi="Times New Roman" w:cs="Times New Roman"/>
                <w:sz w:val="20"/>
                <w:szCs w:val="20"/>
              </w:rPr>
              <w:br w:type="textWrapping"/>
            </w:r>
            <w:r>
              <w:rPr>
                <w:rStyle w:val="8"/>
                <w:rFonts w:hint="default" w:ascii="Times New Roman" w:hAnsi="Times New Roman" w:cs="Times New Roman"/>
                <w:sz w:val="20"/>
                <w:szCs w:val="20"/>
              </w:rPr>
              <w:t>④资产配置预算实际执行情况。</w:t>
            </w:r>
          </w:p>
        </w:tc>
        <w:tc>
          <w:tcPr>
            <w:tcW w:w="1134" w:type="dxa"/>
            <w:noWrap/>
            <w:tcMar>
              <w:top w:w="15" w:type="dxa"/>
              <w:left w:w="15" w:type="dxa"/>
              <w:right w:w="15" w:type="dxa"/>
            </w:tcMar>
            <w:vAlign w:val="center"/>
          </w:tcPr>
          <w:p>
            <w:pPr>
              <w:widowControl/>
              <w:spacing w:line="280" w:lineRule="exact"/>
              <w:textAlignment w:val="center"/>
              <w:rPr>
                <w:color w:val="000000"/>
                <w:sz w:val="20"/>
                <w:szCs w:val="20"/>
              </w:rPr>
            </w:pPr>
            <w:r>
              <w:rPr>
                <w:rStyle w:val="8"/>
                <w:rFonts w:hint="default" w:ascii="Times New Roman" w:hAnsi="Times New Roman" w:cs="Times New Roman"/>
                <w:sz w:val="20"/>
                <w:szCs w:val="20"/>
              </w:rPr>
              <w:t>①已制定合法、合规、完整的资产管理制度，计</w:t>
            </w:r>
            <w:r>
              <w:rPr>
                <w:rStyle w:val="9"/>
                <w:sz w:val="20"/>
                <w:szCs w:val="20"/>
              </w:rPr>
              <w:t>0.5</w:t>
            </w:r>
            <w:r>
              <w:rPr>
                <w:rStyle w:val="8"/>
                <w:rFonts w:hint="default" w:ascii="Times New Roman" w:hAnsi="Times New Roman" w:cs="Times New Roman"/>
                <w:sz w:val="20"/>
                <w:szCs w:val="20"/>
              </w:rPr>
              <w:t>分，否则不得分；</w:t>
            </w:r>
            <w:r>
              <w:rPr>
                <w:rStyle w:val="9"/>
                <w:sz w:val="20"/>
                <w:szCs w:val="20"/>
              </w:rPr>
              <w:br w:type="textWrapping"/>
            </w:r>
            <w:r>
              <w:rPr>
                <w:rStyle w:val="8"/>
                <w:rFonts w:hint="default" w:ascii="Times New Roman" w:hAnsi="Times New Roman" w:cs="Times New Roman"/>
                <w:sz w:val="20"/>
                <w:szCs w:val="20"/>
              </w:rPr>
              <w:t>②相关资产管理制度得到有效执行，计</w:t>
            </w:r>
            <w:r>
              <w:rPr>
                <w:rStyle w:val="9"/>
                <w:sz w:val="20"/>
                <w:szCs w:val="20"/>
              </w:rPr>
              <w:t>0.5</w:t>
            </w:r>
            <w:r>
              <w:rPr>
                <w:rStyle w:val="8"/>
                <w:rFonts w:hint="default" w:ascii="Times New Roman" w:hAnsi="Times New Roman" w:cs="Times New Roman"/>
                <w:sz w:val="20"/>
                <w:szCs w:val="20"/>
              </w:rPr>
              <w:t>分，否则，不得分；</w:t>
            </w:r>
            <w:r>
              <w:rPr>
                <w:rStyle w:val="9"/>
                <w:sz w:val="20"/>
                <w:szCs w:val="20"/>
              </w:rPr>
              <w:br w:type="textWrapping"/>
            </w:r>
            <w:r>
              <w:rPr>
                <w:rStyle w:val="8"/>
                <w:rFonts w:hint="default" w:ascii="Times New Roman" w:hAnsi="Times New Roman" w:cs="Times New Roman"/>
                <w:sz w:val="20"/>
                <w:szCs w:val="20"/>
              </w:rPr>
              <w:t>③资产管理编制年度预算，计</w:t>
            </w:r>
            <w:r>
              <w:rPr>
                <w:rStyle w:val="9"/>
                <w:sz w:val="20"/>
                <w:szCs w:val="20"/>
              </w:rPr>
              <w:t>0.5</w:t>
            </w:r>
            <w:r>
              <w:rPr>
                <w:rStyle w:val="8"/>
                <w:rFonts w:hint="default" w:ascii="Times New Roman" w:hAnsi="Times New Roman" w:cs="Times New Roman"/>
                <w:sz w:val="20"/>
                <w:szCs w:val="20"/>
              </w:rPr>
              <w:t>分，未编制不得分。</w:t>
            </w:r>
            <w:r>
              <w:rPr>
                <w:rStyle w:val="9"/>
                <w:sz w:val="20"/>
                <w:szCs w:val="20"/>
              </w:rPr>
              <w:br w:type="textWrapping"/>
            </w:r>
            <w:r>
              <w:rPr>
                <w:rStyle w:val="8"/>
                <w:rFonts w:hint="default" w:ascii="Times New Roman" w:hAnsi="Times New Roman" w:cs="Times New Roman"/>
                <w:sz w:val="20"/>
                <w:szCs w:val="20"/>
              </w:rPr>
              <w:t>④资产配置预算实际执行情况未超年度预算（按程序审批除外），计</w:t>
            </w:r>
            <w:r>
              <w:rPr>
                <w:rStyle w:val="9"/>
                <w:sz w:val="20"/>
                <w:szCs w:val="20"/>
              </w:rPr>
              <w:t>0.5</w:t>
            </w:r>
            <w:r>
              <w:rPr>
                <w:rStyle w:val="8"/>
                <w:rFonts w:hint="default" w:ascii="Times New Roman" w:hAnsi="Times New Roman" w:cs="Times New Roman"/>
                <w:sz w:val="20"/>
                <w:szCs w:val="20"/>
              </w:rPr>
              <w:t>分，否则，不得分。</w:t>
            </w:r>
          </w:p>
        </w:tc>
        <w:tc>
          <w:tcPr>
            <w:tcW w:w="618" w:type="dxa"/>
            <w:noWrap/>
            <w:tcMar>
              <w:top w:w="15" w:type="dxa"/>
              <w:left w:w="15" w:type="dxa"/>
              <w:right w:w="15" w:type="dxa"/>
            </w:tcMar>
            <w:vAlign w:val="center"/>
          </w:tcPr>
          <w:p>
            <w:pPr>
              <w:widowControl/>
              <w:spacing w:line="28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654" w:type="dxa"/>
            <w:vMerge w:val="continue"/>
            <w:noWrap/>
            <w:tcMar>
              <w:top w:w="15" w:type="dxa"/>
              <w:left w:w="15" w:type="dxa"/>
              <w:right w:w="15" w:type="dxa"/>
            </w:tcMar>
            <w:vAlign w:val="center"/>
          </w:tcPr>
          <w:p>
            <w:pPr>
              <w:spacing w:line="280" w:lineRule="exact"/>
              <w:jc w:val="center"/>
              <w:rPr>
                <w:color w:val="000000"/>
                <w:sz w:val="20"/>
                <w:szCs w:val="20"/>
              </w:rPr>
            </w:pPr>
          </w:p>
        </w:tc>
        <w:tc>
          <w:tcPr>
            <w:tcW w:w="655" w:type="dxa"/>
            <w:vMerge w:val="continue"/>
            <w:noWrap/>
            <w:tcMar>
              <w:top w:w="15" w:type="dxa"/>
              <w:left w:w="15" w:type="dxa"/>
              <w:right w:w="15" w:type="dxa"/>
            </w:tcMar>
            <w:vAlign w:val="center"/>
          </w:tcPr>
          <w:p>
            <w:pPr>
              <w:spacing w:line="280" w:lineRule="exact"/>
              <w:jc w:val="center"/>
              <w:rPr>
                <w:color w:val="000000"/>
                <w:sz w:val="20"/>
                <w:szCs w:val="20"/>
              </w:rPr>
            </w:pPr>
          </w:p>
        </w:tc>
        <w:tc>
          <w:tcPr>
            <w:tcW w:w="567" w:type="dxa"/>
            <w:noWrap/>
            <w:tcMar>
              <w:top w:w="15" w:type="dxa"/>
              <w:left w:w="15" w:type="dxa"/>
              <w:right w:w="15" w:type="dxa"/>
            </w:tcMar>
            <w:vAlign w:val="center"/>
          </w:tcPr>
          <w:p>
            <w:pPr>
              <w:widowControl/>
              <w:spacing w:line="280" w:lineRule="exact"/>
              <w:jc w:val="center"/>
              <w:textAlignment w:val="center"/>
              <w:rPr>
                <w:color w:val="000000"/>
                <w:sz w:val="20"/>
                <w:szCs w:val="20"/>
              </w:rPr>
            </w:pPr>
            <w:r>
              <w:rPr>
                <w:rStyle w:val="8"/>
                <w:rFonts w:hint="default" w:ascii="Times New Roman" w:hAnsi="Times New Roman" w:cs="Times New Roman"/>
                <w:sz w:val="20"/>
                <w:szCs w:val="20"/>
              </w:rPr>
              <w:t>资产管理</w:t>
            </w:r>
            <w:r>
              <w:rPr>
                <w:rStyle w:val="9"/>
                <w:sz w:val="20"/>
                <w:szCs w:val="20"/>
              </w:rPr>
              <w:br w:type="textWrapping"/>
            </w:r>
            <w:r>
              <w:rPr>
                <w:rStyle w:val="8"/>
                <w:rFonts w:hint="default" w:ascii="Times New Roman" w:hAnsi="Times New Roman" w:cs="Times New Roman"/>
                <w:sz w:val="20"/>
                <w:szCs w:val="20"/>
              </w:rPr>
              <w:t>安全性</w:t>
            </w:r>
          </w:p>
        </w:tc>
        <w:tc>
          <w:tcPr>
            <w:tcW w:w="324" w:type="dxa"/>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2</w:t>
            </w:r>
          </w:p>
        </w:tc>
        <w:tc>
          <w:tcPr>
            <w:tcW w:w="1134" w:type="dxa"/>
            <w:noWrap/>
            <w:tcMar>
              <w:top w:w="15" w:type="dxa"/>
              <w:left w:w="15" w:type="dxa"/>
              <w:right w:w="15" w:type="dxa"/>
            </w:tcMar>
            <w:vAlign w:val="center"/>
          </w:tcPr>
          <w:p>
            <w:pPr>
              <w:widowControl/>
              <w:spacing w:line="280" w:lineRule="exact"/>
              <w:jc w:val="left"/>
              <w:textAlignment w:val="center"/>
              <w:rPr>
                <w:color w:val="000000"/>
                <w:sz w:val="20"/>
                <w:szCs w:val="20"/>
              </w:rPr>
            </w:pPr>
            <w:r>
              <w:rPr>
                <w:rStyle w:val="8"/>
                <w:rFonts w:hint="default" w:ascii="Times New Roman" w:hAnsi="Times New Roman" w:cs="Times New Roman"/>
                <w:sz w:val="20"/>
                <w:szCs w:val="20"/>
              </w:rPr>
              <w:t>①资产保存是否完整并有台账；</w:t>
            </w:r>
            <w:r>
              <w:rPr>
                <w:rStyle w:val="9"/>
                <w:sz w:val="20"/>
                <w:szCs w:val="20"/>
              </w:rPr>
              <w:br w:type="textWrapping"/>
            </w:r>
            <w:r>
              <w:rPr>
                <w:rStyle w:val="8"/>
                <w:rFonts w:hint="default" w:ascii="Times New Roman" w:hAnsi="Times New Roman" w:cs="Times New Roman"/>
                <w:sz w:val="20"/>
                <w:szCs w:val="20"/>
              </w:rPr>
              <w:t>②资产配置是否合理；</w:t>
            </w:r>
            <w:r>
              <w:rPr>
                <w:rStyle w:val="9"/>
                <w:sz w:val="20"/>
                <w:szCs w:val="20"/>
              </w:rPr>
              <w:br w:type="textWrapping"/>
            </w:r>
            <w:r>
              <w:rPr>
                <w:rStyle w:val="8"/>
                <w:rFonts w:hint="default" w:ascii="Times New Roman" w:hAnsi="Times New Roman" w:cs="Times New Roman"/>
                <w:sz w:val="20"/>
                <w:szCs w:val="20"/>
              </w:rPr>
              <w:t>③资产处置是否规范；</w:t>
            </w:r>
            <w:r>
              <w:rPr>
                <w:rStyle w:val="9"/>
                <w:sz w:val="20"/>
                <w:szCs w:val="20"/>
              </w:rPr>
              <w:br w:type="textWrapping"/>
            </w:r>
            <w:r>
              <w:rPr>
                <w:rStyle w:val="8"/>
                <w:rFonts w:hint="default" w:ascii="Times New Roman" w:hAnsi="Times New Roman" w:cs="Times New Roman"/>
                <w:sz w:val="20"/>
                <w:szCs w:val="20"/>
              </w:rPr>
              <w:t>④资产账务管理是否合规，是否</w:t>
            </w:r>
            <w:r>
              <w:rPr>
                <w:rStyle w:val="8"/>
                <w:rFonts w:hint="eastAsia" w:cs="Times New Roman"/>
                <w:sz w:val="20"/>
                <w:szCs w:val="20"/>
                <w:lang w:eastAsia="zh-CN"/>
              </w:rPr>
              <w:t>账</w:t>
            </w:r>
            <w:r>
              <w:rPr>
                <w:rStyle w:val="8"/>
                <w:rFonts w:hint="default" w:ascii="Times New Roman" w:hAnsi="Times New Roman" w:cs="Times New Roman"/>
                <w:sz w:val="20"/>
                <w:szCs w:val="20"/>
              </w:rPr>
              <w:t>实相符；</w:t>
            </w:r>
            <w:r>
              <w:rPr>
                <w:rStyle w:val="9"/>
                <w:sz w:val="20"/>
                <w:szCs w:val="20"/>
              </w:rPr>
              <w:br w:type="textWrapping"/>
            </w:r>
            <w:r>
              <w:rPr>
                <w:rStyle w:val="8"/>
                <w:rFonts w:hint="default" w:ascii="Times New Roman" w:hAnsi="Times New Roman" w:cs="Times New Roman"/>
                <w:sz w:val="20"/>
                <w:szCs w:val="20"/>
              </w:rPr>
              <w:t>⑤资产是否有偿使用或处置收入及时足额上缴；</w:t>
            </w:r>
            <w:r>
              <w:rPr>
                <w:rStyle w:val="9"/>
                <w:sz w:val="20"/>
                <w:szCs w:val="20"/>
              </w:rPr>
              <w:br w:type="textWrapping"/>
            </w:r>
            <w:r>
              <w:rPr>
                <w:rStyle w:val="8"/>
                <w:rFonts w:hint="default" w:ascii="Times New Roman" w:hAnsi="Times New Roman" w:cs="Times New Roman"/>
                <w:sz w:val="20"/>
                <w:szCs w:val="20"/>
              </w:rPr>
              <w:t>⑥相关资产购置是否履行政府采购手续；</w:t>
            </w:r>
            <w:r>
              <w:rPr>
                <w:rStyle w:val="9"/>
                <w:sz w:val="20"/>
                <w:szCs w:val="20"/>
              </w:rPr>
              <w:br w:type="textWrapping"/>
            </w:r>
            <w:r>
              <w:rPr>
                <w:rStyle w:val="8"/>
                <w:rFonts w:hint="default" w:ascii="Times New Roman" w:hAnsi="Times New Roman" w:cs="Times New Roman"/>
                <w:sz w:val="20"/>
                <w:szCs w:val="20"/>
              </w:rPr>
              <w:t>⑦资产是否定期进行盘点并有记录。</w:t>
            </w:r>
          </w:p>
        </w:tc>
        <w:tc>
          <w:tcPr>
            <w:tcW w:w="1134" w:type="dxa"/>
            <w:noWrap/>
            <w:tcMar>
              <w:top w:w="15" w:type="dxa"/>
              <w:left w:w="15" w:type="dxa"/>
              <w:right w:w="15" w:type="dxa"/>
            </w:tcMar>
            <w:vAlign w:val="center"/>
          </w:tcPr>
          <w:p>
            <w:pPr>
              <w:widowControl/>
              <w:spacing w:line="280" w:lineRule="exact"/>
              <w:textAlignment w:val="center"/>
              <w:rPr>
                <w:color w:val="000000"/>
                <w:sz w:val="20"/>
                <w:szCs w:val="20"/>
              </w:rPr>
            </w:pPr>
            <w:r>
              <w:rPr>
                <w:rStyle w:val="8"/>
                <w:rFonts w:hint="default" w:ascii="Times New Roman" w:hAnsi="Times New Roman" w:cs="Times New Roman"/>
                <w:sz w:val="20"/>
                <w:szCs w:val="20"/>
              </w:rPr>
              <w:t>①资产配置合理符合标准、保管完整，账务管理规范，定期盘点并有台账，账实相符的，计</w:t>
            </w:r>
            <w:r>
              <w:rPr>
                <w:rStyle w:val="9"/>
                <w:sz w:val="20"/>
                <w:szCs w:val="20"/>
              </w:rPr>
              <w:t>0.5</w:t>
            </w:r>
            <w:r>
              <w:rPr>
                <w:rStyle w:val="8"/>
                <w:rFonts w:hint="default" w:ascii="Times New Roman" w:hAnsi="Times New Roman" w:cs="Times New Roman"/>
                <w:sz w:val="20"/>
                <w:szCs w:val="20"/>
              </w:rPr>
              <w:t>分，发现一例不符，扣</w:t>
            </w:r>
            <w:r>
              <w:rPr>
                <w:rStyle w:val="9"/>
                <w:sz w:val="20"/>
                <w:szCs w:val="20"/>
              </w:rPr>
              <w:t>0.1</w:t>
            </w:r>
            <w:r>
              <w:rPr>
                <w:rStyle w:val="8"/>
                <w:rFonts w:hint="default" w:ascii="Times New Roman" w:hAnsi="Times New Roman" w:cs="Times New Roman"/>
                <w:sz w:val="20"/>
                <w:szCs w:val="20"/>
              </w:rPr>
              <w:t>分，扣完为止；</w:t>
            </w:r>
            <w:r>
              <w:rPr>
                <w:rStyle w:val="9"/>
                <w:sz w:val="20"/>
                <w:szCs w:val="20"/>
              </w:rPr>
              <w:br w:type="textWrapping"/>
            </w:r>
            <w:r>
              <w:rPr>
                <w:rStyle w:val="8"/>
                <w:rFonts w:hint="default" w:ascii="Times New Roman" w:hAnsi="Times New Roman" w:cs="Times New Roman"/>
                <w:sz w:val="20"/>
                <w:szCs w:val="20"/>
              </w:rPr>
              <w:t>②资产处置规范，计0.5分，发现一例不符，扣0.1分，扣完为止；</w:t>
            </w:r>
            <w:r>
              <w:rPr>
                <w:rStyle w:val="9"/>
                <w:sz w:val="20"/>
                <w:szCs w:val="20"/>
              </w:rPr>
              <w:br w:type="textWrapping"/>
            </w:r>
            <w:r>
              <w:rPr>
                <w:rStyle w:val="8"/>
                <w:rFonts w:hint="default" w:ascii="Times New Roman" w:hAnsi="Times New Roman" w:cs="Times New Roman"/>
                <w:sz w:val="20"/>
                <w:szCs w:val="20"/>
              </w:rPr>
              <w:t>③资产有偿使用或处置收入及时足额上缴，计0.5分，发现未上缴，本项不得分；</w:t>
            </w:r>
            <w:r>
              <w:rPr>
                <w:rStyle w:val="9"/>
                <w:sz w:val="20"/>
                <w:szCs w:val="20"/>
              </w:rPr>
              <w:br w:type="textWrapping"/>
            </w:r>
            <w:r>
              <w:rPr>
                <w:rStyle w:val="8"/>
                <w:rFonts w:hint="default" w:ascii="Times New Roman" w:hAnsi="Times New Roman" w:cs="Times New Roman"/>
                <w:sz w:val="20"/>
                <w:szCs w:val="20"/>
              </w:rPr>
              <w:t>④资产购置履行政府采购手续，计0.5分，发现一例不符，扣0.1分，扣完为止；</w:t>
            </w:r>
          </w:p>
        </w:tc>
        <w:tc>
          <w:tcPr>
            <w:tcW w:w="618" w:type="dxa"/>
            <w:noWrap/>
            <w:tcMar>
              <w:top w:w="15" w:type="dxa"/>
              <w:left w:w="15" w:type="dxa"/>
              <w:right w:w="15" w:type="dxa"/>
            </w:tcMar>
            <w:vAlign w:val="center"/>
          </w:tcPr>
          <w:p>
            <w:pPr>
              <w:widowControl/>
              <w:spacing w:line="280" w:lineRule="exact"/>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654" w:type="dxa"/>
            <w:vMerge w:val="continue"/>
            <w:noWrap/>
            <w:tcMar>
              <w:top w:w="15" w:type="dxa"/>
              <w:left w:w="15" w:type="dxa"/>
              <w:right w:w="15" w:type="dxa"/>
            </w:tcMar>
            <w:vAlign w:val="center"/>
          </w:tcPr>
          <w:p>
            <w:pPr>
              <w:spacing w:line="280" w:lineRule="exact"/>
              <w:jc w:val="center"/>
              <w:rPr>
                <w:color w:val="000000"/>
                <w:sz w:val="20"/>
                <w:szCs w:val="20"/>
              </w:rPr>
            </w:pPr>
          </w:p>
        </w:tc>
        <w:tc>
          <w:tcPr>
            <w:tcW w:w="655" w:type="dxa"/>
            <w:vMerge w:val="continue"/>
            <w:noWrap/>
            <w:tcMar>
              <w:top w:w="15" w:type="dxa"/>
              <w:left w:w="15" w:type="dxa"/>
              <w:right w:w="15" w:type="dxa"/>
            </w:tcMar>
            <w:vAlign w:val="center"/>
          </w:tcPr>
          <w:p>
            <w:pPr>
              <w:spacing w:line="280" w:lineRule="exact"/>
              <w:jc w:val="center"/>
              <w:rPr>
                <w:color w:val="000000"/>
                <w:sz w:val="20"/>
                <w:szCs w:val="20"/>
              </w:rPr>
            </w:pPr>
          </w:p>
        </w:tc>
        <w:tc>
          <w:tcPr>
            <w:tcW w:w="567" w:type="dxa"/>
            <w:noWrap/>
            <w:tcMar>
              <w:top w:w="15" w:type="dxa"/>
              <w:left w:w="15" w:type="dxa"/>
              <w:right w:w="15" w:type="dxa"/>
            </w:tcMar>
            <w:vAlign w:val="center"/>
          </w:tcPr>
          <w:p>
            <w:pPr>
              <w:widowControl/>
              <w:spacing w:line="280" w:lineRule="exact"/>
              <w:jc w:val="center"/>
              <w:textAlignment w:val="center"/>
              <w:rPr>
                <w:color w:val="000000"/>
                <w:sz w:val="20"/>
                <w:szCs w:val="20"/>
              </w:rPr>
            </w:pPr>
            <w:r>
              <w:rPr>
                <w:rStyle w:val="8"/>
                <w:rFonts w:hint="default" w:ascii="Times New Roman" w:hAnsi="Times New Roman" w:cs="Times New Roman"/>
                <w:sz w:val="20"/>
                <w:szCs w:val="20"/>
              </w:rPr>
              <w:t>固定资产</w:t>
            </w:r>
            <w:r>
              <w:rPr>
                <w:rStyle w:val="9"/>
                <w:sz w:val="20"/>
                <w:szCs w:val="20"/>
              </w:rPr>
              <w:br w:type="textWrapping"/>
            </w:r>
            <w:r>
              <w:rPr>
                <w:rStyle w:val="8"/>
                <w:rFonts w:hint="default" w:ascii="Times New Roman" w:hAnsi="Times New Roman" w:cs="Times New Roman"/>
                <w:sz w:val="20"/>
                <w:szCs w:val="20"/>
              </w:rPr>
              <w:t>保管和使用情况</w:t>
            </w:r>
          </w:p>
        </w:tc>
        <w:tc>
          <w:tcPr>
            <w:tcW w:w="324" w:type="dxa"/>
            <w:noWrap/>
            <w:tcMar>
              <w:top w:w="15" w:type="dxa"/>
              <w:left w:w="15" w:type="dxa"/>
              <w:right w:w="15" w:type="dxa"/>
            </w:tcMar>
            <w:vAlign w:val="center"/>
          </w:tcPr>
          <w:p>
            <w:pPr>
              <w:widowControl/>
              <w:spacing w:line="280" w:lineRule="exact"/>
              <w:jc w:val="center"/>
              <w:textAlignment w:val="center"/>
              <w:rPr>
                <w:color w:val="000000"/>
                <w:sz w:val="20"/>
                <w:szCs w:val="20"/>
              </w:rPr>
            </w:pPr>
            <w:r>
              <w:rPr>
                <w:color w:val="000000"/>
                <w:kern w:val="0"/>
                <w:sz w:val="20"/>
                <w:szCs w:val="20"/>
              </w:rPr>
              <w:t>1</w:t>
            </w:r>
          </w:p>
        </w:tc>
        <w:tc>
          <w:tcPr>
            <w:tcW w:w="1134" w:type="dxa"/>
            <w:noWrap/>
            <w:tcMar>
              <w:top w:w="15" w:type="dxa"/>
              <w:left w:w="15" w:type="dxa"/>
              <w:right w:w="15" w:type="dxa"/>
            </w:tcMar>
            <w:vAlign w:val="center"/>
          </w:tcPr>
          <w:p>
            <w:pPr>
              <w:widowControl/>
              <w:spacing w:line="280" w:lineRule="exact"/>
              <w:jc w:val="left"/>
              <w:textAlignment w:val="center"/>
              <w:rPr>
                <w:color w:val="000000"/>
                <w:sz w:val="20"/>
                <w:szCs w:val="20"/>
              </w:rPr>
            </w:pPr>
            <w:r>
              <w:rPr>
                <w:color w:val="000000"/>
                <w:kern w:val="0"/>
                <w:sz w:val="20"/>
                <w:szCs w:val="20"/>
              </w:rPr>
              <w:t>①是否建立固定资产台账，实行编码管理；</w:t>
            </w:r>
            <w:r>
              <w:rPr>
                <w:color w:val="000000"/>
                <w:kern w:val="0"/>
                <w:sz w:val="20"/>
                <w:szCs w:val="20"/>
              </w:rPr>
              <w:br w:type="textWrapping"/>
            </w:r>
            <w:r>
              <w:rPr>
                <w:color w:val="000000"/>
                <w:kern w:val="0"/>
                <w:sz w:val="20"/>
                <w:szCs w:val="20"/>
              </w:rPr>
              <w:t>②固定资产增减变化是否建立审批程序；</w:t>
            </w:r>
          </w:p>
        </w:tc>
        <w:tc>
          <w:tcPr>
            <w:tcW w:w="1134" w:type="dxa"/>
            <w:noWrap/>
            <w:tcMar>
              <w:top w:w="15" w:type="dxa"/>
              <w:left w:w="15" w:type="dxa"/>
              <w:right w:w="15" w:type="dxa"/>
            </w:tcMar>
            <w:vAlign w:val="center"/>
          </w:tcPr>
          <w:p>
            <w:pPr>
              <w:widowControl/>
              <w:spacing w:line="280" w:lineRule="exact"/>
              <w:textAlignment w:val="center"/>
              <w:rPr>
                <w:color w:val="000000"/>
                <w:sz w:val="20"/>
                <w:szCs w:val="20"/>
              </w:rPr>
            </w:pPr>
            <w:r>
              <w:rPr>
                <w:color w:val="000000"/>
                <w:kern w:val="0"/>
                <w:sz w:val="20"/>
                <w:szCs w:val="20"/>
              </w:rPr>
              <w:t>建了固定资产台账实行编码管理的计0.5分；建立了固定资产增减变化审批程序的计0.5分，否则不得分。</w:t>
            </w:r>
          </w:p>
        </w:tc>
        <w:tc>
          <w:tcPr>
            <w:tcW w:w="618" w:type="dxa"/>
            <w:noWrap/>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654" w:type="dxa"/>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产出</w:t>
            </w:r>
          </w:p>
          <w:p>
            <w:pPr>
              <w:spacing w:line="280" w:lineRule="exact"/>
              <w:jc w:val="center"/>
              <w:rPr>
                <w:color w:val="000000"/>
                <w:sz w:val="20"/>
                <w:szCs w:val="20"/>
              </w:rPr>
            </w:pPr>
            <w:r>
              <w:rPr>
                <w:color w:val="000000"/>
                <w:sz w:val="20"/>
                <w:szCs w:val="20"/>
              </w:rPr>
              <w:t>（25分）</w:t>
            </w:r>
          </w:p>
        </w:tc>
        <w:tc>
          <w:tcPr>
            <w:tcW w:w="655" w:type="dxa"/>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职责</w:t>
            </w:r>
          </w:p>
          <w:p>
            <w:pPr>
              <w:spacing w:line="280" w:lineRule="exact"/>
              <w:jc w:val="center"/>
              <w:rPr>
                <w:color w:val="000000"/>
                <w:sz w:val="20"/>
                <w:szCs w:val="20"/>
              </w:rPr>
            </w:pPr>
            <w:r>
              <w:rPr>
                <w:color w:val="000000"/>
                <w:sz w:val="20"/>
                <w:szCs w:val="20"/>
              </w:rPr>
              <w:t>履行</w:t>
            </w:r>
          </w:p>
          <w:p>
            <w:pPr>
              <w:spacing w:line="280" w:lineRule="exact"/>
              <w:jc w:val="center"/>
              <w:rPr>
                <w:color w:val="000000"/>
                <w:sz w:val="20"/>
                <w:szCs w:val="20"/>
              </w:rPr>
            </w:pPr>
            <w:r>
              <w:rPr>
                <w:color w:val="000000"/>
                <w:sz w:val="20"/>
                <w:szCs w:val="20"/>
              </w:rPr>
              <w:t>（25分）</w:t>
            </w:r>
          </w:p>
        </w:tc>
        <w:tc>
          <w:tcPr>
            <w:tcW w:w="567" w:type="dxa"/>
            <w:noWrap/>
            <w:tcMar>
              <w:top w:w="15" w:type="dxa"/>
              <w:left w:w="15" w:type="dxa"/>
              <w:right w:w="15" w:type="dxa"/>
            </w:tcMar>
            <w:vAlign w:val="center"/>
          </w:tcPr>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实际</w:t>
            </w:r>
          </w:p>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完成率</w:t>
            </w:r>
          </w:p>
        </w:tc>
        <w:tc>
          <w:tcPr>
            <w:tcW w:w="324" w:type="dxa"/>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134" w:type="dxa"/>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部门履行职责而实际完成工作数与计划工作数的比率，用以反映和考核部门履职工作任务目标的实现程度。</w:t>
            </w:r>
          </w:p>
        </w:tc>
        <w:tc>
          <w:tcPr>
            <w:tcW w:w="1134" w:type="dxa"/>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实际完成率=（实际完成工作数/计划工作数）*100%。实际完成工作数：一定时期（年度或规划期）内部门实际完成工作任务的数量。</w:t>
            </w:r>
          </w:p>
          <w:p>
            <w:pPr>
              <w:widowControl/>
              <w:spacing w:line="280" w:lineRule="exact"/>
              <w:textAlignment w:val="center"/>
              <w:rPr>
                <w:color w:val="000000"/>
                <w:kern w:val="0"/>
                <w:sz w:val="20"/>
                <w:szCs w:val="20"/>
              </w:rPr>
            </w:pPr>
            <w:r>
              <w:rPr>
                <w:color w:val="000000"/>
                <w:kern w:val="0"/>
                <w:sz w:val="20"/>
                <w:szCs w:val="20"/>
              </w:rPr>
              <w:t>计划工作数：部门整体绩效目标确定的一定时期（年度或规划期）内预计完成工作任务的数量。</w:t>
            </w:r>
          </w:p>
        </w:tc>
        <w:tc>
          <w:tcPr>
            <w:tcW w:w="618" w:type="dxa"/>
            <w:noWrap/>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654" w:type="dxa"/>
            <w:vMerge w:val="continue"/>
            <w:noWrap/>
            <w:tcMar>
              <w:top w:w="15" w:type="dxa"/>
              <w:left w:w="15" w:type="dxa"/>
              <w:right w:w="15" w:type="dxa"/>
            </w:tcMar>
            <w:vAlign w:val="center"/>
          </w:tcPr>
          <w:p>
            <w:pPr>
              <w:spacing w:line="280" w:lineRule="exact"/>
              <w:jc w:val="center"/>
              <w:rPr>
                <w:color w:val="000000"/>
                <w:sz w:val="20"/>
                <w:szCs w:val="20"/>
              </w:rPr>
            </w:pPr>
          </w:p>
        </w:tc>
        <w:tc>
          <w:tcPr>
            <w:tcW w:w="655" w:type="dxa"/>
            <w:vMerge w:val="continue"/>
            <w:noWrap/>
            <w:tcMar>
              <w:top w:w="15" w:type="dxa"/>
              <w:left w:w="15" w:type="dxa"/>
              <w:right w:w="15" w:type="dxa"/>
            </w:tcMar>
            <w:vAlign w:val="center"/>
          </w:tcPr>
          <w:p>
            <w:pPr>
              <w:spacing w:line="280" w:lineRule="exact"/>
              <w:jc w:val="center"/>
              <w:rPr>
                <w:color w:val="000000"/>
                <w:sz w:val="20"/>
                <w:szCs w:val="20"/>
              </w:rPr>
            </w:pPr>
          </w:p>
        </w:tc>
        <w:tc>
          <w:tcPr>
            <w:tcW w:w="567" w:type="dxa"/>
            <w:noWrap/>
            <w:tcMar>
              <w:top w:w="15" w:type="dxa"/>
              <w:left w:w="15" w:type="dxa"/>
              <w:right w:w="15" w:type="dxa"/>
            </w:tcMar>
            <w:vAlign w:val="center"/>
          </w:tcPr>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完成</w:t>
            </w:r>
          </w:p>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及时性</w:t>
            </w:r>
          </w:p>
        </w:tc>
        <w:tc>
          <w:tcPr>
            <w:tcW w:w="324" w:type="dxa"/>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134" w:type="dxa"/>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部门在规定时限内及时完成的实际工作数与计划工作数的比率，用以反映和考核部门履职实效目标的实现程度。</w:t>
            </w:r>
          </w:p>
        </w:tc>
        <w:tc>
          <w:tcPr>
            <w:tcW w:w="1134" w:type="dxa"/>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完成及时率=（及时完成实际工作数/计划工作数）*100%。及时完成工作数：部门按照整体绩效目标确定的时限实际完成的工作任务数量。</w:t>
            </w:r>
          </w:p>
        </w:tc>
        <w:tc>
          <w:tcPr>
            <w:tcW w:w="618" w:type="dxa"/>
            <w:noWrap/>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654" w:type="dxa"/>
            <w:vMerge w:val="continue"/>
            <w:noWrap/>
            <w:tcMar>
              <w:top w:w="15" w:type="dxa"/>
              <w:left w:w="15" w:type="dxa"/>
              <w:right w:w="15" w:type="dxa"/>
            </w:tcMar>
            <w:vAlign w:val="center"/>
          </w:tcPr>
          <w:p>
            <w:pPr>
              <w:spacing w:line="280" w:lineRule="exact"/>
              <w:jc w:val="center"/>
              <w:rPr>
                <w:color w:val="000000"/>
                <w:sz w:val="20"/>
                <w:szCs w:val="20"/>
              </w:rPr>
            </w:pPr>
          </w:p>
        </w:tc>
        <w:tc>
          <w:tcPr>
            <w:tcW w:w="655" w:type="dxa"/>
            <w:vMerge w:val="continue"/>
            <w:noWrap/>
            <w:tcMar>
              <w:top w:w="15" w:type="dxa"/>
              <w:left w:w="15" w:type="dxa"/>
              <w:right w:w="15" w:type="dxa"/>
            </w:tcMar>
            <w:vAlign w:val="center"/>
          </w:tcPr>
          <w:p>
            <w:pPr>
              <w:spacing w:line="280" w:lineRule="exact"/>
              <w:jc w:val="center"/>
              <w:rPr>
                <w:color w:val="000000"/>
                <w:sz w:val="20"/>
                <w:szCs w:val="20"/>
              </w:rPr>
            </w:pPr>
          </w:p>
        </w:tc>
        <w:tc>
          <w:tcPr>
            <w:tcW w:w="567" w:type="dxa"/>
            <w:noWrap/>
            <w:tcMar>
              <w:top w:w="15" w:type="dxa"/>
              <w:left w:w="15" w:type="dxa"/>
              <w:right w:w="15" w:type="dxa"/>
            </w:tcMar>
            <w:vAlign w:val="center"/>
          </w:tcPr>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质量</w:t>
            </w:r>
          </w:p>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达标率</w:t>
            </w:r>
          </w:p>
        </w:tc>
        <w:tc>
          <w:tcPr>
            <w:tcW w:w="324" w:type="dxa"/>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134" w:type="dxa"/>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达到质量标准（绩效标准值）的实际工作数与计划工作数的比率，用以反映和考核部门履职时效目标的实现程度。</w:t>
            </w:r>
          </w:p>
        </w:tc>
        <w:tc>
          <w:tcPr>
            <w:tcW w:w="1134" w:type="dxa"/>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质量达标率=（质量达标实际工作数/计划工作数）*100%。质量达标实际工作数：一定时期（年度或规划期）内部门实际完成工作数中达到部门绩效目标要求（绩效标准值）的工作任务数量。</w:t>
            </w:r>
          </w:p>
        </w:tc>
        <w:tc>
          <w:tcPr>
            <w:tcW w:w="618" w:type="dxa"/>
            <w:noWrap/>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654" w:type="dxa"/>
            <w:vMerge w:val="continue"/>
            <w:noWrap/>
            <w:tcMar>
              <w:top w:w="15" w:type="dxa"/>
              <w:left w:w="15" w:type="dxa"/>
              <w:right w:w="15" w:type="dxa"/>
            </w:tcMar>
            <w:vAlign w:val="center"/>
          </w:tcPr>
          <w:p>
            <w:pPr>
              <w:spacing w:line="280" w:lineRule="exact"/>
              <w:jc w:val="center"/>
              <w:rPr>
                <w:color w:val="000000"/>
                <w:sz w:val="20"/>
                <w:szCs w:val="20"/>
              </w:rPr>
            </w:pPr>
          </w:p>
        </w:tc>
        <w:tc>
          <w:tcPr>
            <w:tcW w:w="655" w:type="dxa"/>
            <w:vMerge w:val="continue"/>
            <w:noWrap/>
            <w:tcMar>
              <w:top w:w="15" w:type="dxa"/>
              <w:left w:w="15" w:type="dxa"/>
              <w:right w:w="15" w:type="dxa"/>
            </w:tcMar>
            <w:vAlign w:val="center"/>
          </w:tcPr>
          <w:p>
            <w:pPr>
              <w:spacing w:line="280" w:lineRule="exact"/>
              <w:jc w:val="center"/>
              <w:rPr>
                <w:color w:val="000000"/>
                <w:sz w:val="20"/>
                <w:szCs w:val="20"/>
              </w:rPr>
            </w:pPr>
          </w:p>
        </w:tc>
        <w:tc>
          <w:tcPr>
            <w:tcW w:w="567" w:type="dxa"/>
            <w:noWrap/>
            <w:tcMar>
              <w:top w:w="15" w:type="dxa"/>
              <w:left w:w="15" w:type="dxa"/>
              <w:right w:w="15" w:type="dxa"/>
            </w:tcMar>
            <w:vAlign w:val="center"/>
          </w:tcPr>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重点工作办结率</w:t>
            </w:r>
          </w:p>
        </w:tc>
        <w:tc>
          <w:tcPr>
            <w:tcW w:w="324" w:type="dxa"/>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6</w:t>
            </w:r>
          </w:p>
        </w:tc>
        <w:tc>
          <w:tcPr>
            <w:tcW w:w="1134" w:type="dxa"/>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部门年度重点工作实际完成数与交办或下达数的比率，用以反映部门对重点工作的办理落实程度。</w:t>
            </w:r>
          </w:p>
        </w:tc>
        <w:tc>
          <w:tcPr>
            <w:tcW w:w="1134" w:type="dxa"/>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重点工作办结率=（重点工作实际完成数/交办或下达数）*100%。重点工作是指党委、政府、人大、相关部门交办或下达的工作任务。</w:t>
            </w:r>
          </w:p>
        </w:tc>
        <w:tc>
          <w:tcPr>
            <w:tcW w:w="618" w:type="dxa"/>
            <w:noWrap/>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654" w:type="dxa"/>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效果</w:t>
            </w:r>
          </w:p>
          <w:p>
            <w:pPr>
              <w:spacing w:line="280" w:lineRule="exact"/>
              <w:jc w:val="center"/>
              <w:rPr>
                <w:color w:val="000000"/>
                <w:sz w:val="20"/>
                <w:szCs w:val="20"/>
              </w:rPr>
            </w:pPr>
            <w:r>
              <w:rPr>
                <w:color w:val="000000"/>
                <w:sz w:val="20"/>
                <w:szCs w:val="20"/>
              </w:rPr>
              <w:t>（25分）</w:t>
            </w:r>
          </w:p>
        </w:tc>
        <w:tc>
          <w:tcPr>
            <w:tcW w:w="655" w:type="dxa"/>
            <w:vMerge w:val="restart"/>
            <w:noWrap/>
            <w:tcMar>
              <w:top w:w="15" w:type="dxa"/>
              <w:left w:w="15" w:type="dxa"/>
              <w:right w:w="15" w:type="dxa"/>
            </w:tcMar>
            <w:vAlign w:val="center"/>
          </w:tcPr>
          <w:p>
            <w:pPr>
              <w:spacing w:line="280" w:lineRule="exact"/>
              <w:jc w:val="center"/>
              <w:rPr>
                <w:color w:val="000000"/>
                <w:sz w:val="20"/>
                <w:szCs w:val="20"/>
              </w:rPr>
            </w:pPr>
            <w:r>
              <w:rPr>
                <w:color w:val="000000"/>
                <w:sz w:val="20"/>
                <w:szCs w:val="20"/>
              </w:rPr>
              <w:t>履职</w:t>
            </w:r>
          </w:p>
          <w:p>
            <w:pPr>
              <w:spacing w:line="280" w:lineRule="exact"/>
              <w:jc w:val="center"/>
              <w:rPr>
                <w:color w:val="000000"/>
                <w:sz w:val="20"/>
                <w:szCs w:val="20"/>
              </w:rPr>
            </w:pPr>
            <w:r>
              <w:rPr>
                <w:color w:val="000000"/>
                <w:sz w:val="20"/>
                <w:szCs w:val="20"/>
              </w:rPr>
              <w:t>效益</w:t>
            </w:r>
          </w:p>
          <w:p>
            <w:pPr>
              <w:spacing w:line="280" w:lineRule="exact"/>
              <w:jc w:val="center"/>
              <w:rPr>
                <w:color w:val="000000"/>
                <w:sz w:val="20"/>
                <w:szCs w:val="20"/>
              </w:rPr>
            </w:pPr>
            <w:r>
              <w:rPr>
                <w:color w:val="000000"/>
                <w:sz w:val="20"/>
                <w:szCs w:val="20"/>
              </w:rPr>
              <w:t>（25分）</w:t>
            </w:r>
          </w:p>
        </w:tc>
        <w:tc>
          <w:tcPr>
            <w:tcW w:w="567" w:type="dxa"/>
            <w:noWrap/>
            <w:tcMar>
              <w:top w:w="15" w:type="dxa"/>
              <w:left w:w="15" w:type="dxa"/>
              <w:right w:w="15" w:type="dxa"/>
            </w:tcMar>
            <w:vAlign w:val="center"/>
          </w:tcPr>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经济效益</w:t>
            </w:r>
          </w:p>
        </w:tc>
        <w:tc>
          <w:tcPr>
            <w:tcW w:w="324" w:type="dxa"/>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134" w:type="dxa"/>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部门履行职责对经济发展所带来的直接或间接影响</w:t>
            </w:r>
          </w:p>
        </w:tc>
        <w:tc>
          <w:tcPr>
            <w:tcW w:w="1134" w:type="dxa"/>
            <w:vMerge w:val="restart"/>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此三项指标为设置部门整体支出绩效评价指标时必须考虑的共性要素，可根据部门实际并结合部门整体支出绩效目标设立情况有选择的进行设置，并将其细化为相应的个性化指标。</w:t>
            </w:r>
          </w:p>
        </w:tc>
        <w:tc>
          <w:tcPr>
            <w:tcW w:w="618" w:type="dxa"/>
            <w:noWrap/>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654" w:type="dxa"/>
            <w:vMerge w:val="continue"/>
            <w:noWrap/>
            <w:tcMar>
              <w:top w:w="15" w:type="dxa"/>
              <w:left w:w="15" w:type="dxa"/>
              <w:right w:w="15" w:type="dxa"/>
            </w:tcMar>
            <w:vAlign w:val="center"/>
          </w:tcPr>
          <w:p>
            <w:pPr>
              <w:spacing w:line="280" w:lineRule="exact"/>
              <w:jc w:val="center"/>
              <w:rPr>
                <w:color w:val="000000"/>
                <w:sz w:val="20"/>
                <w:szCs w:val="20"/>
              </w:rPr>
            </w:pPr>
          </w:p>
        </w:tc>
        <w:tc>
          <w:tcPr>
            <w:tcW w:w="655" w:type="dxa"/>
            <w:vMerge w:val="continue"/>
            <w:noWrap/>
            <w:tcMar>
              <w:top w:w="15" w:type="dxa"/>
              <w:left w:w="15" w:type="dxa"/>
              <w:right w:w="15" w:type="dxa"/>
            </w:tcMar>
            <w:vAlign w:val="center"/>
          </w:tcPr>
          <w:p>
            <w:pPr>
              <w:spacing w:line="280" w:lineRule="exact"/>
              <w:jc w:val="center"/>
              <w:rPr>
                <w:color w:val="000000"/>
                <w:sz w:val="20"/>
                <w:szCs w:val="20"/>
              </w:rPr>
            </w:pPr>
          </w:p>
        </w:tc>
        <w:tc>
          <w:tcPr>
            <w:tcW w:w="567" w:type="dxa"/>
            <w:noWrap/>
            <w:tcMar>
              <w:top w:w="15" w:type="dxa"/>
              <w:left w:w="15" w:type="dxa"/>
              <w:right w:w="15" w:type="dxa"/>
            </w:tcMar>
            <w:vAlign w:val="center"/>
          </w:tcPr>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社会效益</w:t>
            </w:r>
          </w:p>
        </w:tc>
        <w:tc>
          <w:tcPr>
            <w:tcW w:w="324" w:type="dxa"/>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7</w:t>
            </w:r>
          </w:p>
        </w:tc>
        <w:tc>
          <w:tcPr>
            <w:tcW w:w="1134" w:type="dxa"/>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部门履行职责对社会发展所带来的直接或间接影响</w:t>
            </w:r>
          </w:p>
        </w:tc>
        <w:tc>
          <w:tcPr>
            <w:tcW w:w="1134" w:type="dxa"/>
            <w:vMerge w:val="continue"/>
            <w:noWrap/>
            <w:tcMar>
              <w:top w:w="15" w:type="dxa"/>
              <w:left w:w="15" w:type="dxa"/>
              <w:right w:w="15" w:type="dxa"/>
            </w:tcMar>
            <w:vAlign w:val="center"/>
          </w:tcPr>
          <w:p>
            <w:pPr>
              <w:widowControl/>
              <w:spacing w:line="280" w:lineRule="exact"/>
              <w:textAlignment w:val="center"/>
              <w:rPr>
                <w:color w:val="000000"/>
                <w:kern w:val="0"/>
                <w:sz w:val="20"/>
                <w:szCs w:val="20"/>
              </w:rPr>
            </w:pPr>
          </w:p>
        </w:tc>
        <w:tc>
          <w:tcPr>
            <w:tcW w:w="618" w:type="dxa"/>
            <w:noWrap/>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654" w:type="dxa"/>
            <w:vMerge w:val="continue"/>
            <w:noWrap/>
            <w:tcMar>
              <w:top w:w="15" w:type="dxa"/>
              <w:left w:w="15" w:type="dxa"/>
              <w:right w:w="15" w:type="dxa"/>
            </w:tcMar>
            <w:vAlign w:val="center"/>
          </w:tcPr>
          <w:p>
            <w:pPr>
              <w:spacing w:line="280" w:lineRule="exact"/>
              <w:jc w:val="center"/>
              <w:rPr>
                <w:color w:val="000000"/>
                <w:sz w:val="20"/>
                <w:szCs w:val="20"/>
              </w:rPr>
            </w:pPr>
          </w:p>
        </w:tc>
        <w:tc>
          <w:tcPr>
            <w:tcW w:w="655" w:type="dxa"/>
            <w:vMerge w:val="continue"/>
            <w:noWrap/>
            <w:tcMar>
              <w:top w:w="15" w:type="dxa"/>
              <w:left w:w="15" w:type="dxa"/>
              <w:right w:w="15" w:type="dxa"/>
            </w:tcMar>
            <w:vAlign w:val="center"/>
          </w:tcPr>
          <w:p>
            <w:pPr>
              <w:spacing w:line="280" w:lineRule="exact"/>
              <w:jc w:val="center"/>
              <w:rPr>
                <w:color w:val="000000"/>
                <w:sz w:val="20"/>
                <w:szCs w:val="20"/>
              </w:rPr>
            </w:pPr>
          </w:p>
        </w:tc>
        <w:tc>
          <w:tcPr>
            <w:tcW w:w="567" w:type="dxa"/>
            <w:noWrap/>
            <w:tcMar>
              <w:top w:w="15" w:type="dxa"/>
              <w:left w:w="15" w:type="dxa"/>
              <w:right w:w="15" w:type="dxa"/>
            </w:tcMar>
            <w:vAlign w:val="center"/>
          </w:tcPr>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生态效益</w:t>
            </w:r>
          </w:p>
        </w:tc>
        <w:tc>
          <w:tcPr>
            <w:tcW w:w="324" w:type="dxa"/>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5</w:t>
            </w:r>
          </w:p>
        </w:tc>
        <w:tc>
          <w:tcPr>
            <w:tcW w:w="1134" w:type="dxa"/>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部门履行职责对生态环境所带来的直接或间接影响</w:t>
            </w:r>
          </w:p>
        </w:tc>
        <w:tc>
          <w:tcPr>
            <w:tcW w:w="1134" w:type="dxa"/>
            <w:vMerge w:val="continue"/>
            <w:noWrap/>
            <w:tcMar>
              <w:top w:w="15" w:type="dxa"/>
              <w:left w:w="15" w:type="dxa"/>
              <w:right w:w="15" w:type="dxa"/>
            </w:tcMar>
            <w:vAlign w:val="center"/>
          </w:tcPr>
          <w:p>
            <w:pPr>
              <w:widowControl/>
              <w:spacing w:line="280" w:lineRule="exact"/>
              <w:textAlignment w:val="center"/>
              <w:rPr>
                <w:color w:val="000000"/>
                <w:kern w:val="0"/>
                <w:sz w:val="20"/>
                <w:szCs w:val="20"/>
              </w:rPr>
            </w:pPr>
          </w:p>
        </w:tc>
        <w:tc>
          <w:tcPr>
            <w:tcW w:w="618" w:type="dxa"/>
            <w:noWrap/>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654" w:type="dxa"/>
            <w:vMerge w:val="continue"/>
            <w:noWrap/>
            <w:tcMar>
              <w:top w:w="15" w:type="dxa"/>
              <w:left w:w="15" w:type="dxa"/>
              <w:right w:w="15" w:type="dxa"/>
            </w:tcMar>
            <w:vAlign w:val="center"/>
          </w:tcPr>
          <w:p>
            <w:pPr>
              <w:spacing w:line="280" w:lineRule="exact"/>
              <w:jc w:val="center"/>
              <w:rPr>
                <w:color w:val="000000"/>
                <w:sz w:val="20"/>
                <w:szCs w:val="20"/>
              </w:rPr>
            </w:pPr>
          </w:p>
        </w:tc>
        <w:tc>
          <w:tcPr>
            <w:tcW w:w="655" w:type="dxa"/>
            <w:vMerge w:val="continue"/>
            <w:noWrap/>
            <w:tcMar>
              <w:top w:w="15" w:type="dxa"/>
              <w:left w:w="15" w:type="dxa"/>
              <w:right w:w="15" w:type="dxa"/>
            </w:tcMar>
            <w:vAlign w:val="center"/>
          </w:tcPr>
          <w:p>
            <w:pPr>
              <w:spacing w:line="280" w:lineRule="exact"/>
              <w:jc w:val="center"/>
              <w:rPr>
                <w:color w:val="000000"/>
                <w:sz w:val="20"/>
                <w:szCs w:val="20"/>
              </w:rPr>
            </w:pPr>
          </w:p>
        </w:tc>
        <w:tc>
          <w:tcPr>
            <w:tcW w:w="567" w:type="dxa"/>
            <w:noWrap/>
            <w:tcMar>
              <w:top w:w="15" w:type="dxa"/>
              <w:left w:w="15" w:type="dxa"/>
              <w:right w:w="15" w:type="dxa"/>
            </w:tcMar>
            <w:vAlign w:val="center"/>
          </w:tcPr>
          <w:p>
            <w:pPr>
              <w:widowControl/>
              <w:spacing w:line="280" w:lineRule="exact"/>
              <w:jc w:val="center"/>
              <w:textAlignment w:val="center"/>
              <w:rPr>
                <w:rStyle w:val="8"/>
                <w:rFonts w:hint="default" w:ascii="Times New Roman" w:hAnsi="Times New Roman" w:cs="Times New Roman"/>
                <w:sz w:val="20"/>
                <w:szCs w:val="20"/>
              </w:rPr>
            </w:pPr>
            <w:r>
              <w:rPr>
                <w:rStyle w:val="8"/>
                <w:rFonts w:hint="default" w:ascii="Times New Roman" w:hAnsi="Times New Roman" w:cs="Times New Roman"/>
                <w:sz w:val="20"/>
                <w:szCs w:val="20"/>
              </w:rPr>
              <w:t>社会公众或服务对象满意度</w:t>
            </w:r>
          </w:p>
        </w:tc>
        <w:tc>
          <w:tcPr>
            <w:tcW w:w="324" w:type="dxa"/>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color w:val="000000"/>
                <w:kern w:val="0"/>
                <w:sz w:val="20"/>
                <w:szCs w:val="20"/>
              </w:rPr>
              <w:t>8</w:t>
            </w:r>
          </w:p>
        </w:tc>
        <w:tc>
          <w:tcPr>
            <w:tcW w:w="1134" w:type="dxa"/>
            <w:noWrap/>
            <w:tcMar>
              <w:top w:w="15" w:type="dxa"/>
              <w:left w:w="15" w:type="dxa"/>
              <w:right w:w="15" w:type="dxa"/>
            </w:tcMar>
            <w:vAlign w:val="center"/>
          </w:tcPr>
          <w:p>
            <w:pPr>
              <w:widowControl/>
              <w:spacing w:line="280" w:lineRule="exact"/>
              <w:jc w:val="left"/>
              <w:textAlignment w:val="center"/>
              <w:rPr>
                <w:color w:val="000000"/>
                <w:kern w:val="0"/>
                <w:sz w:val="20"/>
                <w:szCs w:val="20"/>
              </w:rPr>
            </w:pPr>
            <w:r>
              <w:rPr>
                <w:color w:val="000000"/>
                <w:kern w:val="0"/>
                <w:sz w:val="20"/>
                <w:szCs w:val="20"/>
              </w:rPr>
              <w:t>社会公众或部门的服务对象对部门履职效果的满意程度</w:t>
            </w:r>
          </w:p>
        </w:tc>
        <w:tc>
          <w:tcPr>
            <w:tcW w:w="1134" w:type="dxa"/>
            <w:noWrap/>
            <w:tcMar>
              <w:top w:w="15" w:type="dxa"/>
              <w:left w:w="15" w:type="dxa"/>
              <w:right w:w="15" w:type="dxa"/>
            </w:tcMar>
            <w:vAlign w:val="center"/>
          </w:tcPr>
          <w:p>
            <w:pPr>
              <w:widowControl/>
              <w:spacing w:line="280" w:lineRule="exact"/>
              <w:textAlignment w:val="center"/>
              <w:rPr>
                <w:color w:val="000000"/>
                <w:kern w:val="0"/>
                <w:sz w:val="20"/>
                <w:szCs w:val="20"/>
              </w:rPr>
            </w:pPr>
            <w:r>
              <w:rPr>
                <w:color w:val="000000"/>
                <w:kern w:val="0"/>
                <w:sz w:val="20"/>
                <w:szCs w:val="20"/>
              </w:rPr>
              <w:t>社会公众或服务对象是指部门履行职责而影响到的部门、群体或个人。一般采取社会调查的方式。</w:t>
            </w:r>
          </w:p>
        </w:tc>
        <w:tc>
          <w:tcPr>
            <w:tcW w:w="618" w:type="dxa"/>
            <w:noWrap/>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654" w:type="dxa"/>
            <w:noWrap/>
            <w:tcMar>
              <w:top w:w="15" w:type="dxa"/>
              <w:left w:w="15" w:type="dxa"/>
              <w:right w:w="15" w:type="dxa"/>
            </w:tcMar>
            <w:vAlign w:val="center"/>
          </w:tcPr>
          <w:p>
            <w:pPr>
              <w:spacing w:line="280" w:lineRule="exact"/>
              <w:jc w:val="center"/>
              <w:rPr>
                <w:color w:val="000000"/>
                <w:sz w:val="20"/>
                <w:szCs w:val="20"/>
              </w:rPr>
            </w:pPr>
            <w:r>
              <w:rPr>
                <w:rFonts w:hint="eastAsia"/>
                <w:color w:val="000000"/>
                <w:sz w:val="20"/>
                <w:szCs w:val="20"/>
              </w:rPr>
              <w:t>合计</w:t>
            </w:r>
          </w:p>
        </w:tc>
        <w:tc>
          <w:tcPr>
            <w:tcW w:w="655" w:type="dxa"/>
            <w:noWrap/>
            <w:tcMar>
              <w:top w:w="15" w:type="dxa"/>
              <w:left w:w="15" w:type="dxa"/>
              <w:right w:w="15" w:type="dxa"/>
            </w:tcMar>
            <w:vAlign w:val="center"/>
          </w:tcPr>
          <w:p>
            <w:pPr>
              <w:spacing w:line="280" w:lineRule="exact"/>
              <w:jc w:val="center"/>
              <w:rPr>
                <w:color w:val="000000"/>
                <w:sz w:val="20"/>
                <w:szCs w:val="20"/>
              </w:rPr>
            </w:pPr>
          </w:p>
        </w:tc>
        <w:tc>
          <w:tcPr>
            <w:tcW w:w="567" w:type="dxa"/>
            <w:noWrap/>
            <w:tcMar>
              <w:top w:w="15" w:type="dxa"/>
              <w:left w:w="15" w:type="dxa"/>
              <w:right w:w="15" w:type="dxa"/>
            </w:tcMar>
            <w:vAlign w:val="center"/>
          </w:tcPr>
          <w:p>
            <w:pPr>
              <w:widowControl/>
              <w:spacing w:line="280" w:lineRule="exact"/>
              <w:jc w:val="center"/>
              <w:textAlignment w:val="center"/>
              <w:rPr>
                <w:rStyle w:val="8"/>
                <w:rFonts w:hint="default" w:ascii="Times New Roman" w:hAnsi="Times New Roman" w:cs="Times New Roman"/>
                <w:sz w:val="20"/>
                <w:szCs w:val="20"/>
              </w:rPr>
            </w:pPr>
          </w:p>
        </w:tc>
        <w:tc>
          <w:tcPr>
            <w:tcW w:w="324" w:type="dxa"/>
            <w:noWrap/>
            <w:tcMar>
              <w:top w:w="15" w:type="dxa"/>
              <w:left w:w="15" w:type="dxa"/>
              <w:right w:w="15" w:type="dxa"/>
            </w:tcMar>
            <w:vAlign w:val="center"/>
          </w:tcPr>
          <w:p>
            <w:pPr>
              <w:widowControl/>
              <w:spacing w:line="280" w:lineRule="exact"/>
              <w:jc w:val="center"/>
              <w:textAlignment w:val="center"/>
              <w:rPr>
                <w:color w:val="000000"/>
                <w:kern w:val="0"/>
                <w:sz w:val="20"/>
                <w:szCs w:val="20"/>
              </w:rPr>
            </w:pPr>
            <w:r>
              <w:rPr>
                <w:rFonts w:hint="eastAsia"/>
                <w:color w:val="000000"/>
                <w:kern w:val="0"/>
                <w:sz w:val="20"/>
                <w:szCs w:val="20"/>
              </w:rPr>
              <w:t>100</w:t>
            </w:r>
          </w:p>
        </w:tc>
        <w:tc>
          <w:tcPr>
            <w:tcW w:w="1134" w:type="dxa"/>
            <w:noWrap/>
            <w:tcMar>
              <w:top w:w="15" w:type="dxa"/>
              <w:left w:w="15" w:type="dxa"/>
              <w:right w:w="15" w:type="dxa"/>
            </w:tcMar>
            <w:vAlign w:val="center"/>
          </w:tcPr>
          <w:p>
            <w:pPr>
              <w:widowControl/>
              <w:spacing w:line="280" w:lineRule="exact"/>
              <w:jc w:val="left"/>
              <w:textAlignment w:val="center"/>
              <w:rPr>
                <w:color w:val="000000"/>
                <w:kern w:val="0"/>
                <w:sz w:val="20"/>
                <w:szCs w:val="20"/>
              </w:rPr>
            </w:pPr>
          </w:p>
        </w:tc>
        <w:tc>
          <w:tcPr>
            <w:tcW w:w="1134" w:type="dxa"/>
            <w:noWrap/>
            <w:tcMar>
              <w:top w:w="15" w:type="dxa"/>
              <w:left w:w="15" w:type="dxa"/>
              <w:right w:w="15" w:type="dxa"/>
            </w:tcMar>
            <w:vAlign w:val="center"/>
          </w:tcPr>
          <w:p>
            <w:pPr>
              <w:widowControl/>
              <w:spacing w:line="280" w:lineRule="exact"/>
              <w:textAlignment w:val="center"/>
              <w:rPr>
                <w:color w:val="000000"/>
                <w:kern w:val="0"/>
                <w:sz w:val="20"/>
                <w:szCs w:val="20"/>
              </w:rPr>
            </w:pPr>
          </w:p>
        </w:tc>
        <w:tc>
          <w:tcPr>
            <w:tcW w:w="618" w:type="dxa"/>
            <w:noWrap/>
            <w:tcMar>
              <w:top w:w="15" w:type="dxa"/>
              <w:left w:w="15" w:type="dxa"/>
              <w:right w:w="15" w:type="dxa"/>
            </w:tcMar>
            <w:vAlign w:val="center"/>
          </w:tcPr>
          <w:p>
            <w:pPr>
              <w:widowControl/>
              <w:spacing w:line="280" w:lineRule="exact"/>
              <w:textAlignment w:val="center"/>
              <w:rPr>
                <w:color w:val="000000"/>
                <w:kern w:val="0"/>
                <w:sz w:val="20"/>
                <w:szCs w:val="20"/>
              </w:rPr>
            </w:pPr>
            <w:r>
              <w:rPr>
                <w:rFonts w:hint="eastAsia"/>
                <w:color w:val="000000"/>
                <w:kern w:val="0"/>
                <w:sz w:val="20"/>
                <w:szCs w:val="20"/>
              </w:rPr>
              <w:t>94</w:t>
            </w:r>
          </w:p>
        </w:tc>
      </w:tr>
    </w:tbl>
    <w:p/>
    <w:p/>
    <w:p/>
    <w:p/>
    <w:p/>
    <w:p/>
    <w:p/>
    <w:p/>
    <w:p/>
    <w:p/>
    <w:p/>
    <w:p/>
    <w:p>
      <w:pPr>
        <w:spacing w:line="600" w:lineRule="exact"/>
        <w:rPr>
          <w:rFonts w:eastAsia="黑体"/>
          <w:kern w:val="0"/>
          <w:sz w:val="32"/>
          <w:szCs w:val="32"/>
        </w:rPr>
      </w:pPr>
      <w:r>
        <w:rPr>
          <w:rFonts w:eastAsia="黑体"/>
          <w:sz w:val="32"/>
          <w:szCs w:val="32"/>
        </w:rPr>
        <w:t>附件</w:t>
      </w:r>
      <w:r>
        <w:rPr>
          <w:rFonts w:hint="eastAsia" w:eastAsia="黑体"/>
          <w:sz w:val="32"/>
          <w:szCs w:val="32"/>
        </w:rPr>
        <w:t>1</w:t>
      </w:r>
    </w:p>
    <w:p>
      <w:pPr>
        <w:widowControl/>
        <w:jc w:val="center"/>
        <w:rPr>
          <w:rFonts w:eastAsia="方正小标宋简体"/>
          <w:kern w:val="0"/>
          <w:sz w:val="44"/>
          <w:szCs w:val="44"/>
        </w:rPr>
      </w:pPr>
      <w:r>
        <w:rPr>
          <w:rFonts w:eastAsia="方正小标宋简体"/>
          <w:kern w:val="0"/>
          <w:sz w:val="44"/>
          <w:szCs w:val="44"/>
        </w:rPr>
        <w:t>部门整体支出绩效自评基础数据表</w:t>
      </w:r>
    </w:p>
    <w:p>
      <w:pPr>
        <w:widowControl/>
        <w:tabs>
          <w:tab w:val="left" w:pos="3611"/>
          <w:tab w:val="left" w:pos="4791"/>
          <w:tab w:val="left" w:pos="5951"/>
          <w:tab w:val="left" w:pos="7071"/>
          <w:tab w:val="left" w:pos="8191"/>
          <w:tab w:val="left" w:pos="9311"/>
        </w:tabs>
        <w:ind w:left="91"/>
        <w:jc w:val="left"/>
        <w:rPr>
          <w:rFonts w:eastAsia="楷体_GB2312"/>
          <w:b/>
          <w:bCs/>
          <w:kern w:val="0"/>
          <w:sz w:val="24"/>
        </w:rPr>
      </w:pPr>
      <w:r>
        <w:rPr>
          <w:rFonts w:eastAsia="楷体_GB2312"/>
          <w:b/>
          <w:bCs/>
          <w:kern w:val="0"/>
          <w:sz w:val="24"/>
        </w:rPr>
        <w:t>填报单位：</w:t>
      </w:r>
      <w:r>
        <w:rPr>
          <w:rFonts w:hint="eastAsia" w:eastAsia="楷体_GB2312"/>
          <w:b/>
          <w:bCs/>
          <w:kern w:val="0"/>
          <w:sz w:val="24"/>
        </w:rPr>
        <w:t>区国有资产事务中心</w:t>
      </w:r>
    </w:p>
    <w:tbl>
      <w:tblPr>
        <w:tblStyle w:val="5"/>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0"/>
                <w:szCs w:val="20"/>
              </w:rPr>
            </w:pPr>
            <w:r>
              <w:rPr>
                <w:rFonts w:eastAsia="黑体"/>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2020年实际在职人数</w:t>
            </w:r>
          </w:p>
        </w:tc>
        <w:tc>
          <w:tcPr>
            <w:tcW w:w="1927" w:type="dxa"/>
            <w:gridSpan w:val="2"/>
            <w:tcBorders>
              <w:top w:val="single" w:color="auto" w:sz="4" w:space="0"/>
              <w:left w:val="nil"/>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1819"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16</w:t>
            </w:r>
            <w:r>
              <w:rPr>
                <w:kern w:val="0"/>
                <w:sz w:val="20"/>
                <w:szCs w:val="20"/>
              </w:rPr>
              <w:t>　</w:t>
            </w:r>
          </w:p>
        </w:tc>
        <w:tc>
          <w:tcPr>
            <w:tcW w:w="2385"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13</w:t>
            </w:r>
            <w:r>
              <w:rPr>
                <w:kern w:val="0"/>
                <w:sz w:val="20"/>
                <w:szCs w:val="20"/>
              </w:rPr>
              <w:t>　</w:t>
            </w:r>
          </w:p>
        </w:tc>
        <w:tc>
          <w:tcPr>
            <w:tcW w:w="1927" w:type="dxa"/>
            <w:gridSpan w:val="2"/>
            <w:tcBorders>
              <w:top w:val="single" w:color="auto" w:sz="4" w:space="0"/>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81%</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center"/>
              <w:rPr>
                <w:rFonts w:eastAsia="黑体"/>
                <w:kern w:val="0"/>
                <w:sz w:val="20"/>
                <w:szCs w:val="20"/>
              </w:rPr>
            </w:pPr>
            <w:r>
              <w:rPr>
                <w:rFonts w:eastAsia="黑体"/>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2019年决算数</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2020年预算数</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rFonts w:eastAsia="黑体"/>
                <w:kern w:val="0"/>
                <w:sz w:val="20"/>
                <w:szCs w:val="20"/>
              </w:rPr>
            </w:pPr>
            <w:r>
              <w:rPr>
                <w:rFonts w:eastAsia="黑体"/>
                <w:kern w:val="0"/>
                <w:sz w:val="20"/>
                <w:szCs w:val="20"/>
              </w:rPr>
              <w:t>2020年决算数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1</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389.31</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370</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177.26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389.31</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370</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177.26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ign w:val="center"/>
          </w:tcPr>
          <w:p>
            <w:pPr>
              <w:jc w:val="center"/>
            </w:pP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noWrap/>
            <w:vAlign w:val="center"/>
          </w:tcPr>
          <w:p>
            <w:pPr>
              <w:jc w:val="center"/>
            </w:pPr>
            <w:r>
              <w:rPr>
                <w:rFonts w:hint="eastAsia"/>
                <w:kern w:val="0"/>
                <w:sz w:val="20"/>
                <w:szCs w:val="20"/>
              </w:rPr>
              <w:t>0</w:t>
            </w:r>
          </w:p>
        </w:tc>
        <w:tc>
          <w:tcPr>
            <w:tcW w:w="1927" w:type="dxa"/>
            <w:gridSpan w:val="2"/>
            <w:tcBorders>
              <w:top w:val="single" w:color="auto" w:sz="4" w:space="0"/>
              <w:left w:val="nil"/>
              <w:bottom w:val="single" w:color="auto" w:sz="4" w:space="0"/>
              <w:right w:val="single" w:color="000000" w:sz="4" w:space="0"/>
            </w:tcBorders>
            <w:noWrap/>
            <w:vAlign w:val="center"/>
          </w:tcPr>
          <w:p>
            <w:pPr>
              <w:jc w:val="center"/>
            </w:pP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center"/>
              <w:rPr>
                <w:kern w:val="0"/>
                <w:sz w:val="20"/>
                <w:szCs w:val="20"/>
              </w:rPr>
            </w:pPr>
            <w:r>
              <w:rPr>
                <w:kern w:val="0"/>
                <w:sz w:val="20"/>
                <w:szCs w:val="20"/>
              </w:rPr>
              <w:t>……</w:t>
            </w:r>
          </w:p>
        </w:tc>
        <w:tc>
          <w:tcPr>
            <w:tcW w:w="1819" w:type="dxa"/>
            <w:gridSpan w:val="2"/>
            <w:tcBorders>
              <w:top w:val="single" w:color="auto" w:sz="4" w:space="0"/>
              <w:left w:val="nil"/>
              <w:bottom w:val="single" w:color="auto" w:sz="4" w:space="0"/>
              <w:right w:val="single" w:color="000000" w:sz="4" w:space="0"/>
            </w:tcBorders>
            <w:noWrap/>
            <w:vAlign w:val="center"/>
          </w:tcPr>
          <w:p>
            <w:pPr>
              <w:jc w:val="center"/>
            </w:pPr>
            <w:r>
              <w:rPr>
                <w:rFonts w:hint="eastAsia"/>
                <w:kern w:val="0"/>
                <w:sz w:val="20"/>
                <w:szCs w:val="20"/>
              </w:rPr>
              <w:t>0</w:t>
            </w:r>
          </w:p>
        </w:tc>
        <w:tc>
          <w:tcPr>
            <w:tcW w:w="2385" w:type="dxa"/>
            <w:gridSpan w:val="2"/>
            <w:tcBorders>
              <w:top w:val="single" w:color="auto" w:sz="4" w:space="0"/>
              <w:left w:val="nil"/>
              <w:bottom w:val="single" w:color="auto" w:sz="4" w:space="0"/>
              <w:right w:val="single" w:color="000000" w:sz="4" w:space="0"/>
            </w:tcBorders>
            <w:noWrap/>
            <w:vAlign w:val="center"/>
          </w:tcPr>
          <w:p>
            <w:pPr>
              <w:jc w:val="center"/>
            </w:pPr>
            <w:r>
              <w:rPr>
                <w:rFonts w:hint="eastAsia"/>
                <w:kern w:val="0"/>
                <w:sz w:val="20"/>
                <w:szCs w:val="20"/>
              </w:rPr>
              <w:t>0</w:t>
            </w:r>
          </w:p>
        </w:tc>
        <w:tc>
          <w:tcPr>
            <w:tcW w:w="1927" w:type="dxa"/>
            <w:gridSpan w:val="2"/>
            <w:tcBorders>
              <w:top w:val="single" w:color="auto" w:sz="4" w:space="0"/>
              <w:left w:val="nil"/>
              <w:bottom w:val="single" w:color="auto" w:sz="4" w:space="0"/>
              <w:right w:val="single" w:color="000000" w:sz="4" w:space="0"/>
            </w:tcBorders>
            <w:noWrap/>
            <w:vAlign w:val="center"/>
          </w:tcPr>
          <w:p>
            <w:pPr>
              <w:jc w:val="center"/>
            </w:pPr>
            <w:r>
              <w:rPr>
                <w:rFonts w:hint="eastAsia"/>
                <w:kern w:val="0"/>
                <w:sz w:val="20"/>
                <w:szCs w:val="20"/>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63.17</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36.4</w:t>
            </w:r>
            <w:r>
              <w:rPr>
                <w:rFonts w:hint="eastAsia"/>
                <w:kern w:val="0"/>
                <w:sz w:val="20"/>
                <w:szCs w:val="20"/>
              </w:rPr>
              <w:t>5</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r>
              <w:rPr>
                <w:rFonts w:hint="eastAsia"/>
                <w:kern w:val="0"/>
                <w:sz w:val="20"/>
                <w:szCs w:val="20"/>
              </w:rPr>
              <w:t>44.27</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 xml:space="preserve"> 11.6</w:t>
            </w:r>
            <w:r>
              <w:rPr>
                <w:color w:val="000000" w:themeColor="text1"/>
                <w:kern w:val="0"/>
                <w:sz w:val="20"/>
                <w:szCs w:val="20"/>
                <w14:textFill>
                  <w14:solidFill>
                    <w14:schemeClr w14:val="tx1"/>
                  </w14:solidFill>
                </w14:textFill>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16.2</w:t>
            </w:r>
            <w:r>
              <w:rPr>
                <w:color w:val="000000" w:themeColor="text1"/>
                <w:kern w:val="0"/>
                <w:sz w:val="20"/>
                <w:szCs w:val="20"/>
                <w14:textFill>
                  <w14:solidFill>
                    <w14:schemeClr w14:val="tx1"/>
                  </w14:solidFill>
                </w14:textFill>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30.96</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color w:val="FF0000"/>
                <w:kern w:val="0"/>
                <w:sz w:val="20"/>
                <w:szCs w:val="20"/>
              </w:rPr>
            </w:pPr>
            <w:r>
              <w:rPr>
                <w:color w:val="FF000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0</w:t>
            </w:r>
            <w:r>
              <w:rPr>
                <w:color w:val="000000" w:themeColor="text1"/>
                <w:kern w:val="0"/>
                <w:sz w:val="20"/>
                <w:szCs w:val="20"/>
                <w14:textFill>
                  <w14:solidFill>
                    <w14:schemeClr w14:val="tx1"/>
                  </w14:solidFill>
                </w14:textFill>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0</w:t>
            </w:r>
            <w:r>
              <w:rPr>
                <w:color w:val="000000" w:themeColor="text1"/>
                <w:kern w:val="0"/>
                <w:sz w:val="20"/>
                <w:szCs w:val="20"/>
                <w14:textFill>
                  <w14:solidFill>
                    <w14:schemeClr w14:val="tx1"/>
                  </w14:solidFill>
                </w14:textFill>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color w:val="FF0000"/>
                <w:kern w:val="0"/>
                <w:sz w:val="20"/>
                <w:szCs w:val="20"/>
              </w:rPr>
            </w:pPr>
            <w:r>
              <w:rPr>
                <w:color w:val="FF000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0</w:t>
            </w:r>
            <w:r>
              <w:rPr>
                <w:color w:val="000000" w:themeColor="text1"/>
                <w:kern w:val="0"/>
                <w:sz w:val="20"/>
                <w:szCs w:val="20"/>
                <w14:textFill>
                  <w14:solidFill>
                    <w14:schemeClr w14:val="tx1"/>
                  </w14:solidFill>
                </w14:textFill>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color w:val="000000" w:themeColor="text1"/>
                <w:kern w:val="0"/>
                <w:sz w:val="20"/>
                <w:szCs w:val="20"/>
                <w14:textFill>
                  <w14:solidFill>
                    <w14:schemeClr w14:val="tx1"/>
                  </w14:solidFill>
                </w14:textFill>
              </w:rPr>
            </w:pPr>
            <w:r>
              <w:rPr>
                <w:rFonts w:hint="eastAsia"/>
                <w:color w:val="000000" w:themeColor="text1"/>
                <w:kern w:val="0"/>
                <w:sz w:val="20"/>
                <w:szCs w:val="20"/>
                <w14:textFill>
                  <w14:solidFill>
                    <w14:schemeClr w14:val="tx1"/>
                  </w14:solidFill>
                </w14:textFill>
              </w:rPr>
              <w:t>0</w:t>
            </w:r>
            <w:r>
              <w:rPr>
                <w:color w:val="000000" w:themeColor="text1"/>
                <w:kern w:val="0"/>
                <w:sz w:val="20"/>
                <w:szCs w:val="20"/>
                <w14:textFill>
                  <w14:solidFill>
                    <w14:schemeClr w14:val="tx1"/>
                  </w14:solidFill>
                </w14:textFill>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143.47</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r>
              <w:rPr>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kern w:val="0"/>
                <w:sz w:val="20"/>
                <w:szCs w:val="20"/>
              </w:rPr>
              <w:t>——</w:t>
            </w:r>
          </w:p>
        </w:tc>
        <w:tc>
          <w:tcPr>
            <w:tcW w:w="2385"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ign w:val="center"/>
          </w:tcPr>
          <w:p>
            <w:pPr>
              <w:widowControl/>
              <w:jc w:val="center"/>
              <w:rPr>
                <w:kern w:val="0"/>
                <w:sz w:val="20"/>
                <w:szCs w:val="20"/>
              </w:rPr>
            </w:pPr>
            <w:r>
              <w:rPr>
                <w:rFonts w:hint="eastAsia"/>
                <w:kern w:val="0"/>
                <w:sz w:val="20"/>
                <w:szCs w:val="20"/>
              </w:rPr>
              <w:t>0</w:t>
            </w:r>
            <w:r>
              <w:rPr>
                <w:kern w:val="0"/>
                <w:sz w:val="20"/>
                <w:szCs w:val="20"/>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ign w:val="center"/>
          </w:tcPr>
          <w:p>
            <w:pPr>
              <w:widowControl/>
              <w:jc w:val="center"/>
              <w:rPr>
                <w:kern w:val="0"/>
                <w:sz w:val="20"/>
                <w:szCs w:val="20"/>
              </w:rPr>
            </w:pPr>
            <w:r>
              <w:rPr>
                <w:kern w:val="0"/>
                <w:sz w:val="20"/>
                <w:szCs w:val="20"/>
              </w:rPr>
              <w:t>楼堂馆所控制情况</w:t>
            </w:r>
            <w:r>
              <w:rPr>
                <w:kern w:val="0"/>
                <w:sz w:val="20"/>
                <w:szCs w:val="20"/>
              </w:rPr>
              <w:br w:type="textWrapping"/>
            </w:r>
            <w:r>
              <w:rPr>
                <w:kern w:val="0"/>
                <w:sz w:val="20"/>
                <w:szCs w:val="20"/>
              </w:rPr>
              <w:t>（2020年完工项目）</w:t>
            </w:r>
          </w:p>
        </w:tc>
        <w:tc>
          <w:tcPr>
            <w:tcW w:w="1014"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批复规模</w:t>
            </w:r>
            <w:r>
              <w:rPr>
                <w:kern w:val="0"/>
                <w:sz w:val="20"/>
                <w:szCs w:val="20"/>
              </w:rPr>
              <w:br w:type="textWrapping"/>
            </w:r>
            <w:r>
              <w:rPr>
                <w:kern w:val="0"/>
                <w:sz w:val="20"/>
                <w:szCs w:val="20"/>
              </w:rPr>
              <w:t>（㎡）</w:t>
            </w:r>
          </w:p>
        </w:tc>
        <w:tc>
          <w:tcPr>
            <w:tcW w:w="805"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规模</w:t>
            </w:r>
            <w:r>
              <w:rPr>
                <w:kern w:val="0"/>
                <w:sz w:val="20"/>
                <w:szCs w:val="20"/>
              </w:rPr>
              <w:br w:type="textWrapping"/>
            </w:r>
            <w:r>
              <w:rPr>
                <w:kern w:val="0"/>
                <w:sz w:val="20"/>
                <w:szCs w:val="20"/>
              </w:rPr>
              <w:t>（㎡）</w:t>
            </w:r>
          </w:p>
        </w:tc>
        <w:tc>
          <w:tcPr>
            <w:tcW w:w="1296"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规模控制率</w:t>
            </w:r>
          </w:p>
        </w:tc>
        <w:tc>
          <w:tcPr>
            <w:tcW w:w="1089"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预算投资</w:t>
            </w:r>
            <w:r>
              <w:rPr>
                <w:kern w:val="0"/>
                <w:sz w:val="20"/>
                <w:szCs w:val="20"/>
              </w:rPr>
              <w:br w:type="textWrapping"/>
            </w:r>
            <w:r>
              <w:rPr>
                <w:kern w:val="0"/>
                <w:sz w:val="20"/>
                <w:szCs w:val="20"/>
              </w:rPr>
              <w:t>（万元）</w:t>
            </w:r>
          </w:p>
        </w:tc>
        <w:tc>
          <w:tcPr>
            <w:tcW w:w="949"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实际</w:t>
            </w:r>
          </w:p>
          <w:p>
            <w:pPr>
              <w:widowControl/>
              <w:jc w:val="center"/>
              <w:rPr>
                <w:kern w:val="0"/>
                <w:sz w:val="20"/>
                <w:szCs w:val="20"/>
              </w:rPr>
            </w:pPr>
            <w:r>
              <w:rPr>
                <w:kern w:val="0"/>
                <w:sz w:val="20"/>
                <w:szCs w:val="20"/>
              </w:rPr>
              <w:t>投资</w:t>
            </w:r>
            <w:r>
              <w:rPr>
                <w:kern w:val="0"/>
                <w:sz w:val="20"/>
                <w:szCs w:val="20"/>
              </w:rPr>
              <w:br w:type="textWrapping"/>
            </w:r>
            <w:r>
              <w:rPr>
                <w:kern w:val="0"/>
                <w:sz w:val="20"/>
                <w:szCs w:val="20"/>
              </w:rPr>
              <w:t>（万元）</w:t>
            </w:r>
          </w:p>
        </w:tc>
        <w:tc>
          <w:tcPr>
            <w:tcW w:w="978" w:type="dxa"/>
            <w:tcBorders>
              <w:top w:val="nil"/>
              <w:left w:val="nil"/>
              <w:bottom w:val="single" w:color="auto" w:sz="4" w:space="0"/>
              <w:right w:val="single" w:color="auto" w:sz="4" w:space="0"/>
            </w:tcBorders>
            <w:noWrap/>
            <w:vAlign w:val="center"/>
          </w:tcPr>
          <w:p>
            <w:pPr>
              <w:widowControl/>
              <w:jc w:val="center"/>
              <w:rPr>
                <w:kern w:val="0"/>
                <w:sz w:val="20"/>
                <w:szCs w:val="20"/>
              </w:rPr>
            </w:pPr>
            <w:r>
              <w:rPr>
                <w:kern w:val="0"/>
                <w:sz w:val="20"/>
                <w:szCs w:val="20"/>
              </w:rPr>
              <w:t>投资</w:t>
            </w:r>
          </w:p>
          <w:p>
            <w:pPr>
              <w:widowControl/>
              <w:jc w:val="center"/>
              <w:rPr>
                <w:kern w:val="0"/>
                <w:sz w:val="20"/>
                <w:szCs w:val="20"/>
              </w:rPr>
            </w:pPr>
            <w:r>
              <w:rPr>
                <w:kern w:val="0"/>
                <w:sz w:val="20"/>
                <w:szCs w:val="20"/>
              </w:rPr>
              <w:t>概算</w:t>
            </w:r>
          </w:p>
          <w:p>
            <w:pPr>
              <w:widowControl/>
              <w:jc w:val="center"/>
              <w:rPr>
                <w:kern w:val="0"/>
                <w:sz w:val="20"/>
                <w:szCs w:val="20"/>
              </w:rPr>
            </w:pPr>
            <w:r>
              <w:rPr>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ign w:val="center"/>
          </w:tcPr>
          <w:p>
            <w:pPr>
              <w:widowControl/>
              <w:jc w:val="left"/>
              <w:rPr>
                <w:kern w:val="0"/>
                <w:sz w:val="20"/>
                <w:szCs w:val="20"/>
              </w:rPr>
            </w:pPr>
          </w:p>
        </w:tc>
        <w:tc>
          <w:tcPr>
            <w:tcW w:w="1014" w:type="dxa"/>
            <w:tcBorders>
              <w:top w:val="nil"/>
              <w:left w:val="nil"/>
              <w:bottom w:val="single" w:color="auto" w:sz="4" w:space="0"/>
              <w:right w:val="single" w:color="auto" w:sz="4" w:space="0"/>
            </w:tcBorders>
            <w:noWrap/>
            <w:vAlign w:val="center"/>
          </w:tcPr>
          <w:p>
            <w:pPr>
              <w:widowControl/>
              <w:jc w:val="center"/>
              <w:rPr>
                <w:kern w:val="0"/>
                <w:sz w:val="20"/>
                <w:szCs w:val="20"/>
              </w:rPr>
            </w:pPr>
            <w:r>
              <w:rPr>
                <w:rFonts w:hint="eastAsia"/>
                <w:kern w:val="0"/>
                <w:sz w:val="20"/>
                <w:szCs w:val="20"/>
              </w:rPr>
              <w:t>﹨</w:t>
            </w:r>
          </w:p>
        </w:tc>
        <w:tc>
          <w:tcPr>
            <w:tcW w:w="805" w:type="dxa"/>
            <w:tcBorders>
              <w:top w:val="nil"/>
              <w:left w:val="nil"/>
              <w:bottom w:val="single" w:color="auto" w:sz="4" w:space="0"/>
              <w:right w:val="single" w:color="auto" w:sz="4" w:space="0"/>
            </w:tcBorders>
            <w:noWrap/>
            <w:vAlign w:val="center"/>
          </w:tcPr>
          <w:p>
            <w:pPr>
              <w:jc w:val="center"/>
              <w:rPr>
                <w:kern w:val="0"/>
                <w:sz w:val="20"/>
                <w:szCs w:val="20"/>
              </w:rPr>
            </w:pPr>
            <w:r>
              <w:rPr>
                <w:rFonts w:hint="eastAsia"/>
                <w:kern w:val="0"/>
                <w:sz w:val="20"/>
                <w:szCs w:val="20"/>
              </w:rPr>
              <w:t>﹨</w:t>
            </w:r>
          </w:p>
        </w:tc>
        <w:tc>
          <w:tcPr>
            <w:tcW w:w="1296" w:type="dxa"/>
            <w:tcBorders>
              <w:top w:val="nil"/>
              <w:left w:val="nil"/>
              <w:bottom w:val="single" w:color="auto" w:sz="4" w:space="0"/>
              <w:right w:val="single" w:color="auto" w:sz="4" w:space="0"/>
            </w:tcBorders>
            <w:noWrap/>
            <w:vAlign w:val="center"/>
          </w:tcPr>
          <w:p>
            <w:pPr>
              <w:jc w:val="center"/>
            </w:pPr>
            <w:r>
              <w:rPr>
                <w:rFonts w:hint="eastAsia"/>
                <w:kern w:val="0"/>
                <w:sz w:val="20"/>
                <w:szCs w:val="20"/>
              </w:rPr>
              <w:t>﹨</w:t>
            </w:r>
          </w:p>
        </w:tc>
        <w:tc>
          <w:tcPr>
            <w:tcW w:w="1089" w:type="dxa"/>
            <w:tcBorders>
              <w:top w:val="nil"/>
              <w:left w:val="nil"/>
              <w:bottom w:val="single" w:color="auto" w:sz="4" w:space="0"/>
              <w:right w:val="single" w:color="auto" w:sz="4" w:space="0"/>
            </w:tcBorders>
            <w:noWrap/>
            <w:vAlign w:val="center"/>
          </w:tcPr>
          <w:p>
            <w:pPr>
              <w:jc w:val="center"/>
              <w:rPr>
                <w:kern w:val="0"/>
                <w:sz w:val="20"/>
                <w:szCs w:val="20"/>
              </w:rPr>
            </w:pPr>
            <w:r>
              <w:rPr>
                <w:rFonts w:hint="eastAsia"/>
                <w:kern w:val="0"/>
                <w:sz w:val="20"/>
                <w:szCs w:val="20"/>
              </w:rPr>
              <w:t>﹨</w:t>
            </w:r>
          </w:p>
        </w:tc>
        <w:tc>
          <w:tcPr>
            <w:tcW w:w="949" w:type="dxa"/>
            <w:tcBorders>
              <w:top w:val="nil"/>
              <w:left w:val="nil"/>
              <w:bottom w:val="single" w:color="auto" w:sz="4" w:space="0"/>
              <w:right w:val="single" w:color="auto" w:sz="4" w:space="0"/>
            </w:tcBorders>
            <w:noWrap/>
            <w:vAlign w:val="center"/>
          </w:tcPr>
          <w:p>
            <w:pPr>
              <w:jc w:val="center"/>
            </w:pPr>
            <w:r>
              <w:rPr>
                <w:rFonts w:hint="eastAsia"/>
                <w:kern w:val="0"/>
                <w:sz w:val="20"/>
                <w:szCs w:val="20"/>
              </w:rPr>
              <w:t>﹨</w:t>
            </w:r>
          </w:p>
        </w:tc>
        <w:tc>
          <w:tcPr>
            <w:tcW w:w="978" w:type="dxa"/>
            <w:tcBorders>
              <w:top w:val="nil"/>
              <w:left w:val="nil"/>
              <w:bottom w:val="single" w:color="auto" w:sz="4" w:space="0"/>
              <w:right w:val="single" w:color="auto" w:sz="4" w:space="0"/>
            </w:tcBorders>
            <w:noWrap/>
            <w:vAlign w:val="center"/>
          </w:tcPr>
          <w:p>
            <w:pPr>
              <w:jc w:val="center"/>
              <w:rPr>
                <w:kern w:val="0"/>
                <w:sz w:val="20"/>
                <w:szCs w:val="20"/>
              </w:rPr>
            </w:pPr>
            <w:r>
              <w:rPr>
                <w:rFonts w:hint="eastAsia"/>
                <w:kern w:val="0"/>
                <w:sz w:val="20"/>
                <w:szCs w:val="20"/>
              </w:rPr>
              <w:t>﹨</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ign w:val="center"/>
          </w:tcPr>
          <w:p>
            <w:pPr>
              <w:widowControl/>
              <w:jc w:val="center"/>
              <w:rPr>
                <w:kern w:val="0"/>
                <w:sz w:val="20"/>
                <w:szCs w:val="20"/>
              </w:rPr>
            </w:pPr>
            <w:r>
              <w:rPr>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ign w:val="center"/>
          </w:tcPr>
          <w:p>
            <w:pPr>
              <w:widowControl/>
              <w:jc w:val="left"/>
              <w:rPr>
                <w:kern w:val="0"/>
                <w:sz w:val="20"/>
                <w:szCs w:val="20"/>
              </w:rPr>
            </w:pPr>
            <w:r>
              <w:rPr>
                <w:rFonts w:hint="eastAsia"/>
                <w:kern w:val="0"/>
                <w:sz w:val="20"/>
                <w:szCs w:val="20"/>
              </w:rPr>
              <w:t>一是加强</w:t>
            </w:r>
            <w:r>
              <w:rPr>
                <w:rFonts w:hint="eastAsia"/>
                <w:kern w:val="0"/>
                <w:sz w:val="20"/>
                <w:szCs w:val="20"/>
                <w:lang w:eastAsia="zh-CN"/>
              </w:rPr>
              <w:t>厉</w:t>
            </w:r>
            <w:r>
              <w:rPr>
                <w:rFonts w:hint="eastAsia"/>
                <w:kern w:val="0"/>
                <w:sz w:val="20"/>
                <w:szCs w:val="20"/>
              </w:rPr>
              <w:t>行节约宣传，提升</w:t>
            </w:r>
            <w:r>
              <w:rPr>
                <w:rFonts w:hint="eastAsia"/>
                <w:kern w:val="0"/>
                <w:sz w:val="20"/>
                <w:szCs w:val="20"/>
                <w:lang w:eastAsia="zh-CN"/>
              </w:rPr>
              <w:t>厉行节约</w:t>
            </w:r>
            <w:r>
              <w:rPr>
                <w:rFonts w:hint="eastAsia"/>
                <w:kern w:val="0"/>
                <w:sz w:val="20"/>
                <w:szCs w:val="20"/>
              </w:rPr>
              <w:t>意识。二是加强预算支出审核把关，合理科学使用预算，切实加强预算支出效率和质量。</w:t>
            </w:r>
            <w:r>
              <w:rPr>
                <w:kern w:val="0"/>
                <w:sz w:val="20"/>
                <w:szCs w:val="20"/>
              </w:rPr>
              <w:t>　</w:t>
            </w:r>
          </w:p>
        </w:tc>
      </w:tr>
    </w:tbl>
    <w:p>
      <w:pPr>
        <w:spacing w:beforeLines="50"/>
        <w:ind w:left="720" w:hanging="720" w:hangingChars="300"/>
        <w:rPr>
          <w:rFonts w:eastAsia="楷体_GB2312"/>
          <w:sz w:val="24"/>
        </w:rPr>
      </w:pPr>
      <w:r>
        <w:rPr>
          <w:rFonts w:eastAsia="楷体_GB2312"/>
          <w:kern w:val="0"/>
          <w:sz w:val="24"/>
        </w:rPr>
        <w:t>说明：“项目支出”需要填报除公共专项资金和基本支出以外的所有项目情况，包括业务工作项目、运行维护项目等；“公用经费”填报基本支出中的一般商品和服务支出。</w:t>
      </w:r>
    </w:p>
    <w:p/>
    <w:sectPr>
      <w:pgSz w:w="11906" w:h="16838"/>
      <w:pgMar w:top="1701" w:right="1587" w:bottom="1417" w:left="1701"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026E7B"/>
    <w:rsid w:val="00043CB4"/>
    <w:rsid w:val="000B6CA2"/>
    <w:rsid w:val="00120F17"/>
    <w:rsid w:val="00185A97"/>
    <w:rsid w:val="0018723C"/>
    <w:rsid w:val="001944D1"/>
    <w:rsid w:val="00215B76"/>
    <w:rsid w:val="00383365"/>
    <w:rsid w:val="00387352"/>
    <w:rsid w:val="003D4DDC"/>
    <w:rsid w:val="00444157"/>
    <w:rsid w:val="00487ADC"/>
    <w:rsid w:val="005C6F70"/>
    <w:rsid w:val="00617D39"/>
    <w:rsid w:val="006521C4"/>
    <w:rsid w:val="00776127"/>
    <w:rsid w:val="007E697C"/>
    <w:rsid w:val="0080280B"/>
    <w:rsid w:val="00833762"/>
    <w:rsid w:val="00884FA6"/>
    <w:rsid w:val="008F4AD5"/>
    <w:rsid w:val="0096052A"/>
    <w:rsid w:val="00A471A0"/>
    <w:rsid w:val="00A6783C"/>
    <w:rsid w:val="00A91FC3"/>
    <w:rsid w:val="00B474A9"/>
    <w:rsid w:val="00CB3D8C"/>
    <w:rsid w:val="00D40CC5"/>
    <w:rsid w:val="00D42E68"/>
    <w:rsid w:val="00D67954"/>
    <w:rsid w:val="00D7152F"/>
    <w:rsid w:val="00D72527"/>
    <w:rsid w:val="00D808C3"/>
    <w:rsid w:val="00D8534E"/>
    <w:rsid w:val="00DD70C3"/>
    <w:rsid w:val="00FB4956"/>
    <w:rsid w:val="07BB53C7"/>
    <w:rsid w:val="0D1158FC"/>
    <w:rsid w:val="2BE10696"/>
    <w:rsid w:val="2F7D712F"/>
    <w:rsid w:val="2FBF5A15"/>
    <w:rsid w:val="4ABA2B6C"/>
    <w:rsid w:val="531620E8"/>
    <w:rsid w:val="6094253D"/>
    <w:rsid w:val="64DD09ED"/>
    <w:rsid w:val="65A97E6F"/>
    <w:rsid w:val="6D1D02EE"/>
    <w:rsid w:val="74523DB3"/>
    <w:rsid w:val="79781D3D"/>
    <w:rsid w:val="7C3127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4">
    <w:name w:val="Normal (Web)"/>
    <w:uiPriority w:val="0"/>
    <w:pPr>
      <w:widowControl w:val="0"/>
      <w:spacing w:before="100" w:beforeAutospacing="1" w:after="100" w:afterAutospacing="1"/>
    </w:pPr>
    <w:rPr>
      <w:rFonts w:ascii="Calibri" w:hAnsi="Calibri" w:eastAsia="宋体" w:cs="Times New Roman"/>
      <w:sz w:val="24"/>
      <w:szCs w:val="22"/>
      <w:lang w:val="en-US" w:eastAsia="zh-CN" w:bidi="ar-SA"/>
    </w:rPr>
  </w:style>
  <w:style w:type="character" w:styleId="7">
    <w:name w:val="annotation reference"/>
    <w:uiPriority w:val="0"/>
    <w:rPr>
      <w:sz w:val="21"/>
      <w:szCs w:val="21"/>
    </w:rPr>
  </w:style>
  <w:style w:type="character" w:customStyle="1" w:styleId="8">
    <w:name w:val="font41"/>
    <w:basedOn w:val="6"/>
    <w:autoRedefine/>
    <w:qFormat/>
    <w:uiPriority w:val="0"/>
    <w:rPr>
      <w:rFonts w:hint="eastAsia" w:ascii="宋体" w:hAnsi="宋体" w:eastAsia="宋体" w:cs="宋体"/>
      <w:color w:val="000000"/>
      <w:sz w:val="18"/>
      <w:szCs w:val="18"/>
      <w:u w:val="none"/>
    </w:rPr>
  </w:style>
  <w:style w:type="character" w:customStyle="1" w:styleId="9">
    <w:name w:val="font31"/>
    <w:basedOn w:val="6"/>
    <w:autoRedefine/>
    <w:qFormat/>
    <w:uiPriority w:val="0"/>
    <w:rPr>
      <w:rFonts w:hint="default" w:ascii="Times New Roman" w:hAnsi="Times New Roman" w:cs="Times New Roman"/>
      <w:color w:val="000000"/>
      <w:sz w:val="18"/>
      <w:szCs w:val="18"/>
      <w:u w:val="none"/>
    </w:rPr>
  </w:style>
  <w:style w:type="character" w:customStyle="1" w:styleId="10">
    <w:name w:val="font21"/>
    <w:basedOn w:val="6"/>
    <w:autoRedefine/>
    <w:qFormat/>
    <w:uiPriority w:val="0"/>
    <w:rPr>
      <w:rFonts w:hint="eastAsia" w:ascii="宋体" w:hAnsi="宋体" w:eastAsia="宋体" w:cs="宋体"/>
      <w:color w:val="FF0000"/>
      <w:sz w:val="18"/>
      <w:szCs w:val="18"/>
      <w:u w:val="none"/>
    </w:rPr>
  </w:style>
  <w:style w:type="character" w:customStyle="1" w:styleId="11">
    <w:name w:val="font11"/>
    <w:basedOn w:val="6"/>
    <w:autoRedefine/>
    <w:qFormat/>
    <w:uiPriority w:val="0"/>
    <w:rPr>
      <w:rFonts w:hint="default" w:ascii="Times New Roman" w:hAnsi="Times New Roman" w:cs="Times New Roman"/>
      <w:color w:val="FF0000"/>
      <w:sz w:val="18"/>
      <w:szCs w:val="18"/>
      <w:u w:val="none"/>
    </w:rPr>
  </w:style>
  <w:style w:type="paragraph" w:styleId="12">
    <w:name w:val="List Paragraph"/>
    <w:basedOn w:val="1"/>
    <w:autoRedefine/>
    <w:qFormat/>
    <w:uiPriority w:val="99"/>
    <w:pPr>
      <w:ind w:firstLine="420" w:firstLineChars="200"/>
    </w:pPr>
    <w:rPr>
      <w:rFonts w:ascii="Calibri" w:hAnsi="Calibri"/>
      <w:szCs w:val="22"/>
    </w:rPr>
  </w:style>
  <w:style w:type="character" w:customStyle="1" w:styleId="13">
    <w:name w:val="页眉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www.honpi.com</Company>
  <Pages>12</Pages>
  <Words>995</Words>
  <Characters>5673</Characters>
  <Lines>47</Lines>
  <Paragraphs>13</Paragraphs>
  <TotalTime>82</TotalTime>
  <ScaleCrop>false</ScaleCrop>
  <LinksUpToDate>false</LinksUpToDate>
  <CharactersWithSpaces>6655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2021-02-23T08:52:00Z</cp:lastPrinted>
  <dcterms:modified xsi:type="dcterms:W3CDTF">2023-12-18T04:35:49Z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15FF821565F94CDDAF68AFF71C5D1E16_13</vt:lpwstr>
  </property>
</Properties>
</file>