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5B" w:rsidRDefault="001A430E">
      <w:pPr>
        <w:spacing w:line="800" w:lineRule="exact"/>
        <w:jc w:val="center"/>
        <w:rPr>
          <w:rFonts w:eastAsia="方正小标宋简体"/>
          <w:bCs/>
          <w:sz w:val="46"/>
          <w:szCs w:val="46"/>
        </w:rPr>
      </w:pPr>
      <w:r>
        <w:rPr>
          <w:rFonts w:eastAsia="方正小标宋简体" w:hint="eastAsia"/>
          <w:bCs/>
          <w:sz w:val="46"/>
          <w:szCs w:val="46"/>
        </w:rPr>
        <w:t>雨花区</w:t>
      </w:r>
      <w:r>
        <w:rPr>
          <w:rFonts w:eastAsia="方正小标宋简体" w:hint="eastAsia"/>
          <w:bCs/>
          <w:sz w:val="46"/>
          <w:szCs w:val="46"/>
        </w:rPr>
        <w:t>20</w:t>
      </w:r>
      <w:r>
        <w:rPr>
          <w:rFonts w:eastAsia="方正小标宋简体"/>
          <w:bCs/>
          <w:sz w:val="46"/>
          <w:szCs w:val="46"/>
        </w:rPr>
        <w:t>19</w:t>
      </w:r>
      <w:r>
        <w:rPr>
          <w:rFonts w:eastAsia="方正小标宋简体" w:hint="eastAsia"/>
          <w:bCs/>
          <w:sz w:val="46"/>
          <w:szCs w:val="46"/>
        </w:rPr>
        <w:t>年度部门（单位）整体支出</w:t>
      </w:r>
    </w:p>
    <w:p w:rsidR="000F7E5B" w:rsidRDefault="001A430E">
      <w:pPr>
        <w:spacing w:line="800" w:lineRule="exact"/>
        <w:jc w:val="center"/>
        <w:rPr>
          <w:rFonts w:eastAsia="方正小标宋简体"/>
          <w:bCs/>
          <w:sz w:val="46"/>
          <w:szCs w:val="46"/>
        </w:rPr>
      </w:pPr>
      <w:r>
        <w:rPr>
          <w:rFonts w:eastAsia="方正小标宋简体" w:hint="eastAsia"/>
          <w:bCs/>
          <w:sz w:val="46"/>
          <w:szCs w:val="46"/>
        </w:rPr>
        <w:t>绩效评价自评报告</w:t>
      </w:r>
    </w:p>
    <w:p w:rsidR="000F7E5B" w:rsidRDefault="000F7E5B">
      <w:pPr>
        <w:rPr>
          <w:rFonts w:eastAsia="仿宋_GB2312"/>
          <w:b/>
          <w:sz w:val="32"/>
        </w:rPr>
      </w:pPr>
    </w:p>
    <w:p w:rsidR="000F7E5B" w:rsidRDefault="000F7E5B">
      <w:pPr>
        <w:rPr>
          <w:rFonts w:eastAsia="仿宋_GB2312"/>
          <w:b/>
          <w:sz w:val="32"/>
        </w:rPr>
      </w:pPr>
    </w:p>
    <w:p w:rsidR="000F7E5B" w:rsidRDefault="000F7E5B">
      <w:pPr>
        <w:rPr>
          <w:rFonts w:eastAsia="仿宋_GB2312"/>
          <w:b/>
          <w:sz w:val="32"/>
        </w:rPr>
      </w:pPr>
    </w:p>
    <w:p w:rsidR="000F7E5B" w:rsidRDefault="001A430E" w:rsidP="00370A52">
      <w:pPr>
        <w:spacing w:beforeLines="50" w:line="348" w:lineRule="auto"/>
        <w:ind w:firstLineChars="150" w:firstLine="474"/>
        <w:rPr>
          <w:rFonts w:eastAsia="仿宋_GB2312"/>
          <w:sz w:val="32"/>
          <w:u w:val="single"/>
        </w:rPr>
      </w:pPr>
      <w:r>
        <w:rPr>
          <w:rFonts w:eastAsia="仿宋_GB2312" w:hint="eastAsia"/>
          <w:sz w:val="32"/>
        </w:rPr>
        <w:t>部门</w:t>
      </w:r>
      <w:r>
        <w:rPr>
          <w:rFonts w:eastAsia="仿宋_GB2312" w:hint="eastAsia"/>
          <w:sz w:val="32"/>
        </w:rPr>
        <w:t>(</w:t>
      </w:r>
      <w:r>
        <w:rPr>
          <w:rFonts w:eastAsia="仿宋_GB2312" w:hint="eastAsia"/>
          <w:sz w:val="32"/>
        </w:rPr>
        <w:t>单位</w:t>
      </w:r>
      <w:r>
        <w:rPr>
          <w:rFonts w:eastAsia="仿宋_GB2312" w:hint="eastAsia"/>
          <w:sz w:val="32"/>
        </w:rPr>
        <w:t>)</w:t>
      </w:r>
      <w:r>
        <w:rPr>
          <w:rFonts w:eastAsia="仿宋_GB2312" w:hint="eastAsia"/>
          <w:sz w:val="32"/>
        </w:rPr>
        <w:t>名称</w:t>
      </w:r>
      <w:r>
        <w:rPr>
          <w:rFonts w:eastAsia="仿宋_GB2312"/>
          <w:sz w:val="32"/>
        </w:rPr>
        <w:t>：</w:t>
      </w:r>
      <w:r>
        <w:rPr>
          <w:rFonts w:eastAsia="仿宋_GB2312"/>
          <w:sz w:val="32"/>
          <w:u w:val="single"/>
        </w:rPr>
        <w:t>长沙市雨花区国有资产事务中心</w:t>
      </w:r>
    </w:p>
    <w:p w:rsidR="000F7E5B" w:rsidRDefault="001A430E" w:rsidP="00370A52">
      <w:pPr>
        <w:spacing w:beforeLines="50" w:line="348" w:lineRule="auto"/>
        <w:ind w:firstLineChars="150" w:firstLine="474"/>
        <w:rPr>
          <w:rFonts w:eastAsia="仿宋_GB2312"/>
          <w:sz w:val="32"/>
        </w:rPr>
      </w:pPr>
      <w:r>
        <w:rPr>
          <w:rFonts w:eastAsia="仿宋_GB2312" w:hint="eastAsia"/>
          <w:sz w:val="32"/>
        </w:rPr>
        <w:t>预算编码</w:t>
      </w:r>
      <w:r>
        <w:rPr>
          <w:rFonts w:eastAsia="仿宋_GB2312"/>
          <w:sz w:val="32"/>
        </w:rPr>
        <w:t xml:space="preserve">:  </w:t>
      </w:r>
      <w:r>
        <w:rPr>
          <w:rFonts w:eastAsia="仿宋_GB2312"/>
          <w:sz w:val="32"/>
          <w:u w:val="single"/>
        </w:rPr>
        <w:t xml:space="preserve"> 073001</w:t>
      </w:r>
    </w:p>
    <w:p w:rsidR="000F7E5B" w:rsidRDefault="000F7E5B">
      <w:pPr>
        <w:spacing w:line="348" w:lineRule="auto"/>
        <w:ind w:firstLineChars="690" w:firstLine="2182"/>
        <w:rPr>
          <w:rFonts w:eastAsia="仿宋_GB2312"/>
          <w:sz w:val="32"/>
        </w:rPr>
      </w:pPr>
    </w:p>
    <w:p w:rsidR="000F7E5B" w:rsidRDefault="000F7E5B">
      <w:pPr>
        <w:spacing w:line="348" w:lineRule="auto"/>
        <w:ind w:firstLineChars="690" w:firstLine="2182"/>
        <w:rPr>
          <w:rFonts w:eastAsia="仿宋_GB2312"/>
          <w:sz w:val="32"/>
        </w:rPr>
      </w:pPr>
    </w:p>
    <w:p w:rsidR="000F7E5B" w:rsidRDefault="000F7E5B">
      <w:pPr>
        <w:spacing w:line="348" w:lineRule="auto"/>
        <w:ind w:firstLineChars="690" w:firstLine="2182"/>
        <w:rPr>
          <w:rFonts w:eastAsia="仿宋_GB2312"/>
          <w:sz w:val="32"/>
        </w:rPr>
      </w:pPr>
    </w:p>
    <w:p w:rsidR="000F7E5B" w:rsidRDefault="000F7E5B">
      <w:pPr>
        <w:spacing w:line="348" w:lineRule="auto"/>
        <w:ind w:firstLineChars="690" w:firstLine="2182"/>
        <w:rPr>
          <w:rFonts w:eastAsia="仿宋_GB2312"/>
          <w:sz w:val="32"/>
        </w:rPr>
      </w:pPr>
    </w:p>
    <w:p w:rsidR="000F7E5B" w:rsidRDefault="000F7E5B">
      <w:pPr>
        <w:spacing w:line="348" w:lineRule="auto"/>
        <w:ind w:firstLineChars="690" w:firstLine="2182"/>
        <w:rPr>
          <w:rFonts w:eastAsia="仿宋_GB2312"/>
          <w:sz w:val="32"/>
        </w:rPr>
      </w:pPr>
    </w:p>
    <w:p w:rsidR="000F7E5B" w:rsidRDefault="001A430E">
      <w:pPr>
        <w:spacing w:line="348" w:lineRule="auto"/>
        <w:ind w:firstLineChars="690" w:firstLine="2182"/>
        <w:rPr>
          <w:rFonts w:eastAsia="仿宋_GB2312"/>
          <w:sz w:val="32"/>
        </w:rPr>
      </w:pPr>
      <w:r>
        <w:rPr>
          <w:rFonts w:eastAsia="仿宋_GB2312" w:hint="eastAsia"/>
          <w:sz w:val="32"/>
        </w:rPr>
        <w:t>报告日期：</w:t>
      </w:r>
      <w:r>
        <w:rPr>
          <w:rFonts w:eastAsia="仿宋_GB2312"/>
          <w:sz w:val="32"/>
        </w:rPr>
        <w:t>2020</w:t>
      </w:r>
      <w:r>
        <w:rPr>
          <w:rFonts w:eastAsia="仿宋_GB2312" w:hint="eastAsia"/>
          <w:sz w:val="32"/>
        </w:rPr>
        <w:t>年</w:t>
      </w:r>
      <w:r>
        <w:rPr>
          <w:rFonts w:eastAsia="仿宋_GB2312"/>
          <w:sz w:val="32"/>
        </w:rPr>
        <w:t>3</w:t>
      </w:r>
      <w:r>
        <w:rPr>
          <w:rFonts w:eastAsia="仿宋_GB2312" w:hint="eastAsia"/>
          <w:sz w:val="32"/>
        </w:rPr>
        <w:t xml:space="preserve"> </w:t>
      </w:r>
      <w:r>
        <w:rPr>
          <w:rFonts w:eastAsia="仿宋_GB2312" w:hint="eastAsia"/>
          <w:sz w:val="32"/>
        </w:rPr>
        <w:t>月</w:t>
      </w:r>
      <w:r>
        <w:rPr>
          <w:rFonts w:eastAsia="仿宋_GB2312"/>
          <w:sz w:val="32"/>
        </w:rPr>
        <w:t>24</w:t>
      </w:r>
      <w:r>
        <w:rPr>
          <w:rFonts w:eastAsia="仿宋_GB2312" w:hint="eastAsia"/>
          <w:sz w:val="32"/>
        </w:rPr>
        <w:t>日</w:t>
      </w:r>
    </w:p>
    <w:p w:rsidR="000F7E5B" w:rsidRDefault="001A430E">
      <w:pPr>
        <w:autoSpaceDN w:val="0"/>
        <w:jc w:val="center"/>
        <w:textAlignment w:val="center"/>
        <w:rPr>
          <w:rFonts w:eastAsia="仿宋_GB2312"/>
          <w:sz w:val="32"/>
          <w:szCs w:val="32"/>
        </w:rPr>
      </w:pPr>
      <w:r>
        <w:rPr>
          <w:rFonts w:eastAsia="仿宋_GB2312" w:hint="eastAsia"/>
          <w:sz w:val="32"/>
        </w:rPr>
        <w:t>雨花区财政</w:t>
      </w:r>
      <w:r>
        <w:rPr>
          <w:rFonts w:eastAsia="仿宋_GB2312" w:hint="eastAsia"/>
          <w:sz w:val="32"/>
          <w:szCs w:val="32"/>
        </w:rPr>
        <w:t>局（制）</w:t>
      </w:r>
    </w:p>
    <w:p w:rsidR="000F7E5B" w:rsidRDefault="000F7E5B">
      <w:pPr>
        <w:autoSpaceDN w:val="0"/>
        <w:jc w:val="center"/>
        <w:textAlignment w:val="center"/>
        <w:rPr>
          <w:rFonts w:eastAsia="仿宋_GB2312"/>
          <w:sz w:val="32"/>
          <w:szCs w:val="32"/>
        </w:rPr>
        <w:sectPr w:rsidR="000F7E5B">
          <w:headerReference w:type="even" r:id="rId6"/>
          <w:headerReference w:type="default" r:id="rId7"/>
          <w:footerReference w:type="even" r:id="rId8"/>
          <w:footerReference w:type="default" r:id="rId9"/>
          <w:headerReference w:type="first" r:id="rId10"/>
          <w:footerReference w:type="first" r:id="rId11"/>
          <w:pgSz w:w="11906" w:h="16838"/>
          <w:pgMar w:top="1701" w:right="1417" w:bottom="1701" w:left="1417" w:header="851" w:footer="992" w:gutter="0"/>
          <w:pgNumType w:fmt="numberInDash" w:start="8"/>
          <w:cols w:space="720"/>
          <w:titlePg/>
          <w:docGrid w:type="linesAndChars" w:linePitch="602" w:charSpace="-782"/>
        </w:sectPr>
      </w:pPr>
    </w:p>
    <w:p w:rsidR="000F7E5B" w:rsidRDefault="001A430E">
      <w:pPr>
        <w:spacing w:line="348" w:lineRule="auto"/>
        <w:rPr>
          <w:rFonts w:eastAsia="黑体" w:cs="黑体"/>
          <w:bCs/>
          <w:sz w:val="32"/>
          <w:szCs w:val="32"/>
        </w:rPr>
      </w:pPr>
      <w:r>
        <w:rPr>
          <w:rFonts w:ascii="黑体" w:eastAsia="黑体" w:cs="宋体" w:hint="eastAsia"/>
          <w:kern w:val="0"/>
          <w:sz w:val="32"/>
          <w:szCs w:val="32"/>
        </w:rPr>
        <w:lastRenderedPageBreak/>
        <w:t>附件1</w:t>
      </w:r>
      <w:r>
        <w:rPr>
          <w:rFonts w:ascii="黑体" w:eastAsia="黑体" w:cs="宋体"/>
          <w:kern w:val="0"/>
          <w:sz w:val="32"/>
          <w:szCs w:val="32"/>
        </w:rPr>
        <w:tab/>
      </w:r>
    </w:p>
    <w:p w:rsidR="000F7E5B" w:rsidRDefault="001A430E">
      <w:pPr>
        <w:widowControl/>
        <w:ind w:left="93"/>
        <w:jc w:val="center"/>
        <w:rPr>
          <w:rFonts w:ascii="宋体" w:cs="宋体"/>
          <w:kern w:val="0"/>
          <w:sz w:val="24"/>
        </w:rPr>
      </w:pPr>
      <w:r>
        <w:rPr>
          <w:rFonts w:ascii="方正小标宋_GBK" w:eastAsia="方正小标宋_GBK" w:cs="宋体" w:hint="eastAsia"/>
          <w:kern w:val="0"/>
          <w:sz w:val="36"/>
          <w:szCs w:val="36"/>
        </w:rPr>
        <w:t>部门整体支出绩效评价指标表</w:t>
      </w:r>
    </w:p>
    <w:tbl>
      <w:tblPr>
        <w:tblW w:w="0" w:type="auto"/>
        <w:jc w:val="center"/>
        <w:tblLayout w:type="fixed"/>
        <w:tblLook w:val="0000"/>
      </w:tblPr>
      <w:tblGrid>
        <w:gridCol w:w="518"/>
        <w:gridCol w:w="439"/>
        <w:gridCol w:w="675"/>
        <w:gridCol w:w="439"/>
        <w:gridCol w:w="1009"/>
        <w:gridCol w:w="416"/>
        <w:gridCol w:w="2999"/>
        <w:gridCol w:w="3470"/>
        <w:gridCol w:w="635"/>
      </w:tblGrid>
      <w:tr w:rsidR="000F7E5B">
        <w:trPr>
          <w:tblHeader/>
          <w:jc w:val="center"/>
        </w:trPr>
        <w:tc>
          <w:tcPr>
            <w:tcW w:w="518" w:type="dxa"/>
            <w:tcBorders>
              <w:top w:val="single" w:sz="4" w:space="0" w:color="auto"/>
              <w:left w:val="single" w:sz="4" w:space="0" w:color="auto"/>
              <w:bottom w:val="single" w:sz="4" w:space="0" w:color="auto"/>
              <w:right w:val="single" w:sz="4" w:space="0" w:color="auto"/>
            </w:tcBorders>
            <w:vAlign w:val="center"/>
          </w:tcPr>
          <w:p w:rsidR="000F7E5B" w:rsidRDefault="001A430E">
            <w:pPr>
              <w:widowControl/>
              <w:spacing w:line="240" w:lineRule="exact"/>
              <w:jc w:val="left"/>
              <w:rPr>
                <w:rFonts w:ascii="仿宋_GB2312" w:eastAsia="仿宋_GB2312" w:cs="宋体"/>
                <w:kern w:val="0"/>
                <w:sz w:val="20"/>
                <w:szCs w:val="20"/>
              </w:rPr>
            </w:pPr>
            <w:r>
              <w:rPr>
                <w:rFonts w:ascii="仿宋_GB2312" w:eastAsia="仿宋_GB2312" w:cs="宋体" w:hint="eastAsia"/>
                <w:kern w:val="0"/>
                <w:sz w:val="20"/>
                <w:szCs w:val="20"/>
              </w:rPr>
              <w:t>一级指标</w:t>
            </w:r>
          </w:p>
        </w:tc>
        <w:tc>
          <w:tcPr>
            <w:tcW w:w="439" w:type="dxa"/>
            <w:tcBorders>
              <w:top w:val="single" w:sz="4" w:space="0" w:color="auto"/>
              <w:left w:val="nil"/>
              <w:bottom w:val="single" w:sz="4" w:space="0" w:color="auto"/>
              <w:right w:val="single" w:sz="4" w:space="0" w:color="auto"/>
            </w:tcBorders>
            <w:vAlign w:val="center"/>
          </w:tcPr>
          <w:p w:rsidR="000F7E5B" w:rsidRDefault="001A430E">
            <w:pPr>
              <w:widowControl/>
              <w:spacing w:line="240" w:lineRule="exact"/>
              <w:jc w:val="center"/>
              <w:rPr>
                <w:rFonts w:ascii="仿宋_GB2312" w:eastAsia="仿宋_GB2312" w:cs="宋体"/>
                <w:kern w:val="0"/>
                <w:sz w:val="20"/>
                <w:szCs w:val="20"/>
              </w:rPr>
            </w:pPr>
            <w:r>
              <w:rPr>
                <w:rFonts w:ascii="仿宋_GB2312" w:eastAsia="仿宋_GB2312" w:cs="宋体" w:hint="eastAsia"/>
                <w:kern w:val="0"/>
                <w:sz w:val="20"/>
                <w:szCs w:val="20"/>
              </w:rPr>
              <w:t>分值</w:t>
            </w:r>
          </w:p>
        </w:tc>
        <w:tc>
          <w:tcPr>
            <w:tcW w:w="675" w:type="dxa"/>
            <w:tcBorders>
              <w:top w:val="single" w:sz="4" w:space="0" w:color="auto"/>
              <w:left w:val="nil"/>
              <w:bottom w:val="single" w:sz="4" w:space="0" w:color="auto"/>
              <w:right w:val="single" w:sz="4" w:space="0" w:color="auto"/>
            </w:tcBorders>
            <w:vAlign w:val="center"/>
          </w:tcPr>
          <w:p w:rsidR="000F7E5B" w:rsidRDefault="001A430E">
            <w:pPr>
              <w:widowControl/>
              <w:spacing w:line="240" w:lineRule="exact"/>
              <w:jc w:val="center"/>
              <w:rPr>
                <w:rFonts w:ascii="仿宋_GB2312" w:eastAsia="仿宋_GB2312" w:cs="宋体"/>
                <w:kern w:val="0"/>
                <w:sz w:val="20"/>
                <w:szCs w:val="20"/>
              </w:rPr>
            </w:pPr>
            <w:r>
              <w:rPr>
                <w:rFonts w:ascii="仿宋_GB2312" w:eastAsia="仿宋_GB2312" w:cs="宋体" w:hint="eastAsia"/>
                <w:kern w:val="0"/>
                <w:sz w:val="20"/>
                <w:szCs w:val="20"/>
              </w:rPr>
              <w:t>二级指标</w:t>
            </w:r>
          </w:p>
        </w:tc>
        <w:tc>
          <w:tcPr>
            <w:tcW w:w="439" w:type="dxa"/>
            <w:tcBorders>
              <w:top w:val="single" w:sz="4" w:space="0" w:color="auto"/>
              <w:left w:val="nil"/>
              <w:bottom w:val="single" w:sz="4" w:space="0" w:color="auto"/>
              <w:right w:val="single" w:sz="4" w:space="0" w:color="auto"/>
            </w:tcBorders>
            <w:vAlign w:val="center"/>
          </w:tcPr>
          <w:p w:rsidR="000F7E5B" w:rsidRDefault="001A430E">
            <w:pPr>
              <w:widowControl/>
              <w:spacing w:line="240" w:lineRule="exact"/>
              <w:jc w:val="center"/>
              <w:rPr>
                <w:rFonts w:ascii="仿宋_GB2312" w:eastAsia="仿宋_GB2312" w:cs="宋体"/>
                <w:kern w:val="0"/>
                <w:sz w:val="20"/>
                <w:szCs w:val="20"/>
              </w:rPr>
            </w:pPr>
            <w:r>
              <w:rPr>
                <w:rFonts w:ascii="仿宋_GB2312" w:eastAsia="仿宋_GB2312" w:cs="宋体" w:hint="eastAsia"/>
                <w:kern w:val="0"/>
                <w:sz w:val="20"/>
                <w:szCs w:val="20"/>
              </w:rPr>
              <w:t>分值</w:t>
            </w:r>
          </w:p>
        </w:tc>
        <w:tc>
          <w:tcPr>
            <w:tcW w:w="1009" w:type="dxa"/>
            <w:tcBorders>
              <w:top w:val="single" w:sz="4" w:space="0" w:color="auto"/>
              <w:left w:val="nil"/>
              <w:bottom w:val="single" w:sz="4" w:space="0" w:color="auto"/>
              <w:right w:val="single" w:sz="4" w:space="0" w:color="auto"/>
            </w:tcBorders>
            <w:vAlign w:val="center"/>
          </w:tcPr>
          <w:p w:rsidR="000F7E5B" w:rsidRDefault="001A430E">
            <w:pPr>
              <w:widowControl/>
              <w:spacing w:line="240" w:lineRule="exact"/>
              <w:jc w:val="center"/>
              <w:rPr>
                <w:rFonts w:ascii="仿宋_GB2312" w:eastAsia="仿宋_GB2312" w:cs="宋体"/>
                <w:kern w:val="0"/>
                <w:sz w:val="20"/>
                <w:szCs w:val="20"/>
              </w:rPr>
            </w:pPr>
            <w:r>
              <w:rPr>
                <w:rFonts w:ascii="仿宋_GB2312" w:eastAsia="仿宋_GB2312" w:cs="宋体" w:hint="eastAsia"/>
                <w:kern w:val="0"/>
                <w:sz w:val="20"/>
                <w:szCs w:val="20"/>
              </w:rPr>
              <w:t>三级</w:t>
            </w:r>
          </w:p>
          <w:p w:rsidR="000F7E5B" w:rsidRDefault="001A430E">
            <w:pPr>
              <w:widowControl/>
              <w:spacing w:line="240" w:lineRule="exact"/>
              <w:jc w:val="center"/>
              <w:rPr>
                <w:rFonts w:ascii="仿宋_GB2312" w:eastAsia="仿宋_GB2312" w:cs="宋体"/>
                <w:kern w:val="0"/>
                <w:sz w:val="20"/>
                <w:szCs w:val="20"/>
              </w:rPr>
            </w:pPr>
            <w:r>
              <w:rPr>
                <w:rFonts w:ascii="仿宋_GB2312" w:eastAsia="仿宋_GB2312" w:cs="宋体" w:hint="eastAsia"/>
                <w:kern w:val="0"/>
                <w:sz w:val="20"/>
                <w:szCs w:val="20"/>
              </w:rPr>
              <w:t>指标</w:t>
            </w:r>
          </w:p>
        </w:tc>
        <w:tc>
          <w:tcPr>
            <w:tcW w:w="416" w:type="dxa"/>
            <w:tcBorders>
              <w:top w:val="single" w:sz="4" w:space="0" w:color="auto"/>
              <w:left w:val="nil"/>
              <w:bottom w:val="single" w:sz="4" w:space="0" w:color="auto"/>
              <w:right w:val="single" w:sz="4" w:space="0" w:color="auto"/>
            </w:tcBorders>
            <w:vAlign w:val="center"/>
          </w:tcPr>
          <w:p w:rsidR="000F7E5B" w:rsidRDefault="001A430E">
            <w:pPr>
              <w:widowControl/>
              <w:spacing w:line="240" w:lineRule="exact"/>
              <w:jc w:val="center"/>
              <w:rPr>
                <w:rFonts w:ascii="仿宋_GB2312" w:eastAsia="仿宋_GB2312" w:cs="宋体"/>
                <w:kern w:val="0"/>
                <w:sz w:val="20"/>
                <w:szCs w:val="20"/>
              </w:rPr>
            </w:pPr>
            <w:r>
              <w:rPr>
                <w:rFonts w:ascii="仿宋_GB2312" w:eastAsia="仿宋_GB2312" w:cs="宋体" w:hint="eastAsia"/>
                <w:kern w:val="0"/>
                <w:sz w:val="20"/>
                <w:szCs w:val="20"/>
              </w:rPr>
              <w:t>分值</w:t>
            </w:r>
          </w:p>
        </w:tc>
        <w:tc>
          <w:tcPr>
            <w:tcW w:w="2999" w:type="dxa"/>
            <w:tcBorders>
              <w:top w:val="single" w:sz="4" w:space="0" w:color="auto"/>
              <w:left w:val="nil"/>
              <w:bottom w:val="single" w:sz="4" w:space="0" w:color="auto"/>
              <w:right w:val="single" w:sz="4" w:space="0" w:color="auto"/>
            </w:tcBorders>
            <w:vAlign w:val="center"/>
          </w:tcPr>
          <w:p w:rsidR="000F7E5B" w:rsidRDefault="001A430E">
            <w:pPr>
              <w:widowControl/>
              <w:spacing w:line="240" w:lineRule="exact"/>
              <w:jc w:val="center"/>
              <w:rPr>
                <w:rFonts w:ascii="仿宋_GB2312" w:eastAsia="仿宋_GB2312" w:cs="宋体"/>
                <w:kern w:val="0"/>
                <w:sz w:val="20"/>
                <w:szCs w:val="20"/>
              </w:rPr>
            </w:pPr>
            <w:r>
              <w:rPr>
                <w:rFonts w:ascii="仿宋_GB2312" w:eastAsia="仿宋_GB2312" w:cs="宋体" w:hint="eastAsia"/>
                <w:kern w:val="0"/>
                <w:sz w:val="20"/>
                <w:szCs w:val="20"/>
              </w:rPr>
              <w:t>评价标准</w:t>
            </w:r>
          </w:p>
        </w:tc>
        <w:tc>
          <w:tcPr>
            <w:tcW w:w="3470" w:type="dxa"/>
            <w:tcBorders>
              <w:top w:val="single" w:sz="4" w:space="0" w:color="auto"/>
              <w:left w:val="nil"/>
              <w:bottom w:val="single" w:sz="4" w:space="0" w:color="auto"/>
              <w:right w:val="single" w:sz="4" w:space="0" w:color="auto"/>
            </w:tcBorders>
            <w:vAlign w:val="center"/>
          </w:tcPr>
          <w:p w:rsidR="000F7E5B" w:rsidRDefault="001A430E">
            <w:pPr>
              <w:widowControl/>
              <w:spacing w:line="240" w:lineRule="exact"/>
              <w:jc w:val="center"/>
              <w:rPr>
                <w:rFonts w:ascii="仿宋_GB2312" w:eastAsia="仿宋_GB2312" w:cs="宋体"/>
                <w:kern w:val="0"/>
                <w:sz w:val="20"/>
                <w:szCs w:val="20"/>
              </w:rPr>
            </w:pPr>
            <w:r>
              <w:rPr>
                <w:rFonts w:ascii="仿宋_GB2312" w:eastAsia="仿宋_GB2312" w:cs="宋体" w:hint="eastAsia"/>
                <w:kern w:val="0"/>
                <w:sz w:val="20"/>
                <w:szCs w:val="20"/>
              </w:rPr>
              <w:t>指标说明</w:t>
            </w:r>
          </w:p>
        </w:tc>
        <w:tc>
          <w:tcPr>
            <w:tcW w:w="635" w:type="dxa"/>
            <w:tcBorders>
              <w:top w:val="single" w:sz="4" w:space="0" w:color="auto"/>
              <w:left w:val="nil"/>
              <w:bottom w:val="single" w:sz="4" w:space="0" w:color="auto"/>
              <w:right w:val="single" w:sz="4" w:space="0" w:color="auto"/>
            </w:tcBorders>
            <w:vAlign w:val="center"/>
          </w:tcPr>
          <w:p w:rsidR="000F7E5B" w:rsidRDefault="001A430E">
            <w:pPr>
              <w:widowControl/>
              <w:spacing w:line="240" w:lineRule="exact"/>
              <w:jc w:val="center"/>
              <w:rPr>
                <w:rFonts w:ascii="仿宋_GB2312" w:eastAsia="仿宋_GB2312" w:cs="宋体"/>
                <w:kern w:val="0"/>
                <w:sz w:val="20"/>
                <w:szCs w:val="20"/>
              </w:rPr>
            </w:pPr>
            <w:r>
              <w:rPr>
                <w:rFonts w:ascii="仿宋_GB2312" w:eastAsia="仿宋_GB2312" w:cs="宋体" w:hint="eastAsia"/>
                <w:kern w:val="0"/>
                <w:sz w:val="20"/>
                <w:szCs w:val="20"/>
              </w:rPr>
              <w:t>得分</w:t>
            </w:r>
          </w:p>
        </w:tc>
      </w:tr>
      <w:tr w:rsidR="000F7E5B">
        <w:trPr>
          <w:jc w:val="center"/>
        </w:trPr>
        <w:tc>
          <w:tcPr>
            <w:tcW w:w="518" w:type="dxa"/>
            <w:vMerge w:val="restart"/>
            <w:tcBorders>
              <w:top w:val="nil"/>
              <w:left w:val="single" w:sz="4" w:space="0" w:color="auto"/>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投入</w:t>
            </w:r>
          </w:p>
        </w:tc>
        <w:tc>
          <w:tcPr>
            <w:tcW w:w="439"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13</w:t>
            </w:r>
          </w:p>
        </w:tc>
        <w:tc>
          <w:tcPr>
            <w:tcW w:w="675" w:type="dxa"/>
            <w:vMerge w:val="restart"/>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预算配置</w:t>
            </w:r>
          </w:p>
        </w:tc>
        <w:tc>
          <w:tcPr>
            <w:tcW w:w="439"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13</w:t>
            </w:r>
          </w:p>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在职人员控制率</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5</w:t>
            </w:r>
          </w:p>
        </w:tc>
        <w:tc>
          <w:tcPr>
            <w:tcW w:w="2999" w:type="dxa"/>
            <w:tcBorders>
              <w:top w:val="nil"/>
              <w:left w:val="nil"/>
              <w:bottom w:val="nil"/>
              <w:right w:val="nil"/>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以100%为标准。在职人员控制率</w:t>
            </w:r>
            <w:r>
              <w:rPr>
                <w:rFonts w:ascii="宋体" w:cs="宋体" w:hint="eastAsia"/>
                <w:kern w:val="0"/>
                <w:sz w:val="20"/>
                <w:szCs w:val="20"/>
              </w:rPr>
              <w:t>≦</w:t>
            </w:r>
            <w:r>
              <w:rPr>
                <w:rFonts w:ascii="仿宋_GB2312" w:eastAsia="仿宋_GB2312" w:cs="宋体" w:hint="eastAsia"/>
                <w:kern w:val="0"/>
                <w:sz w:val="20"/>
                <w:szCs w:val="20"/>
              </w:rPr>
              <w:t>100%，计5分；每超过一个百分点扣0.5分，扣完为止。</w:t>
            </w:r>
          </w:p>
        </w:tc>
        <w:tc>
          <w:tcPr>
            <w:tcW w:w="3470" w:type="dxa"/>
            <w:tcBorders>
              <w:top w:val="nil"/>
              <w:left w:val="single" w:sz="4" w:space="0" w:color="auto"/>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在职人员控制率=（在职人员数/编制数）×100%，在职人员数：部门（单位）实际在职人数，以财政局确定的部门决算编制口径为准。</w:t>
            </w:r>
            <w:r>
              <w:rPr>
                <w:rFonts w:ascii="仿宋_GB2312" w:eastAsia="仿宋_GB2312" w:cs="宋体" w:hint="eastAsia"/>
                <w:kern w:val="0"/>
                <w:sz w:val="20"/>
                <w:szCs w:val="20"/>
              </w:rPr>
              <w:br/>
              <w:t>编制数：机构编制部门核定批复的部门（单位）的人员编制数。</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5</w:t>
            </w:r>
          </w:p>
        </w:tc>
      </w:tr>
      <w:tr w:rsidR="000F7E5B">
        <w:trPr>
          <w:jc w:val="center"/>
        </w:trPr>
        <w:tc>
          <w:tcPr>
            <w:tcW w:w="518" w:type="dxa"/>
            <w:vMerge/>
            <w:tcBorders>
              <w:top w:val="nil"/>
              <w:left w:val="single" w:sz="4" w:space="0" w:color="auto"/>
              <w:bottom w:val="single" w:sz="4" w:space="0" w:color="auto"/>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tcBorders>
              <w:top w:val="nil"/>
              <w:left w:val="nil"/>
              <w:bottom w:val="single" w:sz="4" w:space="0" w:color="auto"/>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“三公经费”变动率</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8</w:t>
            </w:r>
          </w:p>
        </w:tc>
        <w:tc>
          <w:tcPr>
            <w:tcW w:w="2999" w:type="dxa"/>
            <w:tcBorders>
              <w:top w:val="single" w:sz="4" w:space="0" w:color="auto"/>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“三公经费”变动率</w:t>
            </w:r>
            <w:r>
              <w:rPr>
                <w:rFonts w:ascii="宋体" w:cs="宋体" w:hint="eastAsia"/>
                <w:kern w:val="0"/>
                <w:sz w:val="20"/>
                <w:szCs w:val="20"/>
              </w:rPr>
              <w:t>≦</w:t>
            </w:r>
            <w:r>
              <w:rPr>
                <w:rFonts w:ascii="仿宋_GB2312" w:eastAsia="仿宋_GB2312" w:cs="宋体" w:hint="eastAsia"/>
                <w:kern w:val="0"/>
                <w:sz w:val="20"/>
                <w:szCs w:val="20"/>
              </w:rPr>
              <w:t>0,计8分；“三公经费”＞0，每超过一个百分点扣0.8分，扣完为止。</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“在公经费”变动率=[（本年度“三公经费”预算数-上年度“三公经费”预算数）/上年度“三公经费”预算数]×100%</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8</w:t>
            </w:r>
          </w:p>
        </w:tc>
      </w:tr>
      <w:tr w:rsidR="000F7E5B">
        <w:trPr>
          <w:jc w:val="center"/>
        </w:trPr>
        <w:tc>
          <w:tcPr>
            <w:tcW w:w="518"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过                                                                                                                                       程</w:t>
            </w:r>
          </w:p>
        </w:tc>
        <w:tc>
          <w:tcPr>
            <w:tcW w:w="439"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61</w:t>
            </w:r>
          </w:p>
        </w:tc>
        <w:tc>
          <w:tcPr>
            <w:tcW w:w="675"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预算执行</w:t>
            </w:r>
          </w:p>
        </w:tc>
        <w:tc>
          <w:tcPr>
            <w:tcW w:w="439"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20</w:t>
            </w:r>
          </w:p>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预算完成率</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100%计满分，每低于5%扣2分，扣完为止。</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预算完成率=（上年结转+年初预算+本年追加预算-年末结余/上年结转+年初预算+本年追加预算）×100%。</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5</w:t>
            </w:r>
          </w:p>
        </w:tc>
      </w:tr>
      <w:tr w:rsidR="000F7E5B">
        <w:trPr>
          <w:trHeight w:val="1273"/>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预算控制率</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预算控制率=0，计5分；0-10%（含），计4分；10-20%（含），计3分；20-30%（含），计2分；大于30%不得分</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预算控制率=（本年追加预算/年初预算）×100%。</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5</w:t>
            </w:r>
          </w:p>
        </w:tc>
      </w:tr>
      <w:tr w:rsidR="000F7E5B">
        <w:trPr>
          <w:trHeight w:val="1160"/>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新建楼堂馆所面积控制率</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100%以下（含）计满分，每超出5%扣2分，扣完为止。没有楼梯馆所项目的部门按满分计算</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楼堂馆所面积控制率=实际建设面积/批准建设面积×100% 。</w:t>
            </w:r>
            <w:r>
              <w:rPr>
                <w:rFonts w:ascii="仿宋_GB2312" w:eastAsia="仿宋_GB2312" w:cs="宋体" w:hint="eastAsia"/>
                <w:kern w:val="0"/>
                <w:sz w:val="20"/>
                <w:szCs w:val="20"/>
              </w:rPr>
              <w:br/>
              <w:t>该指标以2015年完工的新建楼堂馆所为评价内容。</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5</w:t>
            </w:r>
          </w:p>
        </w:tc>
      </w:tr>
      <w:tr w:rsidR="000F7E5B">
        <w:trPr>
          <w:trHeight w:val="1543"/>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新建楼堂馆所投资概算控制率</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100%以下（含）计满分，每超出5%扣2分，扣完为止。</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楼堂馆所投资预算控制率=实际投资金额/批准投资金额×100% 。</w:t>
            </w:r>
            <w:r>
              <w:rPr>
                <w:rFonts w:ascii="仿宋_GB2312" w:eastAsia="仿宋_GB2312" w:cs="宋体" w:hint="eastAsia"/>
                <w:kern w:val="0"/>
                <w:sz w:val="20"/>
                <w:szCs w:val="20"/>
              </w:rPr>
              <w:br/>
              <w:t>该指标以2015年完工的新建楼堂馆所为评价内容。</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5</w:t>
            </w:r>
          </w:p>
        </w:tc>
      </w:tr>
      <w:tr w:rsidR="000F7E5B">
        <w:trPr>
          <w:trHeight w:val="1562"/>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预算管理</w:t>
            </w:r>
          </w:p>
        </w:tc>
        <w:tc>
          <w:tcPr>
            <w:tcW w:w="439"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41</w:t>
            </w:r>
          </w:p>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公用经费控制率</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100%以下（含）计满分，每超出1%扣1分，扣完为止。</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公用经费控制率=（实际支出公用经费总额/预算安排公用经费总额）×100%。</w:t>
            </w:r>
            <w:r>
              <w:rPr>
                <w:rFonts w:ascii="仿宋_GB2312" w:eastAsia="仿宋_GB2312" w:cs="宋体" w:hint="eastAsia"/>
                <w:kern w:val="0"/>
                <w:sz w:val="20"/>
                <w:szCs w:val="20"/>
              </w:rPr>
              <w:br/>
              <w:t>公用经费支出是指部门基本支出中的一般商品和服务支出。</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8</w:t>
            </w:r>
          </w:p>
        </w:tc>
      </w:tr>
      <w:tr w:rsidR="000F7E5B">
        <w:trPr>
          <w:trHeight w:val="1073"/>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“三公经费”控制率</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100%以下（含）计满分，每超出1%扣1分，扣完为止。</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“三公经费”控制率-（“三公经费”实际支出数/“三公经费”预算安排数）×100%。</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8</w:t>
            </w:r>
          </w:p>
        </w:tc>
      </w:tr>
      <w:tr w:rsidR="000F7E5B">
        <w:trPr>
          <w:trHeight w:val="918"/>
          <w:jc w:val="center"/>
        </w:trPr>
        <w:tc>
          <w:tcPr>
            <w:tcW w:w="518" w:type="dxa"/>
            <w:vMerge/>
            <w:tcBorders>
              <w:top w:val="nil"/>
              <w:left w:val="single" w:sz="4" w:space="0" w:color="auto"/>
              <w:bottom w:val="single" w:sz="4" w:space="0" w:color="auto"/>
              <w:right w:val="single" w:sz="4" w:space="0" w:color="auto"/>
            </w:tcBorders>
            <w:vAlign w:val="center"/>
          </w:tcPr>
          <w:p w:rsidR="000F7E5B" w:rsidRDefault="000F7E5B"/>
        </w:tc>
        <w:tc>
          <w:tcPr>
            <w:tcW w:w="439" w:type="dxa"/>
            <w:vMerge/>
            <w:tcBorders>
              <w:top w:val="nil"/>
              <w:left w:val="single" w:sz="4" w:space="0" w:color="auto"/>
              <w:bottom w:val="single" w:sz="4" w:space="0" w:color="auto"/>
              <w:right w:val="single" w:sz="4" w:space="0" w:color="auto"/>
            </w:tcBorders>
            <w:vAlign w:val="center"/>
          </w:tcPr>
          <w:p w:rsidR="000F7E5B" w:rsidRDefault="000F7E5B"/>
        </w:tc>
        <w:tc>
          <w:tcPr>
            <w:tcW w:w="675"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政府采购执行率</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6</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100%计满分，每超过（降低）5%扣2分。扣完为止。</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政府采购执行率=（实际政府采购金额/政府采购预算数）×100%</w:t>
            </w:r>
            <w:r>
              <w:rPr>
                <w:rFonts w:ascii="仿宋_GB2312" w:eastAsia="仿宋_GB2312" w:cs="宋体" w:hint="eastAsia"/>
                <w:kern w:val="0"/>
                <w:sz w:val="20"/>
                <w:szCs w:val="20"/>
              </w:rPr>
              <w:br/>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6</w:t>
            </w:r>
          </w:p>
        </w:tc>
      </w:tr>
      <w:tr w:rsidR="000F7E5B">
        <w:trPr>
          <w:jc w:val="center"/>
        </w:trPr>
        <w:tc>
          <w:tcPr>
            <w:tcW w:w="518" w:type="dxa"/>
            <w:vMerge w:val="restart"/>
            <w:tcBorders>
              <w:top w:val="single" w:sz="4" w:space="0" w:color="auto"/>
              <w:left w:val="single" w:sz="4" w:space="0" w:color="auto"/>
              <w:bottom w:val="single" w:sz="4" w:space="0" w:color="000000"/>
              <w:right w:val="single" w:sz="4" w:space="0" w:color="auto"/>
            </w:tcBorders>
            <w:vAlign w:val="center"/>
          </w:tcPr>
          <w:p w:rsidR="000F7E5B" w:rsidRDefault="001A430E">
            <w:pPr>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lastRenderedPageBreak/>
              <w:t>过                                                                                                                                       程</w:t>
            </w:r>
          </w:p>
        </w:tc>
        <w:tc>
          <w:tcPr>
            <w:tcW w:w="439" w:type="dxa"/>
            <w:vMerge w:val="restart"/>
            <w:tcBorders>
              <w:top w:val="single" w:sz="4" w:space="0" w:color="auto"/>
              <w:left w:val="single" w:sz="4" w:space="0" w:color="auto"/>
              <w:bottom w:val="single" w:sz="4" w:space="0" w:color="000000"/>
              <w:right w:val="single" w:sz="4" w:space="0" w:color="auto"/>
            </w:tcBorders>
            <w:vAlign w:val="center"/>
          </w:tcPr>
          <w:p w:rsidR="000F7E5B" w:rsidRDefault="001A430E">
            <w:pPr>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61</w:t>
            </w:r>
          </w:p>
        </w:tc>
        <w:tc>
          <w:tcPr>
            <w:tcW w:w="675" w:type="dxa"/>
            <w:vMerge w:val="restart"/>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预算管理</w:t>
            </w:r>
          </w:p>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管理制度健全性</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①有内部财务管理制度、会计核算制度等管理制度，2分；</w:t>
            </w:r>
            <w:r>
              <w:rPr>
                <w:rFonts w:ascii="仿宋_GB2312" w:eastAsia="仿宋_GB2312" w:cs="宋体" w:hint="eastAsia"/>
                <w:kern w:val="0"/>
                <w:sz w:val="20"/>
                <w:szCs w:val="20"/>
              </w:rPr>
              <w:br/>
              <w:t>②有本部门厉行节约制度,2分；</w:t>
            </w:r>
            <w:r>
              <w:rPr>
                <w:rFonts w:ascii="仿宋_GB2312" w:eastAsia="仿宋_GB2312" w:cs="宋体" w:hint="eastAsia"/>
                <w:kern w:val="0"/>
                <w:sz w:val="20"/>
                <w:szCs w:val="20"/>
              </w:rPr>
              <w:br/>
              <w:t>③相关管理制度合法、合规、完整，2分；④相关管理制度得到有效执行，2分。</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 xml:space="preserve">　</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8</w:t>
            </w:r>
          </w:p>
        </w:tc>
      </w:tr>
      <w:tr w:rsidR="000F7E5B">
        <w:trPr>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tcBorders>
              <w:top w:val="nil"/>
              <w:left w:val="nil"/>
              <w:bottom w:val="single" w:sz="4" w:space="0" w:color="auto"/>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资金使用合规性</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6</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仿宋_GB2312" w:eastAsia="仿宋_GB2312" w:cs="宋体" w:hint="eastAsia"/>
                <w:kern w:val="0"/>
                <w:sz w:val="20"/>
                <w:szCs w:val="20"/>
              </w:rPr>
              <w:br/>
              <w:t>以上情况每出现一例不符合要求的扣1分，扣完为止。</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 xml:space="preserve">　</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6</w:t>
            </w:r>
          </w:p>
        </w:tc>
      </w:tr>
      <w:tr w:rsidR="000F7E5B">
        <w:trPr>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tcBorders>
              <w:top w:val="nil"/>
              <w:left w:val="nil"/>
              <w:bottom w:val="single" w:sz="4" w:space="0" w:color="auto"/>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预决算信息公开性</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5</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预决算信息是指与部门预算、执行、决算、监督、绩效等管理相关的信息。</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5</w:t>
            </w:r>
          </w:p>
        </w:tc>
      </w:tr>
      <w:tr w:rsidR="000F7E5B">
        <w:trPr>
          <w:jc w:val="center"/>
        </w:trPr>
        <w:tc>
          <w:tcPr>
            <w:tcW w:w="518"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产出及效率</w:t>
            </w:r>
          </w:p>
        </w:tc>
        <w:tc>
          <w:tcPr>
            <w:tcW w:w="439"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26</w:t>
            </w:r>
          </w:p>
        </w:tc>
        <w:tc>
          <w:tcPr>
            <w:tcW w:w="675"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职责履行</w:t>
            </w:r>
          </w:p>
        </w:tc>
        <w:tc>
          <w:tcPr>
            <w:tcW w:w="439"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8</w:t>
            </w:r>
          </w:p>
        </w:tc>
        <w:tc>
          <w:tcPr>
            <w:tcW w:w="1009" w:type="dxa"/>
            <w:tcBorders>
              <w:top w:val="nil"/>
              <w:left w:val="nil"/>
              <w:bottom w:val="nil"/>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重点工作实际完成率</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8</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根据绩效办2015年对各部门为民办实事和部门重点工程与重点工作考核分数折算。</w:t>
            </w:r>
            <w:r>
              <w:rPr>
                <w:rFonts w:ascii="仿宋_GB2312" w:eastAsia="仿宋_GB2312" w:cs="宋体" w:hint="eastAsia"/>
                <w:kern w:val="0"/>
                <w:sz w:val="20"/>
                <w:szCs w:val="20"/>
              </w:rPr>
              <w:br/>
              <w:t>该项得分=（实际产出数/计划产出数）*8</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 xml:space="preserve">　</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8</w:t>
            </w:r>
          </w:p>
        </w:tc>
      </w:tr>
      <w:tr w:rsidR="000F7E5B">
        <w:trPr>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履职 效益</w:t>
            </w:r>
          </w:p>
        </w:tc>
        <w:tc>
          <w:tcPr>
            <w:tcW w:w="439"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6</w:t>
            </w:r>
          </w:p>
        </w:tc>
        <w:tc>
          <w:tcPr>
            <w:tcW w:w="1009" w:type="dxa"/>
            <w:tcBorders>
              <w:top w:val="single" w:sz="4" w:space="0" w:color="auto"/>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经济效益</w:t>
            </w:r>
          </w:p>
        </w:tc>
        <w:tc>
          <w:tcPr>
            <w:tcW w:w="416" w:type="dxa"/>
            <w:vMerge w:val="restart"/>
            <w:tcBorders>
              <w:top w:val="nil"/>
              <w:left w:val="single" w:sz="4" w:space="0" w:color="auto"/>
              <w:bottom w:val="nil"/>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6</w:t>
            </w:r>
          </w:p>
        </w:tc>
        <w:tc>
          <w:tcPr>
            <w:tcW w:w="6469" w:type="dxa"/>
            <w:gridSpan w:val="2"/>
            <w:vMerge w:val="restart"/>
            <w:tcBorders>
              <w:top w:val="single" w:sz="4" w:space="0" w:color="auto"/>
              <w:left w:val="single" w:sz="4" w:space="0" w:color="auto"/>
              <w:bottom w:val="nil"/>
              <w:right w:val="single" w:sz="4" w:space="0" w:color="000000"/>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635" w:type="dxa"/>
            <w:tcBorders>
              <w:top w:val="nil"/>
              <w:left w:val="nil"/>
              <w:bottom w:val="nil"/>
              <w:right w:val="single" w:sz="4" w:space="0" w:color="auto"/>
            </w:tcBorders>
            <w:vAlign w:val="center"/>
          </w:tcPr>
          <w:p w:rsidR="000F7E5B" w:rsidRDefault="001A430E">
            <w:pPr>
              <w:widowControl/>
              <w:spacing w:line="300" w:lineRule="exact"/>
              <w:jc w:val="center"/>
              <w:rPr>
                <w:rFonts w:ascii="宋体" w:cs="宋体"/>
                <w:kern w:val="0"/>
                <w:sz w:val="24"/>
              </w:rPr>
            </w:pPr>
            <w:r>
              <w:rPr>
                <w:rFonts w:ascii="宋体" w:cs="宋体"/>
                <w:kern w:val="0"/>
                <w:sz w:val="24"/>
              </w:rPr>
              <w:t>3</w:t>
            </w:r>
          </w:p>
        </w:tc>
      </w:tr>
      <w:tr w:rsidR="000F7E5B">
        <w:trPr>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社会效益</w:t>
            </w:r>
          </w:p>
        </w:tc>
        <w:tc>
          <w:tcPr>
            <w:tcW w:w="416" w:type="dxa"/>
            <w:vMerge/>
            <w:tcBorders>
              <w:top w:val="nil"/>
              <w:left w:val="single" w:sz="4" w:space="0" w:color="auto"/>
              <w:bottom w:val="nil"/>
              <w:right w:val="single" w:sz="4" w:space="0" w:color="auto"/>
            </w:tcBorders>
            <w:vAlign w:val="center"/>
          </w:tcPr>
          <w:p w:rsidR="000F7E5B" w:rsidRDefault="000F7E5B"/>
        </w:tc>
        <w:tc>
          <w:tcPr>
            <w:tcW w:w="6469" w:type="dxa"/>
            <w:gridSpan w:val="2"/>
            <w:vMerge/>
            <w:tcBorders>
              <w:top w:val="single" w:sz="4" w:space="0" w:color="auto"/>
              <w:left w:val="single" w:sz="4" w:space="0" w:color="auto"/>
              <w:bottom w:val="nil"/>
              <w:right w:val="single" w:sz="4" w:space="0" w:color="000000"/>
            </w:tcBorders>
            <w:vAlign w:val="center"/>
          </w:tcPr>
          <w:p w:rsidR="000F7E5B" w:rsidRDefault="000F7E5B"/>
        </w:tc>
        <w:tc>
          <w:tcPr>
            <w:tcW w:w="635" w:type="dxa"/>
            <w:tcBorders>
              <w:top w:val="nil"/>
              <w:left w:val="nil"/>
              <w:bottom w:val="nil"/>
              <w:right w:val="single" w:sz="4" w:space="0" w:color="auto"/>
            </w:tcBorders>
            <w:vAlign w:val="center"/>
          </w:tcPr>
          <w:p w:rsidR="000F7E5B" w:rsidRDefault="001A430E">
            <w:pPr>
              <w:widowControl/>
              <w:spacing w:line="300" w:lineRule="exact"/>
              <w:jc w:val="center"/>
              <w:rPr>
                <w:rFonts w:ascii="宋体" w:cs="宋体"/>
                <w:kern w:val="0"/>
                <w:sz w:val="24"/>
              </w:rPr>
            </w:pPr>
            <w:r>
              <w:rPr>
                <w:rFonts w:ascii="宋体" w:cs="宋体"/>
                <w:kern w:val="0"/>
                <w:sz w:val="24"/>
              </w:rPr>
              <w:t>3</w:t>
            </w:r>
          </w:p>
        </w:tc>
      </w:tr>
      <w:tr w:rsidR="000F7E5B">
        <w:trPr>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val="restart"/>
            <w:tcBorders>
              <w:top w:val="nil"/>
              <w:left w:val="single" w:sz="4" w:space="0" w:color="auto"/>
              <w:bottom w:val="single" w:sz="4" w:space="0" w:color="000000"/>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12</w:t>
            </w:r>
          </w:p>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行政效能</w:t>
            </w:r>
          </w:p>
        </w:tc>
        <w:tc>
          <w:tcPr>
            <w:tcW w:w="416" w:type="dxa"/>
            <w:tcBorders>
              <w:top w:val="single" w:sz="4" w:space="0" w:color="auto"/>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6</w:t>
            </w:r>
          </w:p>
        </w:tc>
        <w:tc>
          <w:tcPr>
            <w:tcW w:w="2999" w:type="dxa"/>
            <w:tcBorders>
              <w:top w:val="single" w:sz="4" w:space="0" w:color="auto"/>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促进部门改进文风会风，加强经费及资产管理，推动网上办事，提高行政效率，降低行政成本效果较好的计6分；一般3分；无效果或者效果不明显0分。</w:t>
            </w:r>
          </w:p>
        </w:tc>
        <w:tc>
          <w:tcPr>
            <w:tcW w:w="3470" w:type="dxa"/>
            <w:tcBorders>
              <w:top w:val="single" w:sz="4" w:space="0" w:color="auto"/>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根据部门自评材料评定。</w:t>
            </w:r>
          </w:p>
        </w:tc>
        <w:tc>
          <w:tcPr>
            <w:tcW w:w="635" w:type="dxa"/>
            <w:tcBorders>
              <w:top w:val="single" w:sz="4" w:space="0" w:color="auto"/>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6</w:t>
            </w:r>
          </w:p>
        </w:tc>
      </w:tr>
      <w:tr w:rsidR="000F7E5B">
        <w:trPr>
          <w:jc w:val="center"/>
        </w:trPr>
        <w:tc>
          <w:tcPr>
            <w:tcW w:w="518"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675" w:type="dxa"/>
            <w:vMerge/>
            <w:tcBorders>
              <w:top w:val="nil"/>
              <w:left w:val="single" w:sz="4" w:space="0" w:color="auto"/>
              <w:bottom w:val="single" w:sz="4" w:space="0" w:color="000000"/>
              <w:right w:val="single" w:sz="4" w:space="0" w:color="auto"/>
            </w:tcBorders>
            <w:vAlign w:val="center"/>
          </w:tcPr>
          <w:p w:rsidR="000F7E5B" w:rsidRDefault="000F7E5B"/>
        </w:tc>
        <w:tc>
          <w:tcPr>
            <w:tcW w:w="439" w:type="dxa"/>
            <w:vMerge/>
            <w:tcBorders>
              <w:top w:val="nil"/>
              <w:left w:val="single" w:sz="4" w:space="0" w:color="auto"/>
              <w:bottom w:val="single" w:sz="4" w:space="0" w:color="000000"/>
              <w:right w:val="single" w:sz="4" w:space="0" w:color="auto"/>
            </w:tcBorders>
            <w:vAlign w:val="center"/>
          </w:tcPr>
          <w:p w:rsidR="000F7E5B" w:rsidRDefault="000F7E5B"/>
        </w:tc>
        <w:tc>
          <w:tcPr>
            <w:tcW w:w="100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社会公众或服务对象满意度</w:t>
            </w:r>
          </w:p>
        </w:tc>
        <w:tc>
          <w:tcPr>
            <w:tcW w:w="416" w:type="dxa"/>
            <w:tcBorders>
              <w:top w:val="nil"/>
              <w:left w:val="nil"/>
              <w:bottom w:val="single" w:sz="4" w:space="0" w:color="auto"/>
              <w:right w:val="single" w:sz="4" w:space="0" w:color="auto"/>
            </w:tcBorders>
            <w:vAlign w:val="center"/>
          </w:tcPr>
          <w:p w:rsidR="000F7E5B" w:rsidRDefault="001A430E">
            <w:pPr>
              <w:widowControl/>
              <w:spacing w:line="300" w:lineRule="exact"/>
              <w:jc w:val="center"/>
              <w:rPr>
                <w:rFonts w:ascii="仿宋_GB2312" w:eastAsia="仿宋_GB2312" w:cs="宋体"/>
                <w:kern w:val="0"/>
                <w:sz w:val="20"/>
                <w:szCs w:val="20"/>
              </w:rPr>
            </w:pPr>
            <w:r>
              <w:rPr>
                <w:rFonts w:ascii="仿宋_GB2312" w:eastAsia="仿宋_GB2312" w:cs="宋体" w:hint="eastAsia"/>
                <w:kern w:val="0"/>
                <w:sz w:val="20"/>
                <w:szCs w:val="20"/>
              </w:rPr>
              <w:t>6</w:t>
            </w:r>
          </w:p>
        </w:tc>
        <w:tc>
          <w:tcPr>
            <w:tcW w:w="2999"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90%（含）以上计6分；</w:t>
            </w:r>
            <w:r>
              <w:rPr>
                <w:rFonts w:ascii="仿宋_GB2312" w:eastAsia="仿宋_GB2312" w:cs="宋体" w:hint="eastAsia"/>
                <w:kern w:val="0"/>
                <w:sz w:val="20"/>
                <w:szCs w:val="20"/>
              </w:rPr>
              <w:br/>
              <w:t>80%（含）-90%，计4分；</w:t>
            </w:r>
            <w:r>
              <w:rPr>
                <w:rFonts w:ascii="仿宋_GB2312" w:eastAsia="仿宋_GB2312" w:cs="宋体" w:hint="eastAsia"/>
                <w:kern w:val="0"/>
                <w:sz w:val="20"/>
                <w:szCs w:val="20"/>
              </w:rPr>
              <w:br/>
              <w:t>70%（含）-80%，计2分；</w:t>
            </w:r>
            <w:r>
              <w:rPr>
                <w:rFonts w:ascii="仿宋_GB2312" w:eastAsia="仿宋_GB2312" w:cs="宋体" w:hint="eastAsia"/>
                <w:kern w:val="0"/>
                <w:sz w:val="20"/>
                <w:szCs w:val="20"/>
              </w:rPr>
              <w:br/>
              <w:t>低于70%计0分。</w:t>
            </w:r>
          </w:p>
        </w:tc>
        <w:tc>
          <w:tcPr>
            <w:tcW w:w="3470"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仿宋_GB2312" w:eastAsia="仿宋_GB2312" w:cs="宋体"/>
                <w:kern w:val="0"/>
                <w:sz w:val="20"/>
                <w:szCs w:val="20"/>
              </w:rPr>
            </w:pPr>
            <w:r>
              <w:rPr>
                <w:rFonts w:ascii="仿宋_GB2312" w:eastAsia="仿宋_GB2312" w:cs="宋体" w:hint="eastAsia"/>
                <w:kern w:val="0"/>
                <w:sz w:val="20"/>
                <w:szCs w:val="20"/>
              </w:rPr>
              <w:t>社会公众或服务对象是指部门（单位）履行职责而影响到的部门、群体或个人，一般采取社会调查的方式。</w:t>
            </w:r>
          </w:p>
        </w:tc>
        <w:tc>
          <w:tcPr>
            <w:tcW w:w="635" w:type="dxa"/>
            <w:tcBorders>
              <w:top w:val="nil"/>
              <w:left w:val="nil"/>
              <w:bottom w:val="single" w:sz="4" w:space="0" w:color="auto"/>
              <w:right w:val="single" w:sz="4" w:space="0" w:color="auto"/>
            </w:tcBorders>
            <w:vAlign w:val="center"/>
          </w:tcPr>
          <w:p w:rsidR="000F7E5B" w:rsidRDefault="001A430E">
            <w:pPr>
              <w:widowControl/>
              <w:spacing w:line="300" w:lineRule="exact"/>
              <w:jc w:val="left"/>
              <w:rPr>
                <w:rFonts w:ascii="宋体" w:cs="宋体"/>
                <w:kern w:val="0"/>
                <w:sz w:val="24"/>
              </w:rPr>
            </w:pPr>
            <w:r>
              <w:rPr>
                <w:rFonts w:ascii="宋体" w:cs="宋体" w:hint="eastAsia"/>
                <w:kern w:val="0"/>
                <w:sz w:val="24"/>
              </w:rPr>
              <w:t xml:space="preserve">　</w:t>
            </w:r>
            <w:r>
              <w:rPr>
                <w:rFonts w:ascii="宋体" w:cs="宋体"/>
                <w:kern w:val="0"/>
                <w:sz w:val="24"/>
              </w:rPr>
              <w:t>6</w:t>
            </w:r>
          </w:p>
        </w:tc>
      </w:tr>
    </w:tbl>
    <w:p w:rsidR="000F7E5B" w:rsidRDefault="000F7E5B">
      <w:pPr>
        <w:spacing w:line="300" w:lineRule="exact"/>
        <w:rPr>
          <w:rFonts w:ascii="黑体" w:eastAsia="黑体"/>
          <w:sz w:val="28"/>
          <w:szCs w:val="28"/>
        </w:rPr>
      </w:pPr>
    </w:p>
    <w:p w:rsidR="000F7E5B" w:rsidRDefault="001A430E">
      <w:pPr>
        <w:spacing w:line="560" w:lineRule="exact"/>
        <w:rPr>
          <w:rFonts w:ascii="宋体" w:cs="宋体"/>
          <w:kern w:val="0"/>
          <w:sz w:val="24"/>
        </w:rPr>
      </w:pPr>
      <w:r>
        <w:rPr>
          <w:rFonts w:ascii="黑体" w:eastAsia="黑体"/>
          <w:sz w:val="28"/>
          <w:szCs w:val="28"/>
        </w:rPr>
        <w:br w:type="page"/>
      </w:r>
      <w:r>
        <w:rPr>
          <w:rFonts w:ascii="黑体" w:eastAsia="黑体" w:cs="宋体" w:hint="eastAsia"/>
          <w:kern w:val="0"/>
          <w:sz w:val="32"/>
          <w:szCs w:val="32"/>
        </w:rPr>
        <w:lastRenderedPageBreak/>
        <w:t>附件2</w:t>
      </w:r>
      <w:r>
        <w:rPr>
          <w:rFonts w:ascii="黑体" w:eastAsia="黑体" w:cs="宋体"/>
          <w:kern w:val="0"/>
          <w:sz w:val="32"/>
          <w:szCs w:val="32"/>
        </w:rPr>
        <w:tab/>
      </w:r>
      <w:r>
        <w:rPr>
          <w:rFonts w:ascii="宋体" w:cs="宋体"/>
          <w:kern w:val="0"/>
          <w:sz w:val="24"/>
        </w:rPr>
        <w:tab/>
      </w:r>
      <w:r>
        <w:rPr>
          <w:rFonts w:ascii="宋体" w:cs="宋体"/>
          <w:kern w:val="0"/>
          <w:sz w:val="24"/>
        </w:rPr>
        <w:tab/>
      </w:r>
      <w:r>
        <w:rPr>
          <w:rFonts w:ascii="宋体" w:cs="宋体"/>
          <w:kern w:val="0"/>
          <w:sz w:val="24"/>
        </w:rPr>
        <w:tab/>
      </w:r>
      <w:r>
        <w:rPr>
          <w:rFonts w:ascii="宋体" w:cs="宋体"/>
          <w:kern w:val="0"/>
          <w:sz w:val="24"/>
        </w:rPr>
        <w:tab/>
      </w:r>
      <w:r>
        <w:rPr>
          <w:rFonts w:ascii="宋体" w:cs="宋体"/>
          <w:kern w:val="0"/>
          <w:sz w:val="24"/>
        </w:rPr>
        <w:tab/>
      </w:r>
    </w:p>
    <w:p w:rsidR="000F7E5B" w:rsidRDefault="001A430E">
      <w:pPr>
        <w:widowControl/>
        <w:ind w:left="91"/>
        <w:jc w:val="center"/>
        <w:rPr>
          <w:rFonts w:ascii="方正小标宋_GBK" w:eastAsia="方正小标宋_GBK" w:cs="宋体"/>
          <w:kern w:val="0"/>
          <w:sz w:val="36"/>
          <w:szCs w:val="36"/>
        </w:rPr>
      </w:pPr>
      <w:r>
        <w:rPr>
          <w:rFonts w:ascii="方正小标宋_GBK" w:eastAsia="方正小标宋_GBK" w:cs="宋体" w:hint="eastAsia"/>
          <w:kern w:val="0"/>
          <w:sz w:val="36"/>
          <w:szCs w:val="36"/>
        </w:rPr>
        <w:t>部门整体支出绩效评价基础数据表</w:t>
      </w:r>
    </w:p>
    <w:p w:rsidR="000F7E5B" w:rsidRDefault="001A430E">
      <w:pPr>
        <w:widowControl/>
        <w:tabs>
          <w:tab w:val="left" w:pos="3611"/>
          <w:tab w:val="left" w:pos="4791"/>
          <w:tab w:val="left" w:pos="5951"/>
          <w:tab w:val="left" w:pos="7071"/>
          <w:tab w:val="left" w:pos="8191"/>
          <w:tab w:val="left" w:pos="9311"/>
        </w:tabs>
        <w:ind w:left="91"/>
        <w:jc w:val="left"/>
        <w:rPr>
          <w:rFonts w:ascii="宋体" w:cs="宋体"/>
          <w:kern w:val="0"/>
          <w:sz w:val="24"/>
        </w:rPr>
      </w:pPr>
      <w:r>
        <w:rPr>
          <w:rFonts w:ascii="宋体" w:cs="宋体" w:hint="eastAsia"/>
          <w:kern w:val="0"/>
          <w:sz w:val="24"/>
        </w:rPr>
        <w:t>填报单位：</w:t>
      </w:r>
      <w:r>
        <w:rPr>
          <w:rFonts w:ascii="宋体" w:cs="宋体"/>
          <w:kern w:val="0"/>
          <w:sz w:val="24"/>
        </w:rPr>
        <w:t>长沙市雨花区国有资产事务中心</w:t>
      </w:r>
      <w:r>
        <w:rPr>
          <w:rFonts w:ascii="宋体" w:cs="宋体"/>
          <w:kern w:val="0"/>
          <w:sz w:val="24"/>
        </w:rPr>
        <w:tab/>
      </w:r>
      <w:r>
        <w:rPr>
          <w:rFonts w:ascii="宋体" w:cs="宋体"/>
          <w:kern w:val="0"/>
          <w:sz w:val="24"/>
        </w:rPr>
        <w:tab/>
      </w:r>
      <w:r>
        <w:rPr>
          <w:rFonts w:ascii="宋体" w:cs="宋体"/>
          <w:kern w:val="0"/>
          <w:sz w:val="24"/>
        </w:rPr>
        <w:tab/>
      </w:r>
      <w:r>
        <w:rPr>
          <w:rFonts w:ascii="宋体" w:cs="宋体"/>
          <w:kern w:val="0"/>
          <w:sz w:val="24"/>
        </w:rPr>
        <w:tab/>
      </w:r>
      <w:r>
        <w:rPr>
          <w:rFonts w:ascii="宋体" w:cs="宋体"/>
          <w:kern w:val="0"/>
          <w:sz w:val="24"/>
        </w:rPr>
        <w:tab/>
      </w:r>
      <w:r>
        <w:rPr>
          <w:rFonts w:ascii="宋体" w:cs="宋体"/>
          <w:kern w:val="0"/>
          <w:sz w:val="24"/>
        </w:rPr>
        <w:tab/>
      </w:r>
    </w:p>
    <w:tbl>
      <w:tblPr>
        <w:tblW w:w="0" w:type="auto"/>
        <w:jc w:val="center"/>
        <w:tblLayout w:type="fixed"/>
        <w:tblLook w:val="0000"/>
      </w:tblPr>
      <w:tblGrid>
        <w:gridCol w:w="3550"/>
        <w:gridCol w:w="1190"/>
        <w:gridCol w:w="984"/>
        <w:gridCol w:w="1316"/>
        <w:gridCol w:w="1252"/>
        <w:gridCol w:w="1008"/>
        <w:gridCol w:w="1190"/>
      </w:tblGrid>
      <w:tr w:rsidR="000F7E5B">
        <w:trPr>
          <w:trHeight w:val="763"/>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0F7E5B" w:rsidRDefault="001A430E">
            <w:pPr>
              <w:widowControl/>
              <w:jc w:val="center"/>
              <w:rPr>
                <w:rFonts w:ascii="宋体" w:cs="宋体"/>
                <w:kern w:val="0"/>
                <w:sz w:val="24"/>
              </w:rPr>
            </w:pPr>
            <w:r>
              <w:rPr>
                <w:rFonts w:ascii="宋体" w:cs="宋体" w:hint="eastAsia"/>
                <w:kern w:val="0"/>
                <w:sz w:val="24"/>
              </w:rPr>
              <w:t>财政供养人员情况</w:t>
            </w:r>
          </w:p>
        </w:tc>
        <w:tc>
          <w:tcPr>
            <w:tcW w:w="2174" w:type="dxa"/>
            <w:gridSpan w:val="2"/>
            <w:tcBorders>
              <w:top w:val="single" w:sz="4" w:space="0" w:color="auto"/>
              <w:left w:val="nil"/>
              <w:bottom w:val="single" w:sz="4" w:space="0" w:color="auto"/>
              <w:right w:val="single" w:sz="4" w:space="0" w:color="auto"/>
            </w:tcBorders>
            <w:vAlign w:val="center"/>
          </w:tcPr>
          <w:p w:rsidR="000F7E5B" w:rsidRDefault="001A430E">
            <w:pPr>
              <w:widowControl/>
              <w:jc w:val="center"/>
              <w:rPr>
                <w:rFonts w:ascii="宋体" w:cs="宋体"/>
                <w:b/>
                <w:bCs/>
                <w:kern w:val="0"/>
                <w:sz w:val="24"/>
              </w:rPr>
            </w:pPr>
            <w:r>
              <w:rPr>
                <w:rFonts w:ascii="宋体" w:cs="宋体" w:hint="eastAsia"/>
                <w:b/>
                <w:bCs/>
                <w:kern w:val="0"/>
                <w:sz w:val="24"/>
              </w:rPr>
              <w:t>编制数</w:t>
            </w:r>
          </w:p>
        </w:tc>
        <w:tc>
          <w:tcPr>
            <w:tcW w:w="2568" w:type="dxa"/>
            <w:gridSpan w:val="2"/>
            <w:tcBorders>
              <w:top w:val="single" w:sz="4" w:space="0" w:color="auto"/>
              <w:left w:val="nil"/>
              <w:bottom w:val="single" w:sz="4" w:space="0" w:color="auto"/>
              <w:right w:val="single" w:sz="4" w:space="0" w:color="auto"/>
            </w:tcBorders>
            <w:vAlign w:val="center"/>
          </w:tcPr>
          <w:p w:rsidR="000F7E5B" w:rsidRDefault="001A430E">
            <w:pPr>
              <w:widowControl/>
              <w:jc w:val="center"/>
              <w:rPr>
                <w:rFonts w:ascii="宋体" w:cs="宋体"/>
                <w:b/>
                <w:bCs/>
                <w:kern w:val="0"/>
                <w:sz w:val="24"/>
              </w:rPr>
            </w:pPr>
            <w:r>
              <w:rPr>
                <w:rFonts w:ascii="宋体" w:cs="宋体" w:hint="eastAsia"/>
                <w:b/>
                <w:bCs/>
                <w:kern w:val="0"/>
                <w:sz w:val="24"/>
              </w:rPr>
              <w:t>2019年实际在职人数</w:t>
            </w:r>
          </w:p>
        </w:tc>
        <w:tc>
          <w:tcPr>
            <w:tcW w:w="2198" w:type="dxa"/>
            <w:gridSpan w:val="2"/>
            <w:tcBorders>
              <w:top w:val="single" w:sz="4" w:space="0" w:color="auto"/>
              <w:left w:val="nil"/>
              <w:bottom w:val="single" w:sz="4" w:space="0" w:color="auto"/>
              <w:right w:val="single" w:sz="4" w:space="0" w:color="auto"/>
            </w:tcBorders>
            <w:vAlign w:val="center"/>
          </w:tcPr>
          <w:p w:rsidR="000F7E5B" w:rsidRDefault="001A430E">
            <w:pPr>
              <w:widowControl/>
              <w:jc w:val="center"/>
              <w:rPr>
                <w:rFonts w:ascii="宋体" w:cs="宋体"/>
                <w:b/>
                <w:bCs/>
                <w:kern w:val="0"/>
                <w:sz w:val="24"/>
              </w:rPr>
            </w:pPr>
            <w:r>
              <w:rPr>
                <w:rFonts w:ascii="宋体" w:cs="宋体" w:hint="eastAsia"/>
                <w:b/>
                <w:bCs/>
                <w:kern w:val="0"/>
                <w:sz w:val="24"/>
              </w:rPr>
              <w:t>控制率</w:t>
            </w:r>
          </w:p>
        </w:tc>
      </w:tr>
      <w:tr w:rsidR="000F7E5B">
        <w:trPr>
          <w:trHeight w:val="177"/>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0F7E5B" w:rsidRDefault="000F7E5B"/>
        </w:tc>
        <w:tc>
          <w:tcPr>
            <w:tcW w:w="2174" w:type="dxa"/>
            <w:gridSpan w:val="2"/>
            <w:tcBorders>
              <w:top w:val="single" w:sz="4" w:space="0" w:color="auto"/>
              <w:left w:val="nil"/>
              <w:bottom w:val="single" w:sz="4" w:space="0" w:color="auto"/>
              <w:right w:val="single" w:sz="4" w:space="0" w:color="auto"/>
            </w:tcBorders>
            <w:vAlign w:val="center"/>
          </w:tcPr>
          <w:p w:rsidR="000F7E5B" w:rsidRDefault="001A430E">
            <w:pPr>
              <w:widowControl/>
              <w:jc w:val="center"/>
              <w:rPr>
                <w:rFonts w:ascii="宋体" w:cs="宋体"/>
                <w:kern w:val="0"/>
                <w:sz w:val="24"/>
              </w:rPr>
            </w:pPr>
            <w:r>
              <w:rPr>
                <w:rFonts w:ascii="宋体" w:cs="宋体"/>
                <w:kern w:val="0"/>
                <w:sz w:val="24"/>
              </w:rPr>
              <w:t>16</w:t>
            </w:r>
            <w:r>
              <w:rPr>
                <w:rFonts w:asci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auto"/>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r>
              <w:rPr>
                <w:rFonts w:ascii="宋体" w:cs="宋体"/>
                <w:kern w:val="0"/>
                <w:sz w:val="24"/>
              </w:rPr>
              <w:t>10</w:t>
            </w:r>
          </w:p>
        </w:tc>
        <w:tc>
          <w:tcPr>
            <w:tcW w:w="2198" w:type="dxa"/>
            <w:gridSpan w:val="2"/>
            <w:tcBorders>
              <w:top w:val="single" w:sz="4" w:space="0" w:color="auto"/>
              <w:left w:val="nil"/>
              <w:bottom w:val="single" w:sz="4" w:space="0" w:color="auto"/>
              <w:right w:val="single" w:sz="4" w:space="0" w:color="auto"/>
            </w:tcBorders>
            <w:vAlign w:val="center"/>
          </w:tcPr>
          <w:p w:rsidR="000F7E5B" w:rsidRDefault="001A430E">
            <w:pPr>
              <w:widowControl/>
              <w:jc w:val="center"/>
              <w:rPr>
                <w:rFonts w:ascii="宋体" w:cs="宋体"/>
                <w:kern w:val="0"/>
                <w:sz w:val="24"/>
              </w:rPr>
            </w:pPr>
            <w:r>
              <w:rPr>
                <w:rFonts w:ascii="宋体" w:cs="宋体"/>
                <w:kern w:val="0"/>
                <w:sz w:val="24"/>
              </w:rPr>
              <w:t>100%</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center"/>
              <w:rPr>
                <w:rFonts w:ascii="宋体" w:cs="宋体"/>
                <w:kern w:val="0"/>
                <w:sz w:val="24"/>
              </w:rPr>
            </w:pPr>
            <w:r>
              <w:rPr>
                <w:rFonts w:ascii="宋体" w:cs="宋体" w:hint="eastAsia"/>
                <w:kern w:val="0"/>
                <w:sz w:val="24"/>
              </w:rPr>
              <w:t>经费控制情况</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b/>
                <w:bCs/>
                <w:kern w:val="0"/>
                <w:sz w:val="24"/>
              </w:rPr>
            </w:pPr>
            <w:r>
              <w:rPr>
                <w:rFonts w:ascii="宋体" w:cs="宋体" w:hint="eastAsia"/>
                <w:b/>
                <w:bCs/>
                <w:kern w:val="0"/>
                <w:sz w:val="24"/>
              </w:rPr>
              <w:t>2018年决算数</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b/>
                <w:bCs/>
                <w:kern w:val="0"/>
                <w:sz w:val="24"/>
              </w:rPr>
            </w:pPr>
            <w:r>
              <w:rPr>
                <w:rFonts w:ascii="宋体" w:cs="宋体" w:hint="eastAsia"/>
                <w:b/>
                <w:bCs/>
                <w:kern w:val="0"/>
                <w:sz w:val="24"/>
              </w:rPr>
              <w:t>2019年预算数</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b/>
                <w:bCs/>
                <w:kern w:val="0"/>
                <w:sz w:val="24"/>
              </w:rPr>
            </w:pPr>
            <w:r>
              <w:rPr>
                <w:rFonts w:ascii="宋体" w:cs="宋体" w:hint="eastAsia"/>
                <w:b/>
                <w:bCs/>
                <w:kern w:val="0"/>
                <w:sz w:val="24"/>
              </w:rPr>
              <w:t>2019年决算数</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三公经费</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r>
              <w:rPr>
                <w:rFonts w:ascii="宋体" w:cs="宋体"/>
                <w:kern w:val="0"/>
                <w:sz w:val="24"/>
              </w:rPr>
              <w:t>1.5</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r>
      <w:tr w:rsidR="000F7E5B">
        <w:trPr>
          <w:trHeight w:val="39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1、公务用车购置和维护经费</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kern w:val="0"/>
                <w:sz w:val="24"/>
              </w:rPr>
              <w:t>0</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其中：公车购置</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kern w:val="0"/>
                <w:sz w:val="24"/>
              </w:rPr>
              <w:t>0</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公车运行维护</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kern w:val="0"/>
                <w:sz w:val="24"/>
              </w:rPr>
              <w:t>0</w:t>
            </w:r>
            <w:r>
              <w:rPr>
                <w:rFonts w:asci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2、出国经费</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kern w:val="0"/>
                <w:sz w:val="24"/>
              </w:rPr>
              <w:t>0</w:t>
            </w:r>
            <w:r>
              <w:rPr>
                <w:rFonts w:asci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3、公务接待</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kern w:val="0"/>
                <w:sz w:val="24"/>
              </w:rPr>
              <w:t>1.5</w:t>
            </w:r>
            <w:r>
              <w:rPr>
                <w:rFonts w:asci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pPr>
              <w:jc w:val="center"/>
            </w:pPr>
            <w:r>
              <w:rPr>
                <w:rFonts w:ascii="宋体" w:cs="宋体"/>
                <w:kern w:val="0"/>
                <w:sz w:val="24"/>
              </w:rPr>
              <w:t>0</w:t>
            </w:r>
          </w:p>
        </w:tc>
      </w:tr>
      <w:tr w:rsidR="000F7E5B">
        <w:trPr>
          <w:trHeight w:val="39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项目支出：</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eastAsia="永中宋体" w:hAnsi="宋体" w:cs="永中宋体"/>
                <w:color w:val="000000"/>
                <w:sz w:val="22"/>
              </w:rPr>
              <w:t>471.06</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kern w:val="0"/>
                <w:sz w:val="24"/>
              </w:rPr>
              <w:t>529.00</w:t>
            </w:r>
            <w:r>
              <w:rPr>
                <w:rFonts w:asci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rsidP="00004926">
            <w:pPr>
              <w:widowControl/>
              <w:jc w:val="center"/>
              <w:rPr>
                <w:rFonts w:ascii="宋体" w:cs="宋体"/>
                <w:kern w:val="0"/>
                <w:sz w:val="24"/>
              </w:rPr>
            </w:pPr>
            <w:r>
              <w:rPr>
                <w:rFonts w:ascii="宋体" w:cs="宋体"/>
                <w:kern w:val="0"/>
                <w:sz w:val="24"/>
              </w:rPr>
              <w:t>389.3</w:t>
            </w:r>
            <w:r w:rsidR="00004926">
              <w:rPr>
                <w:rFonts w:ascii="宋体" w:cs="宋体" w:hint="eastAsia"/>
                <w:kern w:val="0"/>
                <w:sz w:val="24"/>
              </w:rPr>
              <w:t>2</w:t>
            </w:r>
            <w:r>
              <w:rPr>
                <w:rFonts w:ascii="宋体" w:cs="宋体" w:hint="eastAsia"/>
                <w:kern w:val="0"/>
                <w:sz w:val="24"/>
              </w:rPr>
              <w:t xml:space="preserve">　</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1、业务工作专项</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eastAsia="永中宋体" w:hAnsi="宋体" w:cs="永中宋体"/>
                <w:color w:val="000000"/>
                <w:sz w:val="22"/>
              </w:rPr>
              <w:t>471.06</w:t>
            </w:r>
            <w:r>
              <w:rPr>
                <w:rFonts w:asci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kern w:val="0"/>
                <w:sz w:val="24"/>
              </w:rPr>
              <w:t>529.00</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rsidP="00004926">
            <w:pPr>
              <w:widowControl/>
              <w:jc w:val="center"/>
              <w:rPr>
                <w:rFonts w:ascii="宋体" w:cs="宋体"/>
                <w:kern w:val="0"/>
                <w:sz w:val="24"/>
              </w:rPr>
            </w:pPr>
            <w:r>
              <w:rPr>
                <w:rFonts w:ascii="宋体" w:cs="宋体"/>
                <w:kern w:val="0"/>
                <w:sz w:val="24"/>
              </w:rPr>
              <w:t>389.3</w:t>
            </w:r>
            <w:r w:rsidR="00004926">
              <w:rPr>
                <w:rFonts w:ascii="宋体" w:cs="宋体" w:hint="eastAsia"/>
                <w:kern w:val="0"/>
                <w:sz w:val="24"/>
              </w:rPr>
              <w:t>2</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2、运行维护专项</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公用经费</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eastAsia="永中宋体" w:hAnsi="宋体" w:cs="永中宋体"/>
                <w:sz w:val="24"/>
              </w:rPr>
              <w:t>19.94</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r>
              <w:rPr>
                <w:rFonts w:ascii="宋体" w:cs="宋体"/>
                <w:kern w:val="0"/>
                <w:sz w:val="24"/>
              </w:rPr>
              <w:t>50.82</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rsidP="00370A52">
            <w:pPr>
              <w:widowControl/>
              <w:jc w:val="center"/>
              <w:rPr>
                <w:rFonts w:ascii="宋体" w:cs="宋体"/>
                <w:kern w:val="0"/>
                <w:sz w:val="24"/>
              </w:rPr>
            </w:pPr>
            <w:r>
              <w:rPr>
                <w:rFonts w:ascii="宋体" w:cs="宋体" w:hint="eastAsia"/>
                <w:kern w:val="0"/>
                <w:sz w:val="24"/>
              </w:rPr>
              <w:t xml:space="preserve">　</w:t>
            </w:r>
            <w:r w:rsidR="00370A52">
              <w:rPr>
                <w:rFonts w:ascii="宋体" w:cs="宋体" w:hint="eastAsia"/>
                <w:kern w:val="0"/>
                <w:sz w:val="24"/>
              </w:rPr>
              <w:t>63.17</w:t>
            </w:r>
          </w:p>
        </w:tc>
      </w:tr>
      <w:tr w:rsidR="000F7E5B">
        <w:trPr>
          <w:trHeight w:val="39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其中：办公经费</w:t>
            </w:r>
          </w:p>
        </w:tc>
        <w:tc>
          <w:tcPr>
            <w:tcW w:w="2174" w:type="dxa"/>
            <w:gridSpan w:val="2"/>
            <w:tcBorders>
              <w:top w:val="single" w:sz="4" w:space="0" w:color="auto"/>
              <w:left w:val="nil"/>
              <w:bottom w:val="single" w:sz="4" w:space="0" w:color="auto"/>
              <w:right w:val="single" w:sz="4" w:space="0" w:color="000000"/>
            </w:tcBorders>
            <w:vAlign w:val="center"/>
          </w:tcPr>
          <w:p w:rsidR="000F7E5B" w:rsidRPr="000D2F73" w:rsidRDefault="001A430E">
            <w:pPr>
              <w:widowControl/>
              <w:jc w:val="center"/>
              <w:rPr>
                <w:rFonts w:ascii="宋体" w:cs="宋体"/>
                <w:color w:val="000000" w:themeColor="text1"/>
                <w:kern w:val="0"/>
                <w:sz w:val="24"/>
              </w:rPr>
            </w:pPr>
            <w:r w:rsidRPr="000D2F73">
              <w:rPr>
                <w:rFonts w:ascii="宋体" w:cs="宋体" w:hint="eastAsia"/>
                <w:color w:val="000000" w:themeColor="text1"/>
                <w:kern w:val="0"/>
                <w:sz w:val="24"/>
              </w:rPr>
              <w:t xml:space="preserve">　</w:t>
            </w:r>
            <w:r w:rsidRPr="000D2F73">
              <w:rPr>
                <w:rFonts w:ascii="宋体" w:cs="宋体"/>
                <w:color w:val="000000" w:themeColor="text1"/>
                <w:kern w:val="0"/>
                <w:sz w:val="24"/>
              </w:rPr>
              <w:t>8.13</w:t>
            </w:r>
          </w:p>
        </w:tc>
        <w:tc>
          <w:tcPr>
            <w:tcW w:w="2568" w:type="dxa"/>
            <w:gridSpan w:val="2"/>
            <w:tcBorders>
              <w:top w:val="single" w:sz="4" w:space="0" w:color="auto"/>
              <w:left w:val="nil"/>
              <w:bottom w:val="single" w:sz="4" w:space="0" w:color="auto"/>
              <w:right w:val="single" w:sz="4" w:space="0" w:color="000000"/>
            </w:tcBorders>
            <w:vAlign w:val="center"/>
          </w:tcPr>
          <w:p w:rsidR="000F7E5B" w:rsidRPr="000D2F73" w:rsidRDefault="001A430E">
            <w:pPr>
              <w:widowControl/>
              <w:jc w:val="center"/>
              <w:rPr>
                <w:rFonts w:ascii="宋体" w:cs="宋体"/>
                <w:color w:val="000000" w:themeColor="text1"/>
                <w:kern w:val="0"/>
                <w:sz w:val="24"/>
              </w:rPr>
            </w:pPr>
            <w:r w:rsidRPr="000D2F73">
              <w:rPr>
                <w:rFonts w:ascii="宋体" w:cs="宋体" w:hint="eastAsia"/>
                <w:color w:val="000000" w:themeColor="text1"/>
                <w:kern w:val="0"/>
                <w:sz w:val="24"/>
              </w:rPr>
              <w:t xml:space="preserve">　</w:t>
            </w:r>
            <w:r w:rsidRPr="000D2F73">
              <w:rPr>
                <w:rFonts w:ascii="宋体" w:cs="宋体"/>
                <w:color w:val="000000" w:themeColor="text1"/>
                <w:kern w:val="0"/>
                <w:sz w:val="24"/>
              </w:rPr>
              <w:t>23.00</w:t>
            </w:r>
          </w:p>
        </w:tc>
        <w:tc>
          <w:tcPr>
            <w:tcW w:w="2198" w:type="dxa"/>
            <w:gridSpan w:val="2"/>
            <w:tcBorders>
              <w:top w:val="single" w:sz="4" w:space="0" w:color="auto"/>
              <w:left w:val="nil"/>
              <w:bottom w:val="single" w:sz="4" w:space="0" w:color="auto"/>
              <w:right w:val="single" w:sz="4" w:space="0" w:color="000000"/>
            </w:tcBorders>
            <w:vAlign w:val="center"/>
          </w:tcPr>
          <w:p w:rsidR="000F7E5B" w:rsidRPr="000D2F73" w:rsidRDefault="001A430E">
            <w:pPr>
              <w:widowControl/>
              <w:jc w:val="center"/>
              <w:rPr>
                <w:rFonts w:ascii="宋体" w:cs="宋体"/>
                <w:color w:val="000000" w:themeColor="text1"/>
                <w:kern w:val="0"/>
                <w:sz w:val="24"/>
              </w:rPr>
            </w:pPr>
            <w:r w:rsidRPr="000D2F73">
              <w:rPr>
                <w:rFonts w:ascii="宋体" w:cs="宋体" w:hint="eastAsia"/>
                <w:color w:val="000000" w:themeColor="text1"/>
                <w:kern w:val="0"/>
                <w:sz w:val="24"/>
              </w:rPr>
              <w:t xml:space="preserve">　</w:t>
            </w:r>
            <w:r w:rsidRPr="000D2F73">
              <w:rPr>
                <w:rFonts w:ascii="宋体" w:cs="宋体"/>
                <w:color w:val="000000" w:themeColor="text1"/>
                <w:kern w:val="0"/>
                <w:sz w:val="24"/>
              </w:rPr>
              <w:t>11.6</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水费、电费、差旅费</w:t>
            </w:r>
          </w:p>
        </w:tc>
        <w:tc>
          <w:tcPr>
            <w:tcW w:w="2174" w:type="dxa"/>
            <w:gridSpan w:val="2"/>
            <w:tcBorders>
              <w:top w:val="single" w:sz="4" w:space="0" w:color="auto"/>
              <w:left w:val="nil"/>
              <w:bottom w:val="single" w:sz="4" w:space="0" w:color="auto"/>
              <w:right w:val="single" w:sz="4" w:space="0" w:color="000000"/>
            </w:tcBorders>
            <w:vAlign w:val="center"/>
          </w:tcPr>
          <w:p w:rsidR="000F7E5B" w:rsidRPr="000D2F73" w:rsidRDefault="001A430E">
            <w:pPr>
              <w:widowControl/>
              <w:jc w:val="center"/>
              <w:rPr>
                <w:rFonts w:ascii="宋体" w:cs="宋体"/>
                <w:color w:val="000000" w:themeColor="text1"/>
                <w:kern w:val="0"/>
                <w:sz w:val="24"/>
              </w:rPr>
            </w:pPr>
            <w:r w:rsidRPr="000D2F73">
              <w:rPr>
                <w:rFonts w:ascii="宋体" w:cs="宋体" w:hint="eastAsia"/>
                <w:color w:val="000000" w:themeColor="text1"/>
                <w:kern w:val="0"/>
                <w:sz w:val="24"/>
              </w:rPr>
              <w:t xml:space="preserve">　</w:t>
            </w:r>
            <w:r w:rsidRPr="000D2F73">
              <w:rPr>
                <w:rFonts w:ascii="宋体" w:cs="宋体"/>
                <w:color w:val="000000" w:themeColor="text1"/>
                <w:kern w:val="0"/>
                <w:sz w:val="24"/>
              </w:rPr>
              <w:t>0</w:t>
            </w:r>
          </w:p>
        </w:tc>
        <w:tc>
          <w:tcPr>
            <w:tcW w:w="2568" w:type="dxa"/>
            <w:gridSpan w:val="2"/>
            <w:tcBorders>
              <w:top w:val="single" w:sz="4" w:space="0" w:color="auto"/>
              <w:left w:val="nil"/>
              <w:bottom w:val="single" w:sz="4" w:space="0" w:color="auto"/>
              <w:right w:val="single" w:sz="4" w:space="0" w:color="000000"/>
            </w:tcBorders>
            <w:vAlign w:val="center"/>
          </w:tcPr>
          <w:p w:rsidR="000F7E5B" w:rsidRPr="000D2F73" w:rsidRDefault="001A430E">
            <w:pPr>
              <w:widowControl/>
              <w:jc w:val="center"/>
              <w:rPr>
                <w:rFonts w:ascii="宋体" w:cs="宋体"/>
                <w:color w:val="000000" w:themeColor="text1"/>
                <w:kern w:val="0"/>
                <w:sz w:val="24"/>
              </w:rPr>
            </w:pPr>
            <w:r w:rsidRPr="000D2F73">
              <w:rPr>
                <w:rFonts w:ascii="宋体" w:cs="宋体" w:hint="eastAsia"/>
                <w:color w:val="000000" w:themeColor="text1"/>
                <w:kern w:val="0"/>
                <w:sz w:val="24"/>
              </w:rPr>
              <w:t xml:space="preserve">　</w:t>
            </w:r>
            <w:r w:rsidRPr="000D2F73">
              <w:rPr>
                <w:rFonts w:ascii="宋体" w:cs="宋体"/>
                <w:color w:val="000000" w:themeColor="text1"/>
                <w:kern w:val="0"/>
                <w:sz w:val="24"/>
              </w:rPr>
              <w:t>1</w:t>
            </w:r>
          </w:p>
        </w:tc>
        <w:tc>
          <w:tcPr>
            <w:tcW w:w="2198" w:type="dxa"/>
            <w:gridSpan w:val="2"/>
            <w:tcBorders>
              <w:top w:val="single" w:sz="4" w:space="0" w:color="auto"/>
              <w:left w:val="nil"/>
              <w:bottom w:val="single" w:sz="4" w:space="0" w:color="auto"/>
              <w:right w:val="single" w:sz="4" w:space="0" w:color="000000"/>
            </w:tcBorders>
            <w:vAlign w:val="center"/>
          </w:tcPr>
          <w:p w:rsidR="000F7E5B" w:rsidRPr="000D2F73" w:rsidRDefault="001A430E">
            <w:pPr>
              <w:widowControl/>
              <w:jc w:val="center"/>
              <w:rPr>
                <w:rFonts w:ascii="宋体" w:cs="宋体"/>
                <w:color w:val="000000" w:themeColor="text1"/>
                <w:kern w:val="0"/>
                <w:sz w:val="24"/>
              </w:rPr>
            </w:pPr>
            <w:r w:rsidRPr="000D2F73">
              <w:rPr>
                <w:rFonts w:ascii="宋体" w:cs="宋体" w:hint="eastAsia"/>
                <w:color w:val="000000" w:themeColor="text1"/>
                <w:kern w:val="0"/>
                <w:sz w:val="24"/>
              </w:rPr>
              <w:t xml:space="preserve">　</w:t>
            </w:r>
            <w:r w:rsidRPr="000D2F73">
              <w:rPr>
                <w:rFonts w:ascii="宋体" w:cs="宋体"/>
                <w:color w:val="000000" w:themeColor="text1"/>
                <w:kern w:val="0"/>
                <w:sz w:val="24"/>
              </w:rPr>
              <w:t>0</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会议费、培训费</w:t>
            </w:r>
          </w:p>
        </w:tc>
        <w:tc>
          <w:tcPr>
            <w:tcW w:w="2174" w:type="dxa"/>
            <w:gridSpan w:val="2"/>
            <w:tcBorders>
              <w:top w:val="single" w:sz="4" w:space="0" w:color="auto"/>
              <w:left w:val="nil"/>
              <w:bottom w:val="single" w:sz="4" w:space="0" w:color="auto"/>
              <w:right w:val="single" w:sz="4" w:space="0" w:color="000000"/>
            </w:tcBorders>
            <w:vAlign w:val="center"/>
          </w:tcPr>
          <w:p w:rsidR="000F7E5B" w:rsidRPr="000D2F73" w:rsidRDefault="001A430E">
            <w:pPr>
              <w:widowControl/>
              <w:jc w:val="center"/>
              <w:rPr>
                <w:rFonts w:ascii="宋体" w:cs="宋体"/>
                <w:color w:val="000000" w:themeColor="text1"/>
                <w:kern w:val="0"/>
                <w:sz w:val="24"/>
              </w:rPr>
            </w:pPr>
            <w:r w:rsidRPr="000D2F73">
              <w:rPr>
                <w:rFonts w:ascii="宋体" w:cs="宋体" w:hint="eastAsia"/>
                <w:color w:val="000000" w:themeColor="text1"/>
                <w:kern w:val="0"/>
                <w:sz w:val="24"/>
              </w:rPr>
              <w:t xml:space="preserve">　</w:t>
            </w:r>
            <w:r w:rsidRPr="000D2F73">
              <w:rPr>
                <w:rFonts w:ascii="宋体" w:cs="宋体"/>
                <w:color w:val="000000" w:themeColor="text1"/>
                <w:kern w:val="0"/>
                <w:sz w:val="24"/>
              </w:rPr>
              <w:t>0.16</w:t>
            </w:r>
          </w:p>
        </w:tc>
        <w:tc>
          <w:tcPr>
            <w:tcW w:w="2568" w:type="dxa"/>
            <w:gridSpan w:val="2"/>
            <w:tcBorders>
              <w:top w:val="single" w:sz="4" w:space="0" w:color="auto"/>
              <w:left w:val="nil"/>
              <w:bottom w:val="single" w:sz="4" w:space="0" w:color="auto"/>
              <w:right w:val="single" w:sz="4" w:space="0" w:color="000000"/>
            </w:tcBorders>
            <w:vAlign w:val="center"/>
          </w:tcPr>
          <w:p w:rsidR="000F7E5B" w:rsidRPr="000D2F73" w:rsidRDefault="001A430E">
            <w:pPr>
              <w:widowControl/>
              <w:jc w:val="center"/>
              <w:rPr>
                <w:rFonts w:ascii="宋体" w:cs="宋体"/>
                <w:color w:val="000000" w:themeColor="text1"/>
                <w:kern w:val="0"/>
                <w:sz w:val="24"/>
              </w:rPr>
            </w:pPr>
            <w:r w:rsidRPr="000D2F73">
              <w:rPr>
                <w:rFonts w:ascii="宋体" w:cs="宋体" w:hint="eastAsia"/>
                <w:color w:val="000000" w:themeColor="text1"/>
                <w:kern w:val="0"/>
                <w:sz w:val="24"/>
              </w:rPr>
              <w:t xml:space="preserve">　</w:t>
            </w:r>
            <w:r w:rsidRPr="000D2F73">
              <w:rPr>
                <w:rFonts w:ascii="宋体" w:cs="宋体"/>
                <w:color w:val="000000" w:themeColor="text1"/>
                <w:kern w:val="0"/>
                <w:sz w:val="24"/>
              </w:rPr>
              <w:t>4</w:t>
            </w:r>
          </w:p>
        </w:tc>
        <w:tc>
          <w:tcPr>
            <w:tcW w:w="2198" w:type="dxa"/>
            <w:gridSpan w:val="2"/>
            <w:tcBorders>
              <w:top w:val="single" w:sz="4" w:space="0" w:color="auto"/>
              <w:left w:val="nil"/>
              <w:bottom w:val="single" w:sz="4" w:space="0" w:color="auto"/>
              <w:right w:val="single" w:sz="4" w:space="0" w:color="000000"/>
            </w:tcBorders>
            <w:vAlign w:val="center"/>
          </w:tcPr>
          <w:p w:rsidR="000F7E5B" w:rsidRPr="000D2F73" w:rsidRDefault="001A430E">
            <w:pPr>
              <w:widowControl/>
              <w:jc w:val="center"/>
              <w:rPr>
                <w:rFonts w:ascii="宋体" w:cs="宋体"/>
                <w:color w:val="000000" w:themeColor="text1"/>
                <w:kern w:val="0"/>
                <w:sz w:val="24"/>
              </w:rPr>
            </w:pPr>
            <w:r w:rsidRPr="000D2F73">
              <w:rPr>
                <w:rFonts w:ascii="宋体" w:cs="宋体" w:hint="eastAsia"/>
                <w:color w:val="000000" w:themeColor="text1"/>
                <w:kern w:val="0"/>
                <w:sz w:val="24"/>
              </w:rPr>
              <w:t xml:space="preserve">　</w:t>
            </w:r>
            <w:r w:rsidRPr="000D2F73">
              <w:rPr>
                <w:rFonts w:ascii="宋体" w:cs="宋体"/>
                <w:color w:val="000000" w:themeColor="text1"/>
                <w:kern w:val="0"/>
                <w:sz w:val="24"/>
              </w:rPr>
              <w:t>0</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政府采购金额</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0F7E5B">
            <w:pPr>
              <w:widowControl/>
              <w:jc w:val="center"/>
              <w:rPr>
                <w:rFonts w:ascii="宋体" w:cs="宋体"/>
                <w:kern w:val="0"/>
                <w:sz w:val="24"/>
              </w:rPr>
            </w:pP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rsidP="008D79A8">
            <w:pPr>
              <w:widowControl/>
              <w:jc w:val="center"/>
              <w:rPr>
                <w:rFonts w:ascii="宋体" w:cs="宋体"/>
                <w:kern w:val="0"/>
                <w:sz w:val="24"/>
              </w:rPr>
            </w:pPr>
            <w:r>
              <w:rPr>
                <w:rFonts w:ascii="宋体" w:cs="宋体" w:hint="eastAsia"/>
                <w:kern w:val="0"/>
                <w:sz w:val="24"/>
              </w:rPr>
              <w:t xml:space="preserve">　</w:t>
            </w:r>
            <w:r w:rsidR="008D79A8">
              <w:rPr>
                <w:rFonts w:ascii="宋体" w:cs="宋体" w:hint="eastAsia"/>
                <w:kern w:val="0"/>
                <w:sz w:val="24"/>
              </w:rPr>
              <w:t>30.38</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部门整体支出预算调整 </w:t>
            </w:r>
          </w:p>
        </w:tc>
        <w:tc>
          <w:tcPr>
            <w:tcW w:w="2174"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w:t>
            </w:r>
          </w:p>
        </w:tc>
        <w:tc>
          <w:tcPr>
            <w:tcW w:w="256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p>
        </w:tc>
        <w:tc>
          <w:tcPr>
            <w:tcW w:w="2198" w:type="dxa"/>
            <w:gridSpan w:val="2"/>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p>
        </w:tc>
      </w:tr>
      <w:tr w:rsidR="000F7E5B">
        <w:trPr>
          <w:trHeight w:val="1154"/>
          <w:jc w:val="center"/>
        </w:trPr>
        <w:tc>
          <w:tcPr>
            <w:tcW w:w="3550" w:type="dxa"/>
            <w:vMerge w:val="restart"/>
            <w:tcBorders>
              <w:top w:val="nil"/>
              <w:left w:val="single" w:sz="4" w:space="0" w:color="auto"/>
              <w:bottom w:val="single" w:sz="4" w:space="0" w:color="auto"/>
              <w:right w:val="single" w:sz="4" w:space="0" w:color="auto"/>
            </w:tcBorders>
            <w:vAlign w:val="center"/>
          </w:tcPr>
          <w:p w:rsidR="000F7E5B" w:rsidRDefault="001A430E">
            <w:pPr>
              <w:widowControl/>
              <w:jc w:val="center"/>
              <w:rPr>
                <w:rFonts w:ascii="宋体" w:cs="宋体"/>
                <w:kern w:val="0"/>
                <w:sz w:val="24"/>
              </w:rPr>
            </w:pPr>
            <w:r>
              <w:rPr>
                <w:rFonts w:ascii="宋体" w:cs="宋体" w:hint="eastAsia"/>
                <w:kern w:val="0"/>
                <w:sz w:val="24"/>
              </w:rPr>
              <w:t>楼堂馆所控制情况</w:t>
            </w:r>
            <w:r>
              <w:rPr>
                <w:rFonts w:ascii="宋体" w:cs="宋体" w:hint="eastAsia"/>
                <w:kern w:val="0"/>
                <w:sz w:val="24"/>
              </w:rPr>
              <w:br/>
              <w:t>（2019年完工项目）</w:t>
            </w:r>
          </w:p>
        </w:tc>
        <w:tc>
          <w:tcPr>
            <w:tcW w:w="1190" w:type="dxa"/>
            <w:tcBorders>
              <w:top w:val="nil"/>
              <w:left w:val="nil"/>
              <w:bottom w:val="single" w:sz="4" w:space="0" w:color="auto"/>
              <w:right w:val="single" w:sz="4" w:space="0" w:color="auto"/>
            </w:tcBorders>
            <w:vAlign w:val="center"/>
          </w:tcPr>
          <w:p w:rsidR="000F7E5B" w:rsidRDefault="001A430E">
            <w:pPr>
              <w:widowControl/>
              <w:jc w:val="center"/>
              <w:rPr>
                <w:rFonts w:ascii="宋体" w:cs="宋体"/>
                <w:b/>
                <w:bCs/>
                <w:kern w:val="0"/>
                <w:sz w:val="24"/>
              </w:rPr>
            </w:pPr>
            <w:r>
              <w:rPr>
                <w:rFonts w:ascii="宋体" w:cs="宋体" w:hint="eastAsia"/>
                <w:b/>
                <w:bCs/>
                <w:kern w:val="0"/>
                <w:sz w:val="24"/>
              </w:rPr>
              <w:t>批复规模</w:t>
            </w:r>
            <w:r>
              <w:rPr>
                <w:rFonts w:ascii="宋体" w:cs="宋体" w:hint="eastAsia"/>
                <w:b/>
                <w:bCs/>
                <w:kern w:val="0"/>
                <w:sz w:val="24"/>
              </w:rPr>
              <w:br/>
              <w:t>（㎡）</w:t>
            </w:r>
          </w:p>
        </w:tc>
        <w:tc>
          <w:tcPr>
            <w:tcW w:w="984" w:type="dxa"/>
            <w:tcBorders>
              <w:top w:val="nil"/>
              <w:left w:val="nil"/>
              <w:bottom w:val="single" w:sz="4" w:space="0" w:color="auto"/>
              <w:right w:val="single" w:sz="4" w:space="0" w:color="auto"/>
            </w:tcBorders>
            <w:vAlign w:val="center"/>
          </w:tcPr>
          <w:p w:rsidR="000F7E5B" w:rsidRDefault="001A430E">
            <w:pPr>
              <w:widowControl/>
              <w:jc w:val="center"/>
              <w:rPr>
                <w:rFonts w:ascii="宋体" w:cs="宋体"/>
                <w:b/>
                <w:bCs/>
                <w:kern w:val="0"/>
                <w:sz w:val="24"/>
              </w:rPr>
            </w:pPr>
            <w:r>
              <w:rPr>
                <w:rFonts w:ascii="宋体" w:cs="宋体" w:hint="eastAsia"/>
                <w:b/>
                <w:bCs/>
                <w:kern w:val="0"/>
                <w:sz w:val="24"/>
              </w:rPr>
              <w:t>实际规模</w:t>
            </w:r>
            <w:r>
              <w:rPr>
                <w:rFonts w:ascii="宋体" w:cs="宋体" w:hint="eastAsia"/>
                <w:b/>
                <w:bCs/>
                <w:kern w:val="0"/>
                <w:sz w:val="24"/>
              </w:rPr>
              <w:br/>
              <w:t>（㎡）</w:t>
            </w:r>
          </w:p>
        </w:tc>
        <w:tc>
          <w:tcPr>
            <w:tcW w:w="1316" w:type="dxa"/>
            <w:tcBorders>
              <w:top w:val="nil"/>
              <w:left w:val="nil"/>
              <w:bottom w:val="single" w:sz="4" w:space="0" w:color="auto"/>
              <w:right w:val="single" w:sz="4" w:space="0" w:color="auto"/>
            </w:tcBorders>
            <w:vAlign w:val="center"/>
          </w:tcPr>
          <w:p w:rsidR="000F7E5B" w:rsidRDefault="001A430E">
            <w:pPr>
              <w:widowControl/>
              <w:jc w:val="center"/>
              <w:rPr>
                <w:rFonts w:ascii="宋体" w:cs="宋体"/>
                <w:b/>
                <w:bCs/>
                <w:kern w:val="0"/>
                <w:sz w:val="24"/>
              </w:rPr>
            </w:pPr>
            <w:r>
              <w:rPr>
                <w:rFonts w:ascii="宋体" w:cs="宋体" w:hint="eastAsia"/>
                <w:b/>
                <w:bCs/>
                <w:kern w:val="0"/>
                <w:sz w:val="24"/>
              </w:rPr>
              <w:t>规模控制率</w:t>
            </w:r>
          </w:p>
        </w:tc>
        <w:tc>
          <w:tcPr>
            <w:tcW w:w="1252" w:type="dxa"/>
            <w:tcBorders>
              <w:top w:val="nil"/>
              <w:left w:val="nil"/>
              <w:bottom w:val="single" w:sz="4" w:space="0" w:color="auto"/>
              <w:right w:val="single" w:sz="4" w:space="0" w:color="auto"/>
            </w:tcBorders>
            <w:vAlign w:val="center"/>
          </w:tcPr>
          <w:p w:rsidR="000F7E5B" w:rsidRDefault="001A430E">
            <w:pPr>
              <w:widowControl/>
              <w:jc w:val="center"/>
              <w:rPr>
                <w:rFonts w:ascii="宋体" w:cs="宋体"/>
                <w:b/>
                <w:bCs/>
                <w:kern w:val="0"/>
                <w:sz w:val="24"/>
              </w:rPr>
            </w:pPr>
            <w:r>
              <w:rPr>
                <w:rFonts w:ascii="宋体" w:cs="宋体" w:hint="eastAsia"/>
                <w:b/>
                <w:bCs/>
                <w:kern w:val="0"/>
                <w:sz w:val="24"/>
              </w:rPr>
              <w:t>预算投资</w:t>
            </w:r>
            <w:r>
              <w:rPr>
                <w:rFonts w:ascii="宋体" w:cs="宋体" w:hint="eastAsia"/>
                <w:b/>
                <w:bCs/>
                <w:kern w:val="0"/>
                <w:sz w:val="24"/>
              </w:rPr>
              <w:br/>
              <w:t>（万元）</w:t>
            </w:r>
          </w:p>
        </w:tc>
        <w:tc>
          <w:tcPr>
            <w:tcW w:w="1008" w:type="dxa"/>
            <w:tcBorders>
              <w:top w:val="nil"/>
              <w:left w:val="nil"/>
              <w:bottom w:val="single" w:sz="4" w:space="0" w:color="auto"/>
              <w:right w:val="single" w:sz="4" w:space="0" w:color="auto"/>
            </w:tcBorders>
            <w:vAlign w:val="center"/>
          </w:tcPr>
          <w:p w:rsidR="000F7E5B" w:rsidRDefault="001A430E">
            <w:pPr>
              <w:widowControl/>
              <w:jc w:val="center"/>
              <w:rPr>
                <w:rFonts w:ascii="宋体" w:cs="宋体"/>
                <w:b/>
                <w:bCs/>
                <w:kern w:val="0"/>
                <w:sz w:val="24"/>
              </w:rPr>
            </w:pPr>
            <w:r>
              <w:rPr>
                <w:rFonts w:ascii="宋体" w:cs="宋体" w:hint="eastAsia"/>
                <w:b/>
                <w:bCs/>
                <w:kern w:val="0"/>
                <w:sz w:val="24"/>
              </w:rPr>
              <w:t>实际投资</w:t>
            </w:r>
            <w:r>
              <w:rPr>
                <w:rFonts w:ascii="宋体" w:cs="宋体" w:hint="eastAsia"/>
                <w:b/>
                <w:bCs/>
                <w:kern w:val="0"/>
                <w:sz w:val="24"/>
              </w:rPr>
              <w:br/>
              <w:t>（万元）</w:t>
            </w:r>
          </w:p>
        </w:tc>
        <w:tc>
          <w:tcPr>
            <w:tcW w:w="1190" w:type="dxa"/>
            <w:tcBorders>
              <w:top w:val="nil"/>
              <w:left w:val="nil"/>
              <w:bottom w:val="single" w:sz="4" w:space="0" w:color="auto"/>
              <w:right w:val="single" w:sz="4" w:space="0" w:color="auto"/>
            </w:tcBorders>
            <w:vAlign w:val="center"/>
          </w:tcPr>
          <w:p w:rsidR="000F7E5B" w:rsidRDefault="001A430E">
            <w:pPr>
              <w:widowControl/>
              <w:jc w:val="center"/>
              <w:rPr>
                <w:rFonts w:ascii="宋体" w:cs="宋体"/>
                <w:b/>
                <w:bCs/>
                <w:kern w:val="0"/>
                <w:sz w:val="24"/>
              </w:rPr>
            </w:pPr>
            <w:r>
              <w:rPr>
                <w:rFonts w:ascii="宋体" w:cs="宋体" w:hint="eastAsia"/>
                <w:b/>
                <w:bCs/>
                <w:kern w:val="0"/>
                <w:sz w:val="24"/>
              </w:rPr>
              <w:t>投资概算控制率</w:t>
            </w:r>
          </w:p>
        </w:tc>
      </w:tr>
      <w:tr w:rsidR="000F7E5B">
        <w:trPr>
          <w:trHeight w:val="177"/>
          <w:jc w:val="center"/>
        </w:trPr>
        <w:tc>
          <w:tcPr>
            <w:tcW w:w="3550" w:type="dxa"/>
            <w:vMerge/>
            <w:tcBorders>
              <w:top w:val="nil"/>
              <w:left w:val="single" w:sz="4" w:space="0" w:color="auto"/>
              <w:bottom w:val="single" w:sz="4" w:space="0" w:color="auto"/>
              <w:right w:val="single" w:sz="4" w:space="0" w:color="auto"/>
            </w:tcBorders>
            <w:vAlign w:val="center"/>
          </w:tcPr>
          <w:p w:rsidR="000F7E5B" w:rsidRDefault="000F7E5B"/>
        </w:tc>
        <w:tc>
          <w:tcPr>
            <w:tcW w:w="1190" w:type="dxa"/>
            <w:tcBorders>
              <w:top w:val="nil"/>
              <w:left w:val="nil"/>
              <w:bottom w:val="single" w:sz="4" w:space="0" w:color="auto"/>
              <w:right w:val="single" w:sz="4" w:space="0" w:color="auto"/>
            </w:tcBorders>
            <w:vAlign w:val="center"/>
          </w:tcPr>
          <w:p w:rsidR="000F7E5B" w:rsidRDefault="001A430E">
            <w:pPr>
              <w:widowControl/>
              <w:jc w:val="center"/>
              <w:rPr>
                <w:rFonts w:ascii="宋体" w:cs="宋体"/>
                <w:kern w:val="0"/>
                <w:sz w:val="24"/>
              </w:rPr>
            </w:pPr>
            <w:r>
              <w:rPr>
                <w:rFonts w:ascii="宋体" w:cs="宋体"/>
                <w:kern w:val="0"/>
                <w:sz w:val="24"/>
              </w:rPr>
              <w:t>0</w:t>
            </w:r>
            <w:r>
              <w:rPr>
                <w:rFonts w:ascii="宋体" w:cs="宋体" w:hint="eastAsia"/>
                <w:kern w:val="0"/>
                <w:sz w:val="24"/>
              </w:rPr>
              <w:t xml:space="preserve">　</w:t>
            </w:r>
          </w:p>
        </w:tc>
        <w:tc>
          <w:tcPr>
            <w:tcW w:w="984" w:type="dxa"/>
            <w:tcBorders>
              <w:top w:val="nil"/>
              <w:left w:val="nil"/>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w:t>
            </w:r>
            <w:r>
              <w:rPr>
                <w:rFonts w:ascii="宋体" w:cs="宋体"/>
                <w:kern w:val="0"/>
                <w:sz w:val="24"/>
              </w:rPr>
              <w:t>0</w:t>
            </w:r>
          </w:p>
        </w:tc>
        <w:tc>
          <w:tcPr>
            <w:tcW w:w="1316" w:type="dxa"/>
            <w:tcBorders>
              <w:top w:val="nil"/>
              <w:left w:val="nil"/>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w:t>
            </w:r>
            <w:r>
              <w:rPr>
                <w:rFonts w:ascii="宋体" w:cs="宋体"/>
                <w:kern w:val="0"/>
                <w:sz w:val="24"/>
              </w:rPr>
              <w:t>0</w:t>
            </w:r>
          </w:p>
        </w:tc>
        <w:tc>
          <w:tcPr>
            <w:tcW w:w="1252" w:type="dxa"/>
            <w:tcBorders>
              <w:top w:val="nil"/>
              <w:left w:val="nil"/>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w:t>
            </w:r>
            <w:r>
              <w:rPr>
                <w:rFonts w:ascii="宋体" w:cs="宋体"/>
                <w:kern w:val="0"/>
                <w:sz w:val="24"/>
              </w:rPr>
              <w:t>0</w:t>
            </w:r>
          </w:p>
        </w:tc>
        <w:tc>
          <w:tcPr>
            <w:tcW w:w="1008" w:type="dxa"/>
            <w:tcBorders>
              <w:top w:val="nil"/>
              <w:left w:val="nil"/>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w:t>
            </w:r>
            <w:r>
              <w:rPr>
                <w:rFonts w:ascii="宋体" w:cs="宋体"/>
                <w:kern w:val="0"/>
                <w:sz w:val="24"/>
              </w:rPr>
              <w:t>0</w:t>
            </w:r>
          </w:p>
        </w:tc>
        <w:tc>
          <w:tcPr>
            <w:tcW w:w="1190" w:type="dxa"/>
            <w:tcBorders>
              <w:top w:val="nil"/>
              <w:left w:val="nil"/>
              <w:bottom w:val="single" w:sz="4" w:space="0" w:color="auto"/>
              <w:right w:val="single" w:sz="4" w:space="0" w:color="auto"/>
            </w:tcBorders>
            <w:vAlign w:val="center"/>
          </w:tcPr>
          <w:p w:rsidR="000F7E5B" w:rsidRDefault="001A430E">
            <w:pPr>
              <w:widowControl/>
              <w:jc w:val="left"/>
              <w:rPr>
                <w:rFonts w:ascii="宋体" w:cs="宋体"/>
                <w:kern w:val="0"/>
                <w:sz w:val="24"/>
              </w:rPr>
            </w:pPr>
            <w:r>
              <w:rPr>
                <w:rFonts w:ascii="宋体" w:cs="宋体" w:hint="eastAsia"/>
                <w:kern w:val="0"/>
                <w:sz w:val="24"/>
              </w:rPr>
              <w:t xml:space="preserve">　</w:t>
            </w:r>
            <w:r>
              <w:rPr>
                <w:rFonts w:ascii="宋体" w:cs="宋体"/>
                <w:kern w:val="0"/>
                <w:sz w:val="24"/>
              </w:rPr>
              <w:t>0</w:t>
            </w:r>
          </w:p>
        </w:tc>
      </w:tr>
      <w:tr w:rsidR="000F7E5B">
        <w:trPr>
          <w:trHeight w:val="371"/>
          <w:jc w:val="center"/>
        </w:trPr>
        <w:tc>
          <w:tcPr>
            <w:tcW w:w="3550" w:type="dxa"/>
            <w:tcBorders>
              <w:top w:val="nil"/>
              <w:left w:val="single" w:sz="4" w:space="0" w:color="auto"/>
              <w:bottom w:val="single" w:sz="4" w:space="0" w:color="auto"/>
              <w:right w:val="single" w:sz="4" w:space="0" w:color="auto"/>
            </w:tcBorders>
            <w:vAlign w:val="center"/>
          </w:tcPr>
          <w:p w:rsidR="000F7E5B" w:rsidRDefault="001A430E">
            <w:pPr>
              <w:widowControl/>
              <w:jc w:val="center"/>
              <w:rPr>
                <w:rFonts w:ascii="宋体" w:cs="宋体"/>
                <w:kern w:val="0"/>
                <w:sz w:val="24"/>
              </w:rPr>
            </w:pPr>
            <w:r>
              <w:rPr>
                <w:rFonts w:ascii="宋体" w:cs="宋体" w:hint="eastAsia"/>
                <w:kern w:val="0"/>
                <w:sz w:val="24"/>
              </w:rPr>
              <w:t>厉行节约保障措施</w:t>
            </w:r>
          </w:p>
        </w:tc>
        <w:tc>
          <w:tcPr>
            <w:tcW w:w="6940" w:type="dxa"/>
            <w:gridSpan w:val="6"/>
            <w:tcBorders>
              <w:top w:val="single" w:sz="4" w:space="0" w:color="auto"/>
              <w:left w:val="nil"/>
              <w:bottom w:val="single" w:sz="4" w:space="0" w:color="auto"/>
              <w:right w:val="single" w:sz="4" w:space="0" w:color="000000"/>
            </w:tcBorders>
            <w:vAlign w:val="center"/>
          </w:tcPr>
          <w:p w:rsidR="000F7E5B" w:rsidRDefault="001A430E">
            <w:pPr>
              <w:widowControl/>
              <w:jc w:val="center"/>
              <w:rPr>
                <w:rFonts w:ascii="宋体" w:cs="宋体"/>
                <w:kern w:val="0"/>
                <w:sz w:val="24"/>
              </w:rPr>
            </w:pPr>
            <w:r>
              <w:rPr>
                <w:rFonts w:ascii="宋体" w:cs="宋体" w:hint="eastAsia"/>
                <w:kern w:val="0"/>
                <w:sz w:val="24"/>
              </w:rPr>
              <w:t xml:space="preserve">　</w:t>
            </w:r>
          </w:p>
        </w:tc>
      </w:tr>
      <w:tr w:rsidR="000F7E5B">
        <w:trPr>
          <w:trHeight w:val="700"/>
          <w:jc w:val="center"/>
        </w:trPr>
        <w:tc>
          <w:tcPr>
            <w:tcW w:w="10490" w:type="dxa"/>
            <w:gridSpan w:val="7"/>
            <w:tcBorders>
              <w:top w:val="single" w:sz="4" w:space="0" w:color="auto"/>
              <w:left w:val="nil"/>
              <w:bottom w:val="nil"/>
              <w:right w:val="nil"/>
            </w:tcBorders>
            <w:vAlign w:val="center"/>
          </w:tcPr>
          <w:p w:rsidR="000F7E5B" w:rsidRDefault="001A430E">
            <w:pPr>
              <w:widowControl/>
              <w:jc w:val="left"/>
              <w:rPr>
                <w:rFonts w:ascii="宋体" w:cs="宋体"/>
                <w:kern w:val="0"/>
                <w:sz w:val="22"/>
                <w:szCs w:val="22"/>
              </w:rPr>
            </w:pPr>
            <w:r>
              <w:rPr>
                <w:rFonts w:ascii="宋体" w:cs="宋体" w:hint="eastAsia"/>
                <w:kern w:val="0"/>
                <w:sz w:val="22"/>
                <w:szCs w:val="22"/>
              </w:rPr>
              <w:t>说明：“项目支出”需要填报除专项资金和基本支出以外的所有项目情况，包括业务工作项目、运行维护项目等；“公用经费”填报基本支出中的一般商品和服务支出。</w:t>
            </w:r>
          </w:p>
        </w:tc>
      </w:tr>
    </w:tbl>
    <w:p w:rsidR="000F7E5B" w:rsidRDefault="000F7E5B"/>
    <w:p w:rsidR="000F7E5B" w:rsidRDefault="000F7E5B"/>
    <w:p w:rsidR="000F7E5B" w:rsidRDefault="000F7E5B"/>
    <w:p w:rsidR="000F7E5B" w:rsidRDefault="000F7E5B"/>
    <w:p w:rsidR="000F7E5B" w:rsidRDefault="000F7E5B"/>
    <w:p w:rsidR="000F7E5B" w:rsidRDefault="000F7E5B"/>
    <w:p w:rsidR="000F7E5B" w:rsidRDefault="000F7E5B"/>
    <w:p w:rsidR="000F7E5B" w:rsidRDefault="001A430E">
      <w:pPr>
        <w:rPr>
          <w:rFonts w:ascii="黑体" w:eastAsia="黑体" w:cs="宋体"/>
          <w:kern w:val="0"/>
          <w:sz w:val="32"/>
          <w:szCs w:val="32"/>
        </w:rPr>
      </w:pPr>
      <w:r>
        <w:rPr>
          <w:rFonts w:ascii="黑体" w:eastAsia="黑体" w:cs="宋体" w:hint="eastAsia"/>
          <w:kern w:val="0"/>
          <w:sz w:val="32"/>
          <w:szCs w:val="32"/>
        </w:rPr>
        <w:lastRenderedPageBreak/>
        <w:t>附件3</w:t>
      </w:r>
    </w:p>
    <w:p w:rsidR="000F7E5B" w:rsidRDefault="001A430E">
      <w:pPr>
        <w:jc w:val="center"/>
        <w:rPr>
          <w:rFonts w:ascii="方正小标宋简体" w:eastAsia="方正小标宋简体"/>
          <w:sz w:val="44"/>
          <w:szCs w:val="44"/>
        </w:rPr>
      </w:pPr>
      <w:r>
        <w:rPr>
          <w:rFonts w:ascii="方正小标宋简体" w:eastAsia="方正小标宋简体" w:hint="eastAsia"/>
          <w:sz w:val="44"/>
          <w:szCs w:val="44"/>
        </w:rPr>
        <w:t xml:space="preserve">部门整体支出绩效报告 </w:t>
      </w:r>
    </w:p>
    <w:p w:rsidR="000F7E5B" w:rsidRDefault="000F7E5B">
      <w:pPr>
        <w:ind w:firstLineChars="250" w:firstLine="750"/>
        <w:rPr>
          <w:sz w:val="30"/>
          <w:szCs w:val="30"/>
        </w:rPr>
      </w:pPr>
    </w:p>
    <w:p w:rsidR="000F7E5B" w:rsidRDefault="001A430E">
      <w:pPr>
        <w:spacing w:line="600" w:lineRule="exact"/>
        <w:ind w:firstLineChars="250" w:firstLine="800"/>
        <w:rPr>
          <w:rFonts w:ascii="仿宋_GB2312" w:eastAsia="仿宋_GB2312"/>
          <w:sz w:val="32"/>
          <w:szCs w:val="32"/>
        </w:rPr>
      </w:pPr>
      <w:r>
        <w:rPr>
          <w:rFonts w:ascii="黑体" w:eastAsia="黑体" w:hint="eastAsia"/>
          <w:sz w:val="32"/>
          <w:szCs w:val="32"/>
        </w:rPr>
        <w:t>一、部门概况</w:t>
      </w:r>
    </w:p>
    <w:p w:rsidR="000F7E5B" w:rsidRDefault="001A430E">
      <w:pPr>
        <w:widowControl/>
        <w:shd w:val="clear" w:color="auto" w:fill="FFFFFF"/>
        <w:spacing w:line="600" w:lineRule="exact"/>
        <w:ind w:firstLineChars="250" w:firstLine="800"/>
        <w:jc w:val="left"/>
        <w:rPr>
          <w:rFonts w:ascii="仿宋_GB2312" w:eastAsia="仿宋_GB2312"/>
          <w:sz w:val="32"/>
          <w:szCs w:val="32"/>
        </w:rPr>
      </w:pPr>
      <w:r>
        <w:rPr>
          <w:rFonts w:ascii="仿宋_GB2312" w:eastAsia="仿宋_GB2312"/>
          <w:sz w:val="32"/>
          <w:szCs w:val="32"/>
        </w:rPr>
        <w:t>（一）</w:t>
      </w:r>
      <w:r>
        <w:rPr>
          <w:rFonts w:ascii="仿宋_GB2312" w:eastAsia="仿宋_GB2312" w:hint="eastAsia"/>
          <w:sz w:val="32"/>
          <w:szCs w:val="32"/>
        </w:rPr>
        <w:t>部门基本情况</w:t>
      </w:r>
    </w:p>
    <w:p w:rsidR="000F7E5B" w:rsidRDefault="001A430E">
      <w:pPr>
        <w:spacing w:line="600" w:lineRule="exact"/>
        <w:rPr>
          <w:rFonts w:ascii="仿宋_GB2312" w:eastAsia="仿宋_GB2312" w:cs="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根据区人民政府授权，依照《中华人民共和国公司法》、《中华人民共和国企业国有资产法》等法律和行政法规及省、市、区有关规定，代表区人民政府履行出资人职责，依法享有资产收益、参与重大决策和选择管理者等出资人权利。</w:t>
      </w:r>
    </w:p>
    <w:p w:rsidR="000F7E5B" w:rsidRDefault="001A430E">
      <w:pPr>
        <w:spacing w:line="600" w:lineRule="exact"/>
        <w:rPr>
          <w:rStyle w:val="a6"/>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促进所管理企业国有资产保值增值；负责建立和完善国有资产保值增值指标体系和国有企业经营业绩考核体系，承担全区国有资产经营财务监督、风险控制等职责。</w:t>
      </w:r>
    </w:p>
    <w:p w:rsidR="000F7E5B" w:rsidRDefault="001A430E">
      <w:pPr>
        <w:spacing w:line="600" w:lineRule="exact"/>
        <w:rPr>
          <w:rFonts w:ascii="仿宋_GB2312" w:eastAsia="仿宋_GB2312" w:cs="仿宋_GB2312"/>
          <w:color w:val="000000"/>
          <w:sz w:val="32"/>
          <w:szCs w:val="32"/>
        </w:rPr>
      </w:pPr>
      <w:r>
        <w:rPr>
          <w:rFonts w:ascii="仿宋_GB2312" w:eastAsia="仿宋_GB2312" w:cs="仿宋_GB2312"/>
          <w:color w:val="000000"/>
          <w:sz w:val="32"/>
          <w:szCs w:val="32"/>
        </w:rPr>
        <w:t>3.</w:t>
      </w:r>
      <w:r>
        <w:rPr>
          <w:rFonts w:ascii="仿宋_GB2312" w:eastAsia="仿宋_GB2312" w:cs="仿宋_GB2312" w:hint="eastAsia"/>
          <w:color w:val="000000"/>
          <w:sz w:val="32"/>
          <w:szCs w:val="32"/>
        </w:rPr>
        <w:t>指导推进所管理国有企业改革和重组，推进国有企业的现代企业制度建设，完善公司治理结构，制定或者参与制定所管理企业的章程，研究拟订所管理企业改革发展规划，推动区属国有经济布局和经济结构的战略性调整；指导所管理企业引进战略投资者和产权（股权）招商引资与资本合作。</w:t>
      </w:r>
    </w:p>
    <w:p w:rsidR="000F7E5B" w:rsidRDefault="001A430E">
      <w:pPr>
        <w:spacing w:line="600" w:lineRule="exact"/>
        <w:rPr>
          <w:rFonts w:ascii="仿宋_GB2312" w:eastAsia="仿宋_GB2312" w:cs="仿宋_GB2312"/>
          <w:color w:val="000000"/>
          <w:sz w:val="32"/>
          <w:szCs w:val="32"/>
        </w:rPr>
      </w:pPr>
      <w:r>
        <w:rPr>
          <w:rFonts w:ascii="仿宋_GB2312" w:eastAsia="仿宋_GB2312" w:cs="仿宋_GB2312"/>
          <w:color w:val="000000"/>
          <w:sz w:val="32"/>
          <w:szCs w:val="32"/>
        </w:rPr>
        <w:t>4.</w:t>
      </w:r>
      <w:r>
        <w:rPr>
          <w:rFonts w:ascii="仿宋_GB2312" w:eastAsia="仿宋_GB2312" w:cs="仿宋_GB2312" w:hint="eastAsia"/>
          <w:color w:val="000000"/>
          <w:sz w:val="32"/>
          <w:szCs w:val="32"/>
        </w:rPr>
        <w:t>根据权限和法定程序，负责对所管理企业的负责人进行考核和奖惩，提出任免建议；按照国家有关规定，确定其任命的国家出资企业管理者的薪酬标准。建立完善符合社会主义市场经济体制和现代企业制度要求的选人、用人机制，完善经营者激励和约束制度。</w:t>
      </w:r>
    </w:p>
    <w:p w:rsidR="000F7E5B" w:rsidRDefault="001A430E">
      <w:pPr>
        <w:pStyle w:val="a8"/>
        <w:widowControl/>
        <w:shd w:val="clear" w:color="auto" w:fill="FFFFFF"/>
        <w:spacing w:before="0" w:beforeAutospacing="0" w:after="0" w:afterAutospacing="0" w:line="600" w:lineRule="exact"/>
        <w:rPr>
          <w:rFonts w:ascii="仿宋_GB2312" w:eastAsia="仿宋_GB2312" w:cs="仿宋_GB2312"/>
          <w:color w:val="000000"/>
          <w:sz w:val="32"/>
          <w:szCs w:val="32"/>
        </w:rPr>
      </w:pPr>
      <w:r>
        <w:rPr>
          <w:rFonts w:ascii="仿宋_GB2312" w:eastAsia="仿宋_GB2312" w:cs="仿宋_GB2312"/>
          <w:color w:val="000000"/>
          <w:sz w:val="32"/>
          <w:szCs w:val="32"/>
        </w:rPr>
        <w:lastRenderedPageBreak/>
        <w:t>5.</w:t>
      </w:r>
      <w:r>
        <w:rPr>
          <w:rFonts w:ascii="仿宋_GB2312" w:eastAsia="仿宋_GB2312" w:cs="仿宋_GB2312" w:hint="eastAsia"/>
          <w:color w:val="000000"/>
          <w:sz w:val="32"/>
          <w:szCs w:val="32"/>
        </w:rPr>
        <w:t>按照有关规定，代表区人民政府向所管理企业任免或者建议任免董事，并负责董事的日常管理工作，进一步完善国有企业董事会管理体制机制。</w:t>
      </w:r>
    </w:p>
    <w:p w:rsidR="000F7E5B" w:rsidRDefault="001A430E">
      <w:pPr>
        <w:spacing w:line="600" w:lineRule="exact"/>
        <w:rPr>
          <w:rFonts w:ascii="仿宋_GB2312" w:eastAsia="仿宋_GB2312" w:cs="仿宋_GB2312"/>
          <w:color w:val="000000"/>
          <w:sz w:val="32"/>
          <w:szCs w:val="32"/>
        </w:rPr>
      </w:pPr>
      <w:r>
        <w:rPr>
          <w:rFonts w:ascii="仿宋_GB2312" w:eastAsia="仿宋_GB2312" w:cs="仿宋_GB2312"/>
          <w:color w:val="000000"/>
          <w:sz w:val="32"/>
          <w:szCs w:val="32"/>
        </w:rPr>
        <w:t>6.</w:t>
      </w:r>
      <w:r>
        <w:rPr>
          <w:rFonts w:ascii="仿宋_GB2312" w:eastAsia="仿宋_GB2312" w:cs="仿宋_GB2312" w:hint="eastAsia"/>
          <w:color w:val="000000"/>
          <w:sz w:val="32"/>
          <w:szCs w:val="32"/>
        </w:rPr>
        <w:t>向所管理企业任免或建议任免财务总监，定期审核所管理企业的帐务、经营情况。</w:t>
      </w:r>
    </w:p>
    <w:p w:rsidR="000F7E5B" w:rsidRDefault="001A430E">
      <w:pPr>
        <w:widowControl/>
        <w:shd w:val="clear" w:color="auto" w:fill="FFFFFF"/>
        <w:spacing w:line="600" w:lineRule="exact"/>
        <w:jc w:val="left"/>
        <w:rPr>
          <w:rStyle w:val="a6"/>
          <w:rFonts w:ascii="仿宋_GB2312" w:eastAsia="仿宋_GB2312"/>
          <w:color w:val="000000"/>
          <w:sz w:val="32"/>
          <w:szCs w:val="32"/>
        </w:rPr>
      </w:pPr>
      <w:r>
        <w:rPr>
          <w:rFonts w:ascii="仿宋_GB2312" w:eastAsia="仿宋_GB2312" w:cs="仿宋_GB2312"/>
          <w:color w:val="000000"/>
          <w:sz w:val="32"/>
          <w:szCs w:val="32"/>
        </w:rPr>
        <w:t>7.</w:t>
      </w:r>
      <w:r>
        <w:rPr>
          <w:rFonts w:ascii="仿宋_GB2312" w:eastAsia="仿宋_GB2312" w:cs="仿宋_GB2312" w:hint="eastAsia"/>
          <w:color w:val="000000"/>
          <w:sz w:val="32"/>
          <w:szCs w:val="32"/>
        </w:rPr>
        <w:t>负责制（修）定国有资本经营预算管理制度和办法，指导所管理企业年度国有资本经营预决算草案编制和执行工作。</w:t>
      </w:r>
    </w:p>
    <w:p w:rsidR="000F7E5B" w:rsidRDefault="001A430E">
      <w:pPr>
        <w:spacing w:line="600" w:lineRule="exact"/>
        <w:rPr>
          <w:rFonts w:ascii="仿宋_GB2312" w:eastAsia="仿宋_GB2312" w:cs="仿宋_GB2312"/>
          <w:color w:val="000000"/>
          <w:sz w:val="32"/>
          <w:szCs w:val="32"/>
        </w:rPr>
      </w:pPr>
      <w:r>
        <w:rPr>
          <w:rFonts w:ascii="仿宋_GB2312" w:eastAsia="仿宋_GB2312" w:cs="仿宋_GB2312"/>
          <w:color w:val="000000"/>
          <w:sz w:val="32"/>
          <w:szCs w:val="32"/>
        </w:rPr>
        <w:t>8.</w:t>
      </w:r>
      <w:r>
        <w:rPr>
          <w:rFonts w:ascii="仿宋_GB2312" w:eastAsia="仿宋_GB2312" w:cs="仿宋_GB2312" w:hint="eastAsia"/>
          <w:color w:val="000000"/>
          <w:sz w:val="32"/>
          <w:szCs w:val="32"/>
        </w:rPr>
        <w:t xml:space="preserve">负责政府授权范围内物业等国有资产运营，承担保值增值责任，行使业主权利。 </w:t>
      </w:r>
    </w:p>
    <w:p w:rsidR="000F7E5B" w:rsidRDefault="001A430E">
      <w:pPr>
        <w:spacing w:line="600" w:lineRule="exact"/>
        <w:rPr>
          <w:rStyle w:val="a6"/>
          <w:rFonts w:ascii="仿宋_GB2312" w:eastAsia="仿宋_GB2312"/>
          <w:color w:val="000000"/>
          <w:sz w:val="32"/>
          <w:szCs w:val="32"/>
        </w:rPr>
      </w:pPr>
      <w:r>
        <w:rPr>
          <w:rFonts w:ascii="仿宋_GB2312" w:eastAsia="仿宋_GB2312" w:cs="仿宋_GB2312"/>
          <w:color w:val="000000"/>
          <w:sz w:val="32"/>
          <w:szCs w:val="32"/>
        </w:rPr>
        <w:t>9.</w:t>
      </w:r>
      <w:r>
        <w:rPr>
          <w:rFonts w:ascii="仿宋_GB2312" w:eastAsia="仿宋_GB2312" w:cs="仿宋_GB2312" w:hint="eastAsia"/>
          <w:color w:val="000000"/>
          <w:sz w:val="32"/>
          <w:szCs w:val="32"/>
        </w:rPr>
        <w:t>向区人民政府报告履行出资人职责的情况，接受区人民政府的监督和考核。对所管理企业的合并、分立、 解散、申请破产等以及法律、行政法规和区人民政府规定须经区人民政府批准的履行出资人职责的重大事项，报请区人民政府批准。按照国家有关规定，定期向区人民政府报告有关国有资产总量、结构、变动、收益等汇总分析的情况。</w:t>
      </w:r>
    </w:p>
    <w:p w:rsidR="000F7E5B" w:rsidRDefault="001A430E">
      <w:pPr>
        <w:spacing w:line="600" w:lineRule="exact"/>
        <w:rPr>
          <w:rFonts w:ascii="仿宋_GB2312" w:eastAsia="仿宋_GB2312" w:cs="仿宋_GB2312"/>
          <w:color w:val="000000"/>
          <w:sz w:val="32"/>
          <w:szCs w:val="32"/>
        </w:rPr>
      </w:pPr>
      <w:r>
        <w:rPr>
          <w:rFonts w:ascii="仿宋_GB2312" w:eastAsia="仿宋_GB2312" w:cs="仿宋_GB2312"/>
          <w:color w:val="000000"/>
          <w:sz w:val="32"/>
          <w:szCs w:val="32"/>
        </w:rPr>
        <w:t>10.</w:t>
      </w:r>
      <w:r>
        <w:rPr>
          <w:rFonts w:ascii="仿宋_GB2312" w:eastAsia="仿宋_GB2312" w:cs="仿宋_GB2312" w:hint="eastAsia"/>
          <w:color w:val="000000"/>
          <w:sz w:val="32"/>
          <w:szCs w:val="32"/>
        </w:rPr>
        <w:t>完成区委、区人民政府交办的其他事项。</w:t>
      </w:r>
    </w:p>
    <w:p w:rsidR="000F7E5B" w:rsidRDefault="001A430E">
      <w:pPr>
        <w:spacing w:line="600" w:lineRule="exact"/>
        <w:ind w:firstLine="644"/>
        <w:rPr>
          <w:rFonts w:ascii="仿宋_GB2312" w:eastAsia="仿宋_GB2312" w:cs="宋体"/>
          <w:color w:val="000000"/>
          <w:kern w:val="0"/>
          <w:sz w:val="32"/>
          <w:szCs w:val="32"/>
        </w:rPr>
      </w:pPr>
      <w:r>
        <w:rPr>
          <w:rFonts w:ascii="仿宋_GB2312" w:eastAsia="仿宋_GB2312" w:cs="宋体"/>
          <w:color w:val="000000"/>
          <w:kern w:val="0"/>
          <w:sz w:val="32"/>
          <w:szCs w:val="32"/>
        </w:rPr>
        <w:t>（二）</w:t>
      </w:r>
      <w:r>
        <w:rPr>
          <w:rFonts w:ascii="仿宋_GB2312" w:eastAsia="仿宋_GB2312" w:cs="宋体" w:hint="eastAsia"/>
          <w:color w:val="000000"/>
          <w:kern w:val="0"/>
          <w:sz w:val="32"/>
          <w:szCs w:val="32"/>
        </w:rPr>
        <w:t>机构设置情况</w:t>
      </w:r>
    </w:p>
    <w:p w:rsidR="000F7E5B" w:rsidRDefault="001A430E">
      <w:pPr>
        <w:widowControl/>
        <w:shd w:val="clear" w:color="auto" w:fill="FFFFFF"/>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2019年4月按照区委、政府关于深化机构改革的统筹安排，原长沙市雨花区物业管理中心正式更名为长沙市雨花区国有资产事务中心，工作职能也进行了相应转变。区</w:t>
      </w:r>
      <w:r>
        <w:rPr>
          <w:rFonts w:ascii="仿宋_GB2312" w:eastAsia="仿宋_GB2312" w:cs="宋体" w:hint="eastAsia"/>
          <w:bCs/>
          <w:color w:val="000000"/>
          <w:kern w:val="0"/>
          <w:sz w:val="32"/>
          <w:szCs w:val="32"/>
        </w:rPr>
        <w:t>雨花区国有资产事务中心</w:t>
      </w:r>
      <w:r>
        <w:rPr>
          <w:rFonts w:ascii="仿宋_GB2312" w:eastAsia="仿宋_GB2312" w:hint="eastAsia"/>
          <w:color w:val="000000"/>
          <w:sz w:val="32"/>
          <w:szCs w:val="32"/>
        </w:rPr>
        <w:t>内设5个科室，分别为办公室、规划发展科、评价考核科、产权管理科、党群人事科。现有在职事业编制10人，在职政府雇员5人，退休老干部4人。</w:t>
      </w:r>
    </w:p>
    <w:p w:rsidR="000F7E5B" w:rsidRDefault="001A430E">
      <w:pPr>
        <w:spacing w:line="600" w:lineRule="exact"/>
        <w:ind w:firstLineChars="250" w:firstLine="800"/>
        <w:rPr>
          <w:rFonts w:ascii="仿宋_GB2312" w:eastAsia="仿宋_GB2312"/>
          <w:sz w:val="32"/>
          <w:szCs w:val="32"/>
        </w:rPr>
      </w:pPr>
      <w:r>
        <w:rPr>
          <w:rFonts w:ascii="黑体" w:eastAsia="黑体" w:hint="eastAsia"/>
          <w:sz w:val="32"/>
          <w:szCs w:val="32"/>
        </w:rPr>
        <w:lastRenderedPageBreak/>
        <w:t>二、部门整体支出管理及使用情况</w:t>
      </w:r>
    </w:p>
    <w:p w:rsidR="000F7E5B" w:rsidRDefault="001A430E">
      <w:pPr>
        <w:widowControl/>
        <w:shd w:val="clear" w:color="auto" w:fill="FFFFFF"/>
        <w:spacing w:line="600" w:lineRule="exact"/>
        <w:ind w:firstLineChars="200" w:firstLine="640"/>
        <w:jc w:val="left"/>
        <w:rPr>
          <w:rFonts w:ascii="仿宋_GB2312" w:eastAsia="仿宋_GB2312" w:cs="宋体"/>
          <w:color w:val="000000"/>
          <w:kern w:val="0"/>
          <w:sz w:val="32"/>
          <w:szCs w:val="32"/>
        </w:rPr>
      </w:pPr>
      <w:r>
        <w:rPr>
          <w:rFonts w:ascii="仿宋_GB2312" w:eastAsia="仿宋_GB2312" w:hint="eastAsia"/>
          <w:sz w:val="32"/>
          <w:szCs w:val="32"/>
        </w:rPr>
        <w:t xml:space="preserve">（一）基本支出 </w:t>
      </w:r>
      <w:r>
        <w:rPr>
          <w:rFonts w:ascii="仿宋_GB2312" w:eastAsia="仿宋_GB2312" w:cs="宋体" w:hint="eastAsia"/>
          <w:color w:val="000000"/>
          <w:kern w:val="0"/>
          <w:sz w:val="32"/>
          <w:szCs w:val="32"/>
        </w:rPr>
        <w:t>。2019年基本支出数为</w:t>
      </w:r>
      <w:r>
        <w:rPr>
          <w:rFonts w:ascii="仿宋_GB2312" w:eastAsia="仿宋_GB2312" w:cs="宋体"/>
          <w:color w:val="000000"/>
          <w:kern w:val="0"/>
          <w:sz w:val="32"/>
          <w:szCs w:val="32"/>
        </w:rPr>
        <w:t>577.46</w:t>
      </w:r>
      <w:r>
        <w:rPr>
          <w:rFonts w:ascii="仿宋_GB2312" w:eastAsia="仿宋_GB2312" w:cs="宋体" w:hint="eastAsia"/>
          <w:color w:val="000000"/>
          <w:kern w:val="0"/>
          <w:sz w:val="32"/>
          <w:szCs w:val="32"/>
        </w:rPr>
        <w:t>万元，其中</w:t>
      </w:r>
      <w:r>
        <w:rPr>
          <w:rFonts w:ascii="仿宋_GB2312" w:eastAsia="仿宋_GB2312" w:cs="仿宋_GB2312" w:hint="eastAsia"/>
          <w:color w:val="000000"/>
          <w:kern w:val="0"/>
          <w:sz w:val="32"/>
          <w:szCs w:val="32"/>
          <w:shd w:val="clear" w:color="auto" w:fill="FFFFFF"/>
        </w:rPr>
        <w:t>“三公”经费支出数为0万元，</w:t>
      </w:r>
      <w:r>
        <w:rPr>
          <w:rFonts w:ascii="仿宋_GB2312" w:eastAsia="仿宋_GB2312" w:cs="宋体" w:hint="eastAsia"/>
          <w:color w:val="000000"/>
          <w:kern w:val="0"/>
          <w:sz w:val="32"/>
          <w:szCs w:val="32"/>
        </w:rPr>
        <w:t>主要用于保障机关基本运行，完成日常工作任务发生的各项支出费用。</w:t>
      </w:r>
    </w:p>
    <w:p w:rsidR="000F7E5B" w:rsidRDefault="001A430E">
      <w:pPr>
        <w:spacing w:line="600" w:lineRule="exact"/>
        <w:ind w:firstLineChars="200" w:firstLine="640"/>
        <w:rPr>
          <w:rFonts w:ascii="仿宋_GB2312" w:eastAsia="仿宋_GB2312"/>
          <w:sz w:val="32"/>
          <w:szCs w:val="32"/>
        </w:rPr>
      </w:pPr>
      <w:r>
        <w:rPr>
          <w:rFonts w:ascii="仿宋_GB2312" w:eastAsia="仿宋_GB2312" w:hint="eastAsia"/>
          <w:sz w:val="32"/>
          <w:szCs w:val="32"/>
        </w:rPr>
        <w:t>（二）项目支出。</w:t>
      </w:r>
      <w:r>
        <w:rPr>
          <w:rFonts w:ascii="仿宋_GB2312" w:eastAsia="仿宋_GB2312" w:cs="宋体" w:hint="eastAsia"/>
          <w:color w:val="000000"/>
          <w:kern w:val="0"/>
          <w:sz w:val="32"/>
          <w:szCs w:val="32"/>
        </w:rPr>
        <w:t>2019年项目支出数为</w:t>
      </w:r>
      <w:r>
        <w:rPr>
          <w:rFonts w:ascii="仿宋_GB2312" w:eastAsia="仿宋_GB2312" w:cs="宋体"/>
          <w:color w:val="000000"/>
          <w:kern w:val="0"/>
          <w:sz w:val="32"/>
          <w:szCs w:val="32"/>
        </w:rPr>
        <w:t>389.3</w:t>
      </w:r>
      <w:r w:rsidR="00004926">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万元，主要用于</w:t>
      </w:r>
      <w:r>
        <w:rPr>
          <w:rFonts w:ascii="仿宋_GB2312" w:eastAsia="仿宋_GB2312" w:hint="eastAsia"/>
          <w:sz w:val="32"/>
          <w:szCs w:val="32"/>
        </w:rPr>
        <w:t>雨花大厦税金及附加，雨花大厦及圭塘河一期物业管理费、日常维修维护费、水费、电费，规划局工作专项经费等。</w:t>
      </w:r>
    </w:p>
    <w:p w:rsidR="000F7E5B" w:rsidRDefault="001A430E">
      <w:pPr>
        <w:spacing w:line="600" w:lineRule="exact"/>
        <w:ind w:firstLineChars="250" w:firstLine="800"/>
        <w:rPr>
          <w:rFonts w:ascii="黑体" w:eastAsia="黑体"/>
          <w:sz w:val="32"/>
          <w:szCs w:val="32"/>
        </w:rPr>
      </w:pPr>
      <w:r>
        <w:rPr>
          <w:rFonts w:ascii="黑体" w:eastAsia="黑体"/>
          <w:sz w:val="32"/>
          <w:szCs w:val="32"/>
        </w:rPr>
        <w:t>三</w:t>
      </w:r>
      <w:r>
        <w:rPr>
          <w:rFonts w:ascii="黑体" w:eastAsia="黑体" w:hint="eastAsia"/>
          <w:sz w:val="32"/>
          <w:szCs w:val="32"/>
        </w:rPr>
        <w:t>、资产管理情况</w:t>
      </w:r>
    </w:p>
    <w:p w:rsidR="000F7E5B" w:rsidRDefault="001A430E">
      <w:pPr>
        <w:spacing w:line="600" w:lineRule="exact"/>
        <w:ind w:firstLineChars="225" w:firstLine="720"/>
        <w:rPr>
          <w:rFonts w:ascii="仿宋_GB2312" w:eastAsia="仿宋_GB2312"/>
          <w:b/>
          <w:color w:val="000000"/>
          <w:kern w:val="0"/>
          <w:sz w:val="32"/>
          <w:szCs w:val="32"/>
        </w:rPr>
      </w:pPr>
      <w:r>
        <w:rPr>
          <w:rFonts w:ascii="仿宋_GB2312" w:eastAsia="仿宋_GB2312"/>
          <w:color w:val="000000"/>
          <w:kern w:val="0"/>
          <w:sz w:val="32"/>
          <w:szCs w:val="32"/>
        </w:rPr>
        <w:t>（一）</w:t>
      </w:r>
      <w:r>
        <w:rPr>
          <w:rFonts w:ascii="仿宋_GB2312" w:eastAsia="仿宋_GB2312" w:hint="eastAsia"/>
          <w:color w:val="000000"/>
          <w:kern w:val="0"/>
          <w:sz w:val="32"/>
          <w:szCs w:val="32"/>
        </w:rPr>
        <w:t>资产基本情况。</w:t>
      </w:r>
      <w:r>
        <w:rPr>
          <w:rFonts w:ascii="仿宋_GB2312" w:eastAsia="仿宋_GB2312" w:hint="eastAsia"/>
          <w:color w:val="000000"/>
          <w:sz w:val="32"/>
          <w:szCs w:val="32"/>
          <w:shd w:val="clear" w:color="auto" w:fill="FFFFFF"/>
        </w:rPr>
        <w:t>我单位资产总计3042.51万元，其中</w:t>
      </w:r>
      <w:r>
        <w:rPr>
          <w:rFonts w:ascii="仿宋_GB2312" w:eastAsia="仿宋_GB2312" w:hint="eastAsia"/>
          <w:color w:val="000000"/>
          <w:sz w:val="32"/>
          <w:szCs w:val="32"/>
        </w:rPr>
        <w:t>流动资产2973.75万元，占比97.74%；固定资产68.77万元，占比2.26%。</w:t>
      </w:r>
    </w:p>
    <w:p w:rsidR="000F7E5B" w:rsidRDefault="001A430E">
      <w:pPr>
        <w:pStyle w:val="a7"/>
        <w:spacing w:line="600" w:lineRule="exact"/>
        <w:ind w:firstLine="640"/>
        <w:rPr>
          <w:color w:val="000000"/>
          <w:sz w:val="32"/>
          <w:szCs w:val="32"/>
        </w:rPr>
      </w:pPr>
      <w:r>
        <w:rPr>
          <w:color w:val="000000"/>
          <w:sz w:val="32"/>
          <w:szCs w:val="32"/>
        </w:rPr>
        <w:t>（二）</w:t>
      </w:r>
      <w:r>
        <w:rPr>
          <w:rFonts w:hint="eastAsia"/>
          <w:color w:val="000000"/>
          <w:sz w:val="32"/>
          <w:szCs w:val="32"/>
        </w:rPr>
        <w:t>固定资产处置与购置情况。</w:t>
      </w:r>
      <w:r>
        <w:rPr>
          <w:rFonts w:hint="eastAsia"/>
          <w:sz w:val="32"/>
          <w:szCs w:val="32"/>
        </w:rPr>
        <w:t>2019年，因我单位职能职责、办公地址、人员等变更，对原物业管理中心达到报废年限的固定资产进行处置，并购进一批新办公设备。2019年处置资产原值49.35万元，净值1.89万元，残值收入0.99万元，已进非税账户；2019年购进办公设备</w:t>
      </w:r>
      <w:r w:rsidR="008D79A8">
        <w:rPr>
          <w:rFonts w:hint="eastAsia"/>
          <w:sz w:val="32"/>
          <w:szCs w:val="32"/>
        </w:rPr>
        <w:t>30.38</w:t>
      </w:r>
      <w:r>
        <w:rPr>
          <w:rFonts w:hint="eastAsia"/>
          <w:sz w:val="32"/>
          <w:szCs w:val="32"/>
        </w:rPr>
        <w:t>万元。</w:t>
      </w:r>
    </w:p>
    <w:p w:rsidR="000F7E5B" w:rsidRDefault="001A430E">
      <w:pPr>
        <w:pStyle w:val="a8"/>
        <w:shd w:val="clear" w:color="auto" w:fill="FFFFFF"/>
        <w:spacing w:before="0" w:beforeAutospacing="0" w:after="0" w:afterAutospacing="0" w:line="600" w:lineRule="exact"/>
        <w:ind w:firstLineChars="200" w:firstLine="640"/>
        <w:rPr>
          <w:rFonts w:ascii="仿宋_GB2312" w:eastAsia="仿宋_GB2312"/>
          <w:color w:val="000000"/>
          <w:sz w:val="32"/>
          <w:szCs w:val="32"/>
        </w:rPr>
      </w:pPr>
      <w:r>
        <w:rPr>
          <w:rFonts w:ascii="仿宋_GB2312" w:eastAsia="仿宋_GB2312"/>
          <w:color w:val="000000"/>
          <w:sz w:val="32"/>
          <w:szCs w:val="32"/>
        </w:rPr>
        <w:t>（三）</w:t>
      </w:r>
      <w:r>
        <w:rPr>
          <w:rFonts w:ascii="仿宋_GB2312" w:eastAsia="仿宋_GB2312" w:hint="eastAsia"/>
          <w:color w:val="000000"/>
          <w:sz w:val="32"/>
          <w:szCs w:val="32"/>
        </w:rPr>
        <w:t>建立资产管理制度。我单位因机构改革及人员变动，以上级文件规定为基础，参考其他单位工作经验，逐步完善了固定资产管理体制，落实专人负责固定资产的购进、领用、维修、报废处理等各项管理工作。</w:t>
      </w:r>
    </w:p>
    <w:p w:rsidR="000F7E5B" w:rsidRDefault="001A430E">
      <w:pPr>
        <w:spacing w:line="600" w:lineRule="exact"/>
        <w:ind w:firstLineChars="249" w:firstLine="797"/>
        <w:rPr>
          <w:rFonts w:ascii="黑体" w:eastAsia="黑体"/>
          <w:sz w:val="32"/>
          <w:szCs w:val="32"/>
        </w:rPr>
      </w:pPr>
      <w:r>
        <w:rPr>
          <w:rFonts w:ascii="黑体" w:eastAsia="黑体"/>
          <w:sz w:val="32"/>
          <w:szCs w:val="32"/>
        </w:rPr>
        <w:t>四</w:t>
      </w:r>
      <w:r>
        <w:rPr>
          <w:rFonts w:ascii="黑体" w:eastAsia="黑体" w:hint="eastAsia"/>
          <w:sz w:val="32"/>
          <w:szCs w:val="32"/>
        </w:rPr>
        <w:t>、部门整体支出绩效情况</w:t>
      </w:r>
    </w:p>
    <w:p w:rsidR="000F7E5B" w:rsidRDefault="001A430E">
      <w:pPr>
        <w:spacing w:line="600" w:lineRule="exact"/>
        <w:ind w:firstLineChars="249" w:firstLine="797"/>
        <w:rPr>
          <w:rFonts w:ascii="仿宋_GB2312" w:eastAsia="仿宋_GB2312"/>
          <w:sz w:val="32"/>
          <w:szCs w:val="32"/>
        </w:rPr>
      </w:pPr>
      <w:r>
        <w:rPr>
          <w:rFonts w:ascii="仿宋_GB2312" w:eastAsia="仿宋_GB2312" w:hint="eastAsia"/>
          <w:sz w:val="32"/>
          <w:szCs w:val="32"/>
        </w:rPr>
        <w:t>2019年度区国有资产事务中心整体支出绩效目标已完</w:t>
      </w:r>
      <w:r>
        <w:rPr>
          <w:rFonts w:ascii="仿宋_GB2312" w:eastAsia="仿宋_GB2312" w:hint="eastAsia"/>
          <w:sz w:val="32"/>
          <w:szCs w:val="32"/>
        </w:rPr>
        <w:lastRenderedPageBreak/>
        <w:t>成</w:t>
      </w:r>
      <w:r>
        <w:rPr>
          <w:rFonts w:ascii="仿宋_GB2312" w:eastAsia="仿宋_GB2312"/>
          <w:sz w:val="32"/>
          <w:szCs w:val="32"/>
        </w:rPr>
        <w:t>，</w:t>
      </w:r>
      <w:r>
        <w:rPr>
          <w:rFonts w:ascii="仿宋_GB2312" w:eastAsia="仿宋_GB2312" w:hint="eastAsia"/>
          <w:sz w:val="32"/>
          <w:szCs w:val="32"/>
        </w:rPr>
        <w:t>项目支出主要是对雨花大厦和圭塘河一期进行管理。其中：雨花大厦方面，已于2019年7月1日由我中心移交至雨花城投集团公司，</w:t>
      </w:r>
      <w:r>
        <w:rPr>
          <w:rFonts w:ascii="仿宋_GB2312" w:eastAsia="仿宋_GB2312"/>
          <w:sz w:val="32"/>
          <w:szCs w:val="32"/>
        </w:rPr>
        <w:t>在</w:t>
      </w:r>
      <w:r>
        <w:rPr>
          <w:rFonts w:ascii="仿宋_GB2312" w:eastAsia="仿宋_GB2312" w:hint="eastAsia"/>
          <w:sz w:val="32"/>
          <w:szCs w:val="32"/>
        </w:rPr>
        <w:t>移交之</w:t>
      </w:r>
      <w:r>
        <w:rPr>
          <w:rFonts w:ascii="仿宋_GB2312" w:eastAsia="仿宋_GB2312"/>
          <w:sz w:val="32"/>
          <w:szCs w:val="32"/>
        </w:rPr>
        <w:t>后</w:t>
      </w:r>
      <w:r>
        <w:rPr>
          <w:rFonts w:ascii="仿宋_GB2312" w:eastAsia="仿宋_GB2312" w:hint="eastAsia"/>
          <w:sz w:val="32"/>
          <w:szCs w:val="32"/>
        </w:rPr>
        <w:t>雨花大厦的</w:t>
      </w:r>
      <w:r>
        <w:rPr>
          <w:rFonts w:ascii="仿宋_GB2312" w:eastAsia="仿宋_GB2312"/>
          <w:sz w:val="32"/>
          <w:szCs w:val="32"/>
        </w:rPr>
        <w:t>物业管理</w:t>
      </w:r>
      <w:r>
        <w:rPr>
          <w:rFonts w:ascii="仿宋_GB2312" w:eastAsia="仿宋_GB2312" w:hint="eastAsia"/>
          <w:sz w:val="32"/>
          <w:szCs w:val="32"/>
        </w:rPr>
        <w:t>费用</w:t>
      </w:r>
      <w:r>
        <w:rPr>
          <w:rFonts w:ascii="仿宋_GB2312" w:eastAsia="仿宋_GB2312"/>
          <w:sz w:val="32"/>
          <w:szCs w:val="32"/>
        </w:rPr>
        <w:t>、税金及附加等均未产生并支付相关费用</w:t>
      </w:r>
      <w:r>
        <w:rPr>
          <w:rFonts w:ascii="仿宋_GB2312" w:eastAsia="仿宋_GB2312" w:hint="eastAsia"/>
          <w:sz w:val="32"/>
          <w:szCs w:val="32"/>
        </w:rPr>
        <w:t>。在我中心管理期间，雨花大厦的物业管理规范有序，确保租金、水电费收缴及物业维修等工作及时。圭塘河一期方面，切实做好了公园的日常维护，确保了正常运行。</w:t>
      </w:r>
    </w:p>
    <w:p w:rsidR="000F7E5B" w:rsidRDefault="000F7E5B" w:rsidP="000F7E5B">
      <w:pPr>
        <w:spacing w:line="600" w:lineRule="exact"/>
        <w:ind w:firstLineChars="249" w:firstLine="800"/>
        <w:rPr>
          <w:rFonts w:ascii="仿宋_GB2312" w:eastAsia="仿宋_GB2312"/>
          <w:b/>
          <w:sz w:val="32"/>
          <w:szCs w:val="32"/>
        </w:rPr>
      </w:pPr>
      <w:bookmarkStart w:id="0" w:name="_GoBack"/>
      <w:bookmarkEnd w:id="0"/>
    </w:p>
    <w:sectPr w:rsidR="000F7E5B" w:rsidSect="000F7E5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60F" w:rsidRDefault="00E3260F" w:rsidP="000F7E5B">
      <w:r>
        <w:separator/>
      </w:r>
    </w:p>
  </w:endnote>
  <w:endnote w:type="continuationSeparator" w:id="1">
    <w:p w:rsidR="00E3260F" w:rsidRDefault="00E3260F" w:rsidP="000F7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宋体"/>
    <w:charset w:val="86"/>
    <w:family w:val="script"/>
    <w:pitch w:val="variable"/>
    <w:sig w:usb0="00000000" w:usb1="080E0000" w:usb2="00000010" w:usb3="00000000" w:csb0="00040000" w:csb1="00000000"/>
  </w:font>
  <w:font w:name="永中宋体">
    <w:charset w:val="86"/>
    <w:family w:val="auto"/>
    <w:pitch w:val="variable"/>
    <w:sig w:usb0="00000803" w:usb1="080E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5B" w:rsidRDefault="00E6068F">
    <w:pPr>
      <w:pStyle w:val="a3"/>
      <w:framePr w:wrap="around" w:vAnchor="text" w:hAnchor="margin" w:xAlign="right" w:y="1"/>
      <w:rPr>
        <w:rStyle w:val="a4"/>
      </w:rPr>
    </w:pPr>
    <w:r w:rsidRPr="00E6068F">
      <w:rPr>
        <w:rStyle w:val="a4"/>
      </w:rPr>
      <w:fldChar w:fldCharType="begin"/>
    </w:r>
    <w:r w:rsidR="001A430E">
      <w:rPr>
        <w:rStyle w:val="a4"/>
      </w:rPr>
      <w:instrText xml:space="preserve">PAGE  </w:instrText>
    </w:r>
    <w:r>
      <w:fldChar w:fldCharType="separate"/>
    </w:r>
    <w:r w:rsidR="001A430E">
      <w:rPr>
        <w:rStyle w:val="a4"/>
      </w:rPr>
      <w:t>- 15 -</w:t>
    </w:r>
    <w:r>
      <w:fldChar w:fldCharType="end"/>
    </w:r>
  </w:p>
  <w:p w:rsidR="000F7E5B" w:rsidRDefault="000F7E5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5B" w:rsidRDefault="00E6068F">
    <w:pPr>
      <w:pStyle w:val="a3"/>
      <w:framePr w:wrap="around" w:vAnchor="text" w:hAnchor="margin" w:xAlign="right" w:y="1"/>
      <w:rPr>
        <w:rStyle w:val="a4"/>
      </w:rPr>
    </w:pPr>
    <w:r w:rsidRPr="00E6068F">
      <w:rPr>
        <w:rStyle w:val="a4"/>
      </w:rPr>
      <w:fldChar w:fldCharType="begin"/>
    </w:r>
    <w:r w:rsidR="001A430E">
      <w:rPr>
        <w:rStyle w:val="a4"/>
      </w:rPr>
      <w:instrText xml:space="preserve">PAGE  </w:instrText>
    </w:r>
    <w:r>
      <w:fldChar w:fldCharType="separate"/>
    </w:r>
    <w:r w:rsidR="00370A52">
      <w:rPr>
        <w:rStyle w:val="a4"/>
        <w:noProof/>
      </w:rPr>
      <w:t>11</w:t>
    </w:r>
    <w:r>
      <w:fldChar w:fldCharType="end"/>
    </w:r>
  </w:p>
  <w:p w:rsidR="000F7E5B" w:rsidRDefault="000F7E5B">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26" w:rsidRDefault="000049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60F" w:rsidRDefault="00E3260F" w:rsidP="000F7E5B">
      <w:r>
        <w:separator/>
      </w:r>
    </w:p>
  </w:footnote>
  <w:footnote w:type="continuationSeparator" w:id="1">
    <w:p w:rsidR="00E3260F" w:rsidRDefault="00E3260F" w:rsidP="000F7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26" w:rsidRDefault="0000492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26" w:rsidRDefault="0000492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26" w:rsidRDefault="0000492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3"/>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ulTrailSpace/>
    <w:doNotExpandShiftReturn/>
    <w:adjustLineHeightInTable/>
    <w:growAutofit/>
    <w:useFELayout/>
  </w:compat>
  <w:rsids>
    <w:rsidRoot w:val="000F7E5B"/>
    <w:rsid w:val="00004926"/>
    <w:rsid w:val="000D2F73"/>
    <w:rsid w:val="000F7E5B"/>
    <w:rsid w:val="001A430E"/>
    <w:rsid w:val="00242DAF"/>
    <w:rsid w:val="002B4500"/>
    <w:rsid w:val="00370A52"/>
    <w:rsid w:val="007B1AC3"/>
    <w:rsid w:val="008D79A8"/>
    <w:rsid w:val="00AD2786"/>
    <w:rsid w:val="00DE44C7"/>
    <w:rsid w:val="00E3260F"/>
    <w:rsid w:val="00E60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7E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F7E5B"/>
    <w:pPr>
      <w:tabs>
        <w:tab w:val="center" w:pos="4153"/>
        <w:tab w:val="right" w:pos="8306"/>
      </w:tabs>
      <w:snapToGrid w:val="0"/>
      <w:jc w:val="left"/>
    </w:pPr>
    <w:rPr>
      <w:sz w:val="18"/>
      <w:szCs w:val="18"/>
    </w:rPr>
  </w:style>
  <w:style w:type="character" w:styleId="a4">
    <w:name w:val="page number"/>
    <w:basedOn w:val="a0"/>
    <w:rsid w:val="000F7E5B"/>
  </w:style>
  <w:style w:type="paragraph" w:styleId="a5">
    <w:name w:val="header"/>
    <w:basedOn w:val="a"/>
    <w:rsid w:val="000F7E5B"/>
    <w:pPr>
      <w:pBdr>
        <w:bottom w:val="single" w:sz="6" w:space="1" w:color="auto"/>
      </w:pBdr>
      <w:tabs>
        <w:tab w:val="center" w:pos="4153"/>
        <w:tab w:val="right" w:pos="8306"/>
      </w:tabs>
      <w:snapToGrid w:val="0"/>
      <w:jc w:val="center"/>
    </w:pPr>
    <w:rPr>
      <w:sz w:val="18"/>
      <w:szCs w:val="18"/>
    </w:rPr>
  </w:style>
  <w:style w:type="character" w:styleId="a6">
    <w:name w:val="annotation reference"/>
    <w:rsid w:val="000F7E5B"/>
    <w:rPr>
      <w:sz w:val="21"/>
      <w:szCs w:val="21"/>
    </w:rPr>
  </w:style>
  <w:style w:type="paragraph" w:styleId="a7">
    <w:name w:val="Body Text"/>
    <w:rsid w:val="000F7E5B"/>
    <w:pPr>
      <w:adjustRightInd w:val="0"/>
      <w:snapToGrid w:val="0"/>
      <w:spacing w:line="360" w:lineRule="auto"/>
      <w:jc w:val="both"/>
    </w:pPr>
    <w:rPr>
      <w:rFonts w:ascii="仿宋_GB2312" w:eastAsia="仿宋_GB2312"/>
      <w:sz w:val="28"/>
      <w:szCs w:val="24"/>
    </w:rPr>
  </w:style>
  <w:style w:type="paragraph" w:styleId="a8">
    <w:name w:val="Normal (Web)"/>
    <w:rsid w:val="000F7E5B"/>
    <w:pPr>
      <w:widowControl w:val="0"/>
      <w:spacing w:before="100" w:beforeAutospacing="1" w:after="100" w:afterAutospacing="1"/>
    </w:pPr>
    <w:rPr>
      <w:rFonts w:ascii="Calibri" w:hAnsi="Calibri"/>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700</Words>
  <Characters>3991</Characters>
  <Application>Microsoft Office Word</Application>
  <DocSecurity>0</DocSecurity>
  <Lines>33</Lines>
  <Paragraphs>9</Paragraphs>
  <ScaleCrop>false</ScaleCrop>
  <Company>www.xunchi.com</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Sun</dc:creator>
  <cp:lastModifiedBy>弘派科技</cp:lastModifiedBy>
  <cp:revision>7</cp:revision>
  <cp:lastPrinted>2020-03-26T02:37:00Z</cp:lastPrinted>
  <dcterms:created xsi:type="dcterms:W3CDTF">2020-03-24T07:54:00Z</dcterms:created>
  <dcterms:modified xsi:type="dcterms:W3CDTF">2020-09-02T02:24:00Z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