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eastAsia="方正小标宋简体"/>
          <w:bCs/>
          <w:sz w:val="46"/>
          <w:szCs w:val="46"/>
        </w:rPr>
      </w:pPr>
      <w:r>
        <w:rPr>
          <w:rFonts w:hint="eastAsia" w:eastAsia="方正小标宋简体"/>
          <w:bCs/>
          <w:sz w:val="46"/>
          <w:szCs w:val="46"/>
        </w:rPr>
        <w:t>雨花区20</w:t>
      </w:r>
      <w:r>
        <w:rPr>
          <w:rFonts w:hint="eastAsia" w:eastAsia="方正小标宋简体"/>
          <w:bCs/>
          <w:sz w:val="46"/>
          <w:szCs w:val="46"/>
          <w:lang w:val="en-US" w:eastAsia="zh-CN"/>
        </w:rPr>
        <w:t>21</w:t>
      </w:r>
      <w:r>
        <w:rPr>
          <w:rFonts w:hint="eastAsia" w:eastAsia="方正小标宋简体"/>
          <w:bCs/>
          <w:sz w:val="46"/>
          <w:szCs w:val="46"/>
        </w:rPr>
        <w:t>年度部门（单位）整体支出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u w:val="single"/>
        </w:rPr>
      </w:pPr>
      <w:r>
        <w:rPr>
          <w:rFonts w:hint="eastAsia" w:eastAsia="仿宋_GB2312"/>
          <w:sz w:val="32"/>
        </w:rPr>
        <w:t>部门(单位)名称</w:t>
      </w:r>
      <w:r>
        <w:rPr>
          <w:rFonts w:hint="eastAsia" w:eastAsia="仿宋_GB2312"/>
          <w:sz w:val="32"/>
          <w:u w:val="single"/>
        </w:rPr>
        <w:t xml:space="preserve">   </w:t>
      </w:r>
      <w:r>
        <w:rPr>
          <w:rFonts w:hint="eastAsia" w:eastAsia="仿宋_GB2312"/>
          <w:sz w:val="32"/>
          <w:u w:val="single"/>
          <w:lang w:eastAsia="zh-CN"/>
        </w:rPr>
        <w:t>长沙市雨花区市容环境卫生维护中心</w:t>
      </w:r>
      <w:r>
        <w:rPr>
          <w:rFonts w:hint="eastAsia" w:eastAsia="仿宋_GB2312"/>
          <w:sz w:val="32"/>
          <w:u w:val="single"/>
        </w:rPr>
        <w:t xml:space="preserve">                                 </w:t>
      </w:r>
    </w:p>
    <w:p>
      <w:pPr>
        <w:spacing w:before="301" w:beforeLines="50" w:line="348" w:lineRule="auto"/>
        <w:ind w:firstLine="476" w:firstLineChars="150"/>
        <w:rPr>
          <w:rFonts w:hint="eastAsia" w:eastAsia="仿宋_GB2312"/>
          <w:sz w:val="32"/>
        </w:rPr>
      </w:pPr>
      <w:r>
        <w:rPr>
          <w:rFonts w:hint="eastAsia" w:eastAsia="仿宋_GB2312"/>
          <w:sz w:val="32"/>
        </w:rPr>
        <w:t>预算编码</w:t>
      </w:r>
      <w:r>
        <w:rPr>
          <w:rFonts w:hint="eastAsia" w:eastAsia="仿宋_GB2312"/>
          <w:sz w:val="32"/>
          <w:u w:val="single"/>
        </w:rPr>
        <w:t xml:space="preserve">        </w:t>
      </w:r>
      <w:r>
        <w:rPr>
          <w:rFonts w:hint="eastAsia" w:eastAsia="仿宋_GB2312"/>
          <w:sz w:val="32"/>
          <w:u w:val="single"/>
          <w:lang w:val="en-US" w:eastAsia="zh-CN"/>
        </w:rPr>
        <w:t>311001</w:t>
      </w:r>
      <w:r>
        <w:rPr>
          <w:rFonts w:hint="eastAsia" w:eastAsia="仿宋_GB2312"/>
          <w:sz w:val="32"/>
          <w:u w:val="single"/>
        </w:rPr>
        <w:t xml:space="preserve">                                 </w:t>
      </w: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2021</w:t>
      </w:r>
      <w:r>
        <w:rPr>
          <w:rFonts w:hint="eastAsia" w:eastAsia="仿宋_GB2312"/>
          <w:sz w:val="32"/>
        </w:rPr>
        <w:t xml:space="preserve">  年  </w:t>
      </w:r>
      <w:r>
        <w:rPr>
          <w:rFonts w:hint="eastAsia" w:eastAsia="仿宋_GB2312"/>
          <w:sz w:val="32"/>
          <w:lang w:val="en-US" w:eastAsia="zh-CN"/>
        </w:rPr>
        <w:t>4</w:t>
      </w:r>
      <w:r>
        <w:rPr>
          <w:rFonts w:hint="eastAsia" w:eastAsia="仿宋_GB2312"/>
          <w:sz w:val="32"/>
        </w:rPr>
        <w:t xml:space="preserve"> 月 </w:t>
      </w:r>
      <w:r>
        <w:rPr>
          <w:rFonts w:hint="eastAsia" w:eastAsia="仿宋_GB2312"/>
          <w:sz w:val="32"/>
          <w:lang w:val="en-US" w:eastAsia="zh-CN"/>
        </w:rPr>
        <w:t>2</w:t>
      </w:r>
      <w:r>
        <w:rPr>
          <w:rFonts w:hint="eastAsia" w:eastAsia="仿宋_GB2312"/>
          <w:sz w:val="32"/>
        </w:rPr>
        <w:t xml:space="preserve">  日</w:t>
      </w:r>
    </w:p>
    <w:p>
      <w:pPr>
        <w:autoSpaceDN w:val="0"/>
        <w:jc w:val="center"/>
        <w:textAlignment w:val="center"/>
        <w:rPr>
          <w:rFonts w:hint="eastAsia" w:eastAsia="仿宋_GB2312"/>
          <w:sz w:val="32"/>
          <w:szCs w:val="32"/>
        </w:rPr>
      </w:pPr>
      <w:r>
        <w:rPr>
          <w:rFonts w:hint="eastAsia" w:eastAsia="仿宋_GB2312"/>
          <w:sz w:val="32"/>
          <w:lang w:val="en-US" w:eastAsia="zh-CN"/>
        </w:rPr>
        <w:t xml:space="preserve">       </w:t>
      </w:r>
      <w:r>
        <w:rPr>
          <w:rFonts w:hint="eastAsia" w:eastAsia="仿宋_GB2312"/>
          <w:sz w:val="32"/>
        </w:rPr>
        <w:t>雨花区财政</w:t>
      </w:r>
      <w:r>
        <w:rPr>
          <w:rFonts w:hint="eastAsia" w:eastAsia="仿宋_GB2312"/>
          <w:sz w:val="32"/>
          <w:szCs w:val="32"/>
        </w:rPr>
        <w:t>局（制）</w:t>
      </w:r>
    </w:p>
    <w:p>
      <w:pPr>
        <w:autoSpaceDN w:val="0"/>
        <w:jc w:val="center"/>
        <w:textAlignment w:val="center"/>
        <w:rPr>
          <w:rFonts w:hint="eastAsia" w:eastAsia="仿宋_GB2312"/>
          <w:sz w:val="32"/>
          <w:szCs w:val="32"/>
        </w:rPr>
        <w:sectPr>
          <w:footerReference r:id="rId4" w:type="default"/>
          <w:headerReference r:id="rId3" w:type="even"/>
          <w:footerReference r:id="rId5" w:type="even"/>
          <w:pgSz w:w="11906" w:h="16838"/>
          <w:pgMar w:top="1701" w:right="1417" w:bottom="1701" w:left="1417" w:header="851" w:footer="992" w:gutter="0"/>
          <w:pgNumType w:fmt="numberInDash" w:start="8"/>
          <w:cols w:space="720" w:num="1"/>
          <w:titlePg/>
          <w:docGrid w:type="linesAndChars" w:linePitch="602" w:charSpace="-782"/>
        </w:sectPr>
      </w:pPr>
    </w:p>
    <w:p>
      <w:pPr>
        <w:spacing w:line="348" w:lineRule="auto"/>
        <w:rPr>
          <w:rFonts w:hint="eastAsia" w:eastAsia="黑体" w:cs="黑体"/>
          <w:bCs/>
          <w:sz w:val="32"/>
          <w:szCs w:val="32"/>
        </w:rPr>
      </w:pPr>
      <w:r>
        <w:rPr>
          <w:rFonts w:hint="eastAsia" w:ascii="黑体" w:hAnsi="宋体" w:eastAsia="黑体" w:cs="宋体"/>
          <w:kern w:val="0"/>
          <w:sz w:val="32"/>
          <w:szCs w:val="32"/>
        </w:rPr>
        <w:t>附件1</w:t>
      </w:r>
      <w:r>
        <w:rPr>
          <w:rFonts w:ascii="黑体" w:hAnsi="宋体" w:eastAsia="黑体" w:cs="宋体"/>
          <w:kern w:val="0"/>
          <w:sz w:val="32"/>
          <w:szCs w:val="32"/>
        </w:rPr>
        <w:tab/>
      </w:r>
    </w:p>
    <w:p>
      <w:pPr>
        <w:spacing w:line="560" w:lineRule="exact"/>
        <w:rPr>
          <w:rFonts w:ascii="宋体" w:hAnsi="宋体" w:cs="宋体"/>
          <w:kern w:val="0"/>
          <w:sz w:val="24"/>
        </w:rPr>
      </w:pPr>
      <w:r>
        <w:rPr>
          <w:rFonts w:ascii="宋体" w:hAnsi="宋体" w:cs="宋体"/>
          <w:kern w:val="0"/>
          <w:sz w:val="24"/>
        </w:rPr>
        <w:tab/>
      </w:r>
      <w:r>
        <w:rPr>
          <w:rFonts w:ascii="宋体" w:hAnsi="宋体" w:cs="宋体"/>
          <w:kern w:val="0"/>
          <w:sz w:val="24"/>
        </w:rPr>
        <w:tab/>
      </w:r>
    </w:p>
    <w:p>
      <w:pPr>
        <w:widowControl/>
        <w:ind w:left="93"/>
        <w:jc w:val="center"/>
        <w:rPr>
          <w:rFonts w:ascii="宋体" w:hAnsi="宋体" w:cs="宋体"/>
          <w:kern w:val="0"/>
          <w:sz w:val="24"/>
        </w:rPr>
      </w:pPr>
      <w:r>
        <w:rPr>
          <w:rFonts w:hint="eastAsia" w:ascii="方正小标宋_GBK" w:hAnsi="宋体" w:eastAsia="方正小标宋_GBK" w:cs="宋体"/>
          <w:kern w:val="0"/>
          <w:sz w:val="36"/>
          <w:szCs w:val="36"/>
        </w:rPr>
        <w:t>部门整体支出绩效评价指标表</w:t>
      </w:r>
    </w:p>
    <w:tbl>
      <w:tblPr>
        <w:tblStyle w:val="6"/>
        <w:tblW w:w="10600" w:type="dxa"/>
        <w:jc w:val="center"/>
        <w:tblLayout w:type="fixed"/>
        <w:tblCellMar>
          <w:top w:w="0" w:type="dxa"/>
          <w:left w:w="108" w:type="dxa"/>
          <w:bottom w:w="0" w:type="dxa"/>
          <w:right w:w="108" w:type="dxa"/>
        </w:tblCellMar>
      </w:tblPr>
      <w:tblGrid>
        <w:gridCol w:w="518"/>
        <w:gridCol w:w="439"/>
        <w:gridCol w:w="675"/>
        <w:gridCol w:w="439"/>
        <w:gridCol w:w="1009"/>
        <w:gridCol w:w="416"/>
        <w:gridCol w:w="2999"/>
        <w:gridCol w:w="3470"/>
        <w:gridCol w:w="635"/>
      </w:tblGrid>
      <w:tr>
        <w:tblPrEx>
          <w:tblCellMar>
            <w:top w:w="0" w:type="dxa"/>
            <w:left w:w="108" w:type="dxa"/>
            <w:bottom w:w="0" w:type="dxa"/>
            <w:right w:w="108" w:type="dxa"/>
          </w:tblCellMar>
        </w:tblPrEx>
        <w:trPr>
          <w:tblHeader/>
          <w:jc w:val="center"/>
        </w:trPr>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一级指标</w:t>
            </w:r>
          </w:p>
        </w:tc>
        <w:tc>
          <w:tcPr>
            <w:tcW w:w="43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分值</w:t>
            </w:r>
          </w:p>
        </w:tc>
        <w:tc>
          <w:tcPr>
            <w:tcW w:w="67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二级指标</w:t>
            </w:r>
          </w:p>
        </w:tc>
        <w:tc>
          <w:tcPr>
            <w:tcW w:w="43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分值</w:t>
            </w:r>
          </w:p>
        </w:tc>
        <w:tc>
          <w:tcPr>
            <w:tcW w:w="10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三级</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指标</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分值</w:t>
            </w:r>
          </w:p>
        </w:tc>
        <w:tc>
          <w:tcPr>
            <w:tcW w:w="29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评价标准</w:t>
            </w:r>
          </w:p>
        </w:tc>
        <w:tc>
          <w:tcPr>
            <w:tcW w:w="347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指标说明</w:t>
            </w:r>
          </w:p>
        </w:tc>
        <w:tc>
          <w:tcPr>
            <w:tcW w:w="63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得分</w:t>
            </w:r>
          </w:p>
        </w:tc>
      </w:tr>
      <w:tr>
        <w:tblPrEx>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投入</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675" w:type="dxa"/>
            <w:vMerge w:val="restart"/>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在职人员控制率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nil"/>
              <w:right w:val="nil"/>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以100%为标准。在职人员控制率</w:t>
            </w:r>
            <w:r>
              <w:rPr>
                <w:rFonts w:hint="eastAsia" w:ascii="宋体" w:hAnsi="宋体" w:cs="宋体"/>
                <w:kern w:val="0"/>
                <w:sz w:val="20"/>
                <w:szCs w:val="20"/>
              </w:rPr>
              <w:t>≦</w:t>
            </w:r>
            <w:r>
              <w:rPr>
                <w:rFonts w:hint="eastAsia" w:ascii="仿宋_GB2312" w:hAnsi="宋体" w:eastAsia="仿宋_GB2312" w:cs="宋体"/>
                <w:kern w:val="0"/>
                <w:sz w:val="20"/>
                <w:szCs w:val="20"/>
              </w:rPr>
              <w:t>100%，计5分；每超过一个百分点扣0.5分，扣完为止。</w:t>
            </w:r>
          </w:p>
        </w:tc>
        <w:tc>
          <w:tcPr>
            <w:tcW w:w="347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在职人员控制率=（在职人员数/编制数）×100%，在职人员数：部门（单位）实际在职人数，以财政局确定的部门决算编制口径为准。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编制数：机构编制部门核定批复的部门（单位）的人员编制数。</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宋体" w:hAnsi="宋体" w:cs="宋体"/>
                <w:kern w:val="0"/>
                <w:sz w:val="20"/>
                <w:szCs w:val="20"/>
              </w:rPr>
              <w:t>≦</w:t>
            </w:r>
            <w:r>
              <w:rPr>
                <w:rFonts w:hint="eastAsia" w:ascii="仿宋_GB2312" w:hAnsi="宋体" w:eastAsia="仿宋_GB2312" w:cs="宋体"/>
                <w:kern w:val="0"/>
                <w:sz w:val="20"/>
                <w:szCs w:val="20"/>
              </w:rPr>
              <w:t>0,计8分；“三公经费”＞0，每超过一个百分点扣0.8分，扣完为止。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“在公经费”变动率=[（本年度“三公经费”预算数-上年度“三公经费”预算数）/上年度“三公经费”预算数]×100%</w:t>
            </w:r>
          </w:p>
        </w:tc>
        <w:tc>
          <w:tcPr>
            <w:tcW w:w="6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6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100%计满分，每低于5%扣2分，扣完为止。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预算完成率=（上年结转+年初预算+本年追加预算-年末结余/上年结转+年初预算+本年追加预算）×100%。</w:t>
            </w:r>
          </w:p>
        </w:tc>
        <w:tc>
          <w:tcPr>
            <w:tcW w:w="6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127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预算控制率=0，计5分；0-10%（含），计4分；10-20%（含），计3分；20-30%（含），计2分；大于30%不得分</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预算控制率=（本年追加预算/年初预算）×100%。</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eastAsiaTheme="minorEastAsia"/>
                <w:kern w:val="0"/>
                <w:sz w:val="24"/>
                <w:lang w:val="en-US" w:eastAsia="zh-CN"/>
              </w:rPr>
            </w:pPr>
            <w:r>
              <w:rPr>
                <w:rFonts w:hint="eastAsia" w:ascii="宋体" w:hAnsi="宋体" w:cs="宋体"/>
                <w:kern w:val="0"/>
                <w:sz w:val="24"/>
                <w:lang w:val="en-US" w:eastAsia="zh-CN"/>
              </w:rPr>
              <w:t>3</w:t>
            </w:r>
          </w:p>
        </w:tc>
      </w:tr>
      <w:tr>
        <w:tblPrEx>
          <w:tblCellMar>
            <w:top w:w="0" w:type="dxa"/>
            <w:left w:w="108" w:type="dxa"/>
            <w:bottom w:w="0" w:type="dxa"/>
            <w:right w:w="108" w:type="dxa"/>
          </w:tblCellMar>
        </w:tblPrEx>
        <w:trPr>
          <w:trHeight w:val="1160"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新建楼堂馆所面积控制率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100%以下（含）计满分，每超出5%扣2分，扣完为止。没有楼梯馆所项目的部门按满分计算</w:t>
            </w:r>
          </w:p>
        </w:tc>
        <w:tc>
          <w:tcPr>
            <w:tcW w:w="3470"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楼堂馆所面积控制率=实际建设面积/批准建设面积×100% 。</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该指标以2015年完工的新建楼堂馆所为评价内容。</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eastAsiaTheme="minorEastAsia"/>
                <w:kern w:val="0"/>
                <w:sz w:val="24"/>
                <w:lang w:val="en-US" w:eastAsia="zh-CN"/>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154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新建楼堂馆所投资概算控制率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100%以下（含）计满分，每超出5%扣2分，扣完为止。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楼堂馆所投资预算控制率=实际投资金额/批准投资金额×100% 。</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该指标以2015年完工的新建楼堂馆所为评价内容。</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eastAsiaTheme="minorEastAsia"/>
                <w:kern w:val="0"/>
                <w:sz w:val="24"/>
                <w:lang w:val="en-US" w:eastAsia="zh-CN"/>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1562"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41</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公用经费控制率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100%以下（含）计满分，每超出1%扣1分，扣完为止。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公用经费控制率=（实际支出公用经费总额/预算安排公用经费总额）×100%。</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公用经费支出是指部门基本支出中的一般商品和服务支出。</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eastAsiaTheme="minorEastAsia"/>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107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100%以下（含）计满分，每超出1%扣1分，扣完为止。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eastAsiaTheme="minorEastAsia"/>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918" w:hRule="atLeast"/>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政府采购执行率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100%计满分，每超过（降低）5%扣2分。扣完为止。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政府采购执行率=（实际政府采购金额/政府采购预算数）×100%</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                </w:t>
            </w:r>
          </w:p>
        </w:tc>
        <w:tc>
          <w:tcPr>
            <w:tcW w:w="6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jc w:val="center"/>
        </w:trPr>
        <w:tc>
          <w:tcPr>
            <w:tcW w:w="518" w:type="dxa"/>
            <w:vMerge w:val="restart"/>
            <w:tcBorders>
              <w:top w:val="single" w:color="auto" w:sz="4" w:space="0"/>
              <w:left w:val="single" w:color="auto" w:sz="4" w:space="0"/>
              <w:bottom w:val="single" w:color="000000" w:sz="4" w:space="0"/>
              <w:right w:val="single" w:color="auto" w:sz="4" w:space="0"/>
            </w:tcBorders>
            <w:noWrap w:val="0"/>
            <w:vAlign w:val="center"/>
          </w:tcPr>
          <w:p>
            <w:p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39" w:type="dxa"/>
            <w:vMerge w:val="restart"/>
            <w:tcBorders>
              <w:top w:val="single" w:color="auto" w:sz="4" w:space="0"/>
              <w:left w:val="single" w:color="auto" w:sz="4" w:space="0"/>
              <w:bottom w:val="single" w:color="000000" w:sz="4" w:space="0"/>
              <w:right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675" w:type="dxa"/>
            <w:vMerge w:val="restart"/>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管理制度健全性</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①有内部财务管理制度、会计核算制度等管理制度，2分；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②有本部门厉行节约制度,2分；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③相关管理制度合法、合规、完整，2分；④相关管理制度得到有效执行，2分。</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eastAsiaTheme="minorEastAsia"/>
                <w:kern w:val="0"/>
                <w:sz w:val="24"/>
                <w:lang w:val="en-US" w:eastAsia="zh-CN"/>
              </w:rPr>
            </w:pPr>
            <w:r>
              <w:rPr>
                <w:rFonts w:hint="eastAsia" w:ascii="宋体" w:hAnsi="宋体" w:cs="宋体"/>
                <w:kern w:val="0"/>
                <w:sz w:val="24"/>
                <w:lang w:val="en-US" w:eastAsia="zh-CN"/>
              </w:rPr>
              <w:t>7</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资金使用合规性</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以上情况每出现一例不符合要求的扣1分，扣完为止。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eastAsiaTheme="minorEastAsia"/>
                <w:kern w:val="0"/>
                <w:sz w:val="24"/>
                <w:lang w:val="en-US" w:eastAsia="zh-CN"/>
              </w:rPr>
            </w:pP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eastAsiaTheme="minorEastAsia"/>
                <w:kern w:val="0"/>
                <w:sz w:val="24"/>
                <w:lang w:val="en-US" w:eastAsia="zh-CN"/>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产出及效率</w:t>
            </w:r>
          </w:p>
        </w:tc>
        <w:tc>
          <w:tcPr>
            <w:tcW w:w="43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67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43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重点工作实际完成率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根据绩效办2015年对各部门为民办实事和部门重点工程与重点工作考核分数折算。</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该项得分=（实际产出数/计划产出数）*8</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eastAsiaTheme="minorEastAsia"/>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jc w:val="center"/>
        </w:trPr>
        <w:tc>
          <w:tcPr>
            <w:tcW w:w="518"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restart"/>
            <w:tcBorders>
              <w:top w:val="single" w:color="auto" w:sz="4" w:space="0"/>
              <w:left w:val="single" w:color="auto" w:sz="4" w:space="0"/>
              <w:bottom w:val="nil"/>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履职 效益</w:t>
            </w:r>
          </w:p>
        </w:tc>
        <w:tc>
          <w:tcPr>
            <w:tcW w:w="439" w:type="dxa"/>
            <w:vMerge w:val="restart"/>
            <w:tcBorders>
              <w:top w:val="single" w:color="auto" w:sz="4" w:space="0"/>
              <w:left w:val="single" w:color="auto" w:sz="4" w:space="0"/>
              <w:bottom w:val="nil"/>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1009" w:type="dxa"/>
            <w:tcBorders>
              <w:top w:val="single" w:color="auto" w:sz="4" w:space="0"/>
              <w:left w:val="single" w:color="auto" w:sz="4" w:space="0"/>
              <w:bottom w:val="nil"/>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经济效益</w:t>
            </w:r>
          </w:p>
        </w:tc>
        <w:tc>
          <w:tcPr>
            <w:tcW w:w="416" w:type="dxa"/>
            <w:vMerge w:val="restart"/>
            <w:tcBorders>
              <w:top w:val="single" w:color="auto" w:sz="4" w:space="0"/>
              <w:left w:val="single" w:color="auto" w:sz="4" w:space="0"/>
              <w:bottom w:val="nil"/>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6469" w:type="dxa"/>
            <w:gridSpan w:val="2"/>
            <w:vMerge w:val="restart"/>
            <w:tcBorders>
              <w:top w:val="single" w:color="auto" w:sz="4" w:space="0"/>
              <w:left w:val="single" w:color="auto" w:sz="4" w:space="0"/>
              <w:bottom w:val="nil"/>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此两项指标为设置部门整体支出绩效评价指标时必须考虑的共性要素，可根据部门实际情况有选择的进行设置，并将其细化为相应的个性化指标。</w:t>
            </w:r>
          </w:p>
        </w:tc>
        <w:tc>
          <w:tcPr>
            <w:tcW w:w="635" w:type="dxa"/>
            <w:tcBorders>
              <w:top w:val="single" w:color="auto" w:sz="4" w:space="0"/>
              <w:left w:val="single" w:color="auto" w:sz="4" w:space="0"/>
              <w:bottom w:val="nil"/>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04"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社会效益</w:t>
            </w:r>
          </w:p>
        </w:tc>
        <w:tc>
          <w:tcPr>
            <w:tcW w:w="416" w:type="dxa"/>
            <w:vMerge w:val="continue"/>
            <w:tcBorders>
              <w:top w:val="nil"/>
              <w:left w:val="single" w:color="auto" w:sz="4" w:space="0"/>
              <w:bottom w:val="nil"/>
              <w:right w:val="single" w:color="auto" w:sz="4" w:space="0"/>
            </w:tcBorders>
            <w:noWrap w:val="0"/>
            <w:vAlign w:val="center"/>
          </w:tcPr>
          <w:p>
            <w:pPr>
              <w:widowControl/>
              <w:jc w:val="left"/>
              <w:rPr>
                <w:rFonts w:ascii="仿宋_GB2312" w:hAnsi="宋体" w:eastAsia="仿宋_GB2312" w:cs="宋体"/>
                <w:kern w:val="0"/>
                <w:sz w:val="20"/>
                <w:szCs w:val="20"/>
              </w:rPr>
            </w:pPr>
          </w:p>
        </w:tc>
        <w:tc>
          <w:tcPr>
            <w:tcW w:w="6469" w:type="dxa"/>
            <w:gridSpan w:val="2"/>
            <w:vMerge w:val="continue"/>
            <w:tcBorders>
              <w:top w:val="nil"/>
              <w:left w:val="single" w:color="auto" w:sz="4" w:space="0"/>
              <w:bottom w:val="nil"/>
              <w:right w:val="single" w:color="000000" w:sz="4" w:space="0"/>
            </w:tcBorders>
            <w:noWrap w:val="0"/>
            <w:vAlign w:val="center"/>
          </w:tcPr>
          <w:p>
            <w:pPr>
              <w:widowControl/>
              <w:jc w:val="left"/>
              <w:rPr>
                <w:rFonts w:ascii="仿宋_GB2312" w:hAnsi="宋体" w:eastAsia="仿宋_GB2312" w:cs="宋体"/>
                <w:kern w:val="0"/>
                <w:sz w:val="20"/>
                <w:szCs w:val="20"/>
              </w:rPr>
            </w:pPr>
          </w:p>
        </w:tc>
        <w:tc>
          <w:tcPr>
            <w:tcW w:w="635" w:type="dxa"/>
            <w:tcBorders>
              <w:top w:val="nil"/>
              <w:left w:val="nil"/>
              <w:bottom w:val="nil"/>
              <w:right w:val="single" w:color="auto" w:sz="4" w:space="0"/>
            </w:tcBorders>
            <w:noWrap w:val="0"/>
            <w:vAlign w:val="center"/>
          </w:tcPr>
          <w:p>
            <w:pPr>
              <w:widowControl/>
              <w:jc w:val="center"/>
              <w:rPr>
                <w:rFonts w:hint="eastAsia" w:ascii="宋体" w:hAnsi="宋体" w:cs="宋体" w:eastAsiaTheme="minorEastAsia"/>
                <w:kern w:val="0"/>
                <w:sz w:val="24"/>
                <w:lang w:val="en-US" w:eastAsia="zh-CN"/>
              </w:rPr>
            </w:pP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行政效能</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促进部门改进文风会风，加强经费及资产管理，推动网上办事，提高行政效率，降低行政成本效果较好的计6分；一般3分；无效果或者效果不明显0分。</w:t>
            </w:r>
          </w:p>
        </w:tc>
        <w:tc>
          <w:tcPr>
            <w:tcW w:w="3470"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根据部门自评材料评定。</w:t>
            </w:r>
          </w:p>
        </w:tc>
        <w:tc>
          <w:tcPr>
            <w:tcW w:w="63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eastAsiaTheme="minorEastAsia"/>
                <w:kern w:val="0"/>
                <w:sz w:val="24"/>
                <w:lang w:val="en-US" w:eastAsia="zh-CN"/>
              </w:rPr>
            </w:pPr>
            <w:r>
              <w:rPr>
                <w:rFonts w:hint="eastAsia" w:ascii="宋体" w:hAnsi="宋体" w:cs="宋体"/>
                <w:kern w:val="0"/>
                <w:sz w:val="24"/>
                <w:lang w:val="en-US" w:eastAsia="zh-CN"/>
              </w:rPr>
              <w:t>4</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90%（含）以上计6分；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80%（含）-90%，计4分；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70%（含）-80%，计2分；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低于70%计0分。</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w:t>
            </w:r>
          </w:p>
        </w:tc>
        <w:tc>
          <w:tcPr>
            <w:tcW w:w="635"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6</w:t>
            </w:r>
          </w:p>
        </w:tc>
      </w:tr>
    </w:tbl>
    <w:p>
      <w:pPr>
        <w:rPr>
          <w:rFonts w:ascii="黑体" w:eastAsia="黑体"/>
          <w:sz w:val="28"/>
          <w:szCs w:val="28"/>
        </w:rPr>
      </w:pPr>
    </w:p>
    <w:p>
      <w:pPr>
        <w:spacing w:line="560" w:lineRule="exact"/>
        <w:rPr>
          <w:rFonts w:ascii="宋体" w:hAnsi="宋体" w:cs="宋体"/>
          <w:kern w:val="0"/>
          <w:sz w:val="24"/>
        </w:rPr>
      </w:pPr>
      <w:r>
        <w:rPr>
          <w:rFonts w:ascii="黑体" w:eastAsia="黑体"/>
          <w:sz w:val="28"/>
          <w:szCs w:val="28"/>
        </w:rPr>
        <w:br w:type="page"/>
      </w:r>
      <w:r>
        <w:rPr>
          <w:rFonts w:hint="eastAsia" w:ascii="黑体" w:hAnsi="宋体" w:eastAsia="黑体" w:cs="宋体"/>
          <w:kern w:val="0"/>
          <w:sz w:val="32"/>
          <w:szCs w:val="32"/>
        </w:rPr>
        <w:t>附件2</w:t>
      </w:r>
      <w:r>
        <w:rPr>
          <w:rFonts w:ascii="黑体" w:hAnsi="宋体" w:eastAsia="黑体" w:cs="宋体"/>
          <w:kern w:val="0"/>
          <w:sz w:val="32"/>
          <w:szCs w:val="32"/>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p>
    <w:p>
      <w:pPr>
        <w:widowControl/>
        <w:ind w:left="91"/>
        <w:jc w:val="center"/>
        <w:rPr>
          <w:rFonts w:hint="eastAsia" w:ascii="方正小标宋_GBK" w:hAnsi="宋体" w:eastAsia="方正小标宋_GBK" w:cs="宋体"/>
          <w:kern w:val="0"/>
          <w:sz w:val="36"/>
          <w:szCs w:val="36"/>
        </w:rPr>
      </w:pPr>
      <w:r>
        <w:rPr>
          <w:rFonts w:hint="eastAsia" w:ascii="方正小标宋_GBK" w:hAnsi="宋体" w:eastAsia="方正小标宋_GBK" w:cs="宋体"/>
          <w:kern w:val="0"/>
          <w:sz w:val="36"/>
          <w:szCs w:val="36"/>
        </w:rPr>
        <w:t>部门整体支出绩效评价基础数据表</w:t>
      </w:r>
    </w:p>
    <w:p>
      <w:pPr>
        <w:widowControl/>
        <w:tabs>
          <w:tab w:val="left" w:pos="3611"/>
          <w:tab w:val="left" w:pos="4791"/>
          <w:tab w:val="left" w:pos="5951"/>
          <w:tab w:val="left" w:pos="7071"/>
          <w:tab w:val="left" w:pos="8191"/>
          <w:tab w:val="left" w:pos="9311"/>
        </w:tabs>
        <w:ind w:left="91"/>
        <w:jc w:val="left"/>
        <w:rPr>
          <w:rFonts w:ascii="宋体" w:hAnsi="宋体" w:cs="宋体"/>
          <w:kern w:val="0"/>
          <w:sz w:val="24"/>
        </w:rPr>
      </w:pPr>
      <w:r>
        <w:rPr>
          <w:rFonts w:hint="eastAsia" w:ascii="宋体" w:hAnsi="宋体" w:cs="宋体"/>
          <w:kern w:val="0"/>
          <w:sz w:val="24"/>
        </w:rPr>
        <w:t>填报单位：</w:t>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p>
    <w:tbl>
      <w:tblPr>
        <w:tblStyle w:val="6"/>
        <w:tblW w:w="0" w:type="auto"/>
        <w:jc w:val="center"/>
        <w:tblLayout w:type="fixed"/>
        <w:tblCellMar>
          <w:top w:w="0" w:type="dxa"/>
          <w:left w:w="108" w:type="dxa"/>
          <w:bottom w:w="0" w:type="dxa"/>
          <w:right w:w="108" w:type="dxa"/>
        </w:tblCellMar>
      </w:tblPr>
      <w:tblGrid>
        <w:gridCol w:w="3550"/>
        <w:gridCol w:w="1190"/>
        <w:gridCol w:w="984"/>
        <w:gridCol w:w="1316"/>
        <w:gridCol w:w="1252"/>
        <w:gridCol w:w="1008"/>
        <w:gridCol w:w="1190"/>
      </w:tblGrid>
      <w:tr>
        <w:tblPrEx>
          <w:tblCellMar>
            <w:top w:w="0" w:type="dxa"/>
            <w:left w:w="108" w:type="dxa"/>
            <w:bottom w:w="0" w:type="dxa"/>
            <w:right w:w="108" w:type="dxa"/>
          </w:tblCellMar>
        </w:tblPrEx>
        <w:trPr>
          <w:trHeight w:val="763" w:hRule="atLeast"/>
          <w:jc w:val="center"/>
        </w:trPr>
        <w:tc>
          <w:tcPr>
            <w:tcW w:w="35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财政供养人员情况</w:t>
            </w:r>
          </w:p>
        </w:tc>
        <w:tc>
          <w:tcPr>
            <w:tcW w:w="217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编制数</w:t>
            </w:r>
          </w:p>
        </w:tc>
        <w:tc>
          <w:tcPr>
            <w:tcW w:w="256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20</w:t>
            </w:r>
            <w:r>
              <w:rPr>
                <w:rFonts w:hint="eastAsia" w:ascii="宋体" w:hAnsi="宋体" w:cs="宋体"/>
                <w:b/>
                <w:bCs/>
                <w:kern w:val="0"/>
                <w:sz w:val="24"/>
                <w:lang w:val="en-US" w:eastAsia="zh-CN"/>
              </w:rPr>
              <w:t>21</w:t>
            </w:r>
            <w:r>
              <w:rPr>
                <w:rFonts w:hint="eastAsia" w:ascii="宋体" w:hAnsi="宋体" w:cs="宋体"/>
                <w:b/>
                <w:bCs/>
                <w:kern w:val="0"/>
                <w:sz w:val="24"/>
              </w:rPr>
              <w:t>年实际在职人数</w:t>
            </w:r>
          </w:p>
        </w:tc>
        <w:tc>
          <w:tcPr>
            <w:tcW w:w="219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控制率</w:t>
            </w:r>
          </w:p>
        </w:tc>
      </w:tr>
      <w:tr>
        <w:tblPrEx>
          <w:tblCellMar>
            <w:top w:w="0" w:type="dxa"/>
            <w:left w:w="108" w:type="dxa"/>
            <w:bottom w:w="0" w:type="dxa"/>
            <w:right w:w="108" w:type="dxa"/>
          </w:tblCellMar>
        </w:tblPrEx>
        <w:trPr>
          <w:trHeight w:val="177" w:hRule="atLeast"/>
          <w:jc w:val="center"/>
        </w:trPr>
        <w:tc>
          <w:tcPr>
            <w:tcW w:w="35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217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114</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cs="宋体" w:eastAsiaTheme="minorEastAsia"/>
                <w:kern w:val="0"/>
                <w:sz w:val="24"/>
                <w:lang w:val="en-US" w:eastAsia="zh-CN"/>
              </w:rPr>
            </w:pPr>
            <w:r>
              <w:rPr>
                <w:rFonts w:hint="eastAsia" w:ascii="宋体" w:hAnsi="宋体" w:cs="宋体"/>
                <w:kern w:val="0"/>
                <w:sz w:val="24"/>
                <w:lang w:val="en-US" w:eastAsia="zh-CN"/>
              </w:rPr>
              <w:t>96</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经费控制情况</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lang w:val="en-US" w:eastAsia="zh-CN"/>
              </w:rPr>
              <w:t>2020</w:t>
            </w:r>
            <w:r>
              <w:rPr>
                <w:rFonts w:hint="eastAsia" w:ascii="宋体" w:hAnsi="宋体" w:cs="宋体"/>
                <w:b/>
                <w:bCs/>
                <w:kern w:val="0"/>
                <w:sz w:val="24"/>
              </w:rPr>
              <w:t>年决算数</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lang w:val="en-US" w:eastAsia="zh-CN"/>
              </w:rPr>
              <w:t>2021</w:t>
            </w:r>
            <w:r>
              <w:rPr>
                <w:rFonts w:hint="eastAsia" w:ascii="宋体" w:hAnsi="宋体" w:cs="宋体"/>
                <w:b/>
                <w:bCs/>
                <w:kern w:val="0"/>
                <w:sz w:val="24"/>
              </w:rPr>
              <w:t>年预算数</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lang w:val="en-US" w:eastAsia="zh-CN"/>
              </w:rPr>
              <w:t>2021</w:t>
            </w:r>
            <w:r>
              <w:rPr>
                <w:rFonts w:hint="eastAsia" w:ascii="宋体" w:hAnsi="宋体" w:cs="宋体"/>
                <w:b/>
                <w:bCs/>
                <w:kern w:val="0"/>
                <w:sz w:val="24"/>
              </w:rPr>
              <w:t>年决算数</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三公经费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1.52</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0.07</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0.07</w:t>
            </w:r>
            <w:r>
              <w:rPr>
                <w:rFonts w:hint="eastAsia" w:ascii="宋体" w:hAnsi="宋体" w:cs="宋体"/>
                <w:kern w:val="0"/>
                <w:sz w:val="24"/>
              </w:rPr>
              <w:t>　</w:t>
            </w:r>
          </w:p>
        </w:tc>
      </w:tr>
      <w:tr>
        <w:tblPrEx>
          <w:tblCellMar>
            <w:top w:w="0" w:type="dxa"/>
            <w:left w:w="108" w:type="dxa"/>
            <w:bottom w:w="0" w:type="dxa"/>
            <w:right w:w="108" w:type="dxa"/>
          </w:tblCellMar>
        </w:tblPrEx>
        <w:trPr>
          <w:trHeight w:val="39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1、公务用车购置和维护经费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1.52</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其中：公车购置</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公车运行维护</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1.52</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2、出国经费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3、公务接待</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0.07</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0.07</w:t>
            </w:r>
            <w:r>
              <w:rPr>
                <w:rFonts w:hint="eastAsia" w:ascii="宋体" w:hAnsi="宋体" w:cs="宋体"/>
                <w:kern w:val="0"/>
                <w:sz w:val="24"/>
              </w:rPr>
              <w:t>　</w:t>
            </w:r>
          </w:p>
        </w:tc>
      </w:tr>
      <w:tr>
        <w:tblPrEx>
          <w:tblCellMar>
            <w:top w:w="0" w:type="dxa"/>
            <w:left w:w="108" w:type="dxa"/>
            <w:bottom w:w="0" w:type="dxa"/>
            <w:right w:w="108" w:type="dxa"/>
          </w:tblCellMar>
        </w:tblPrEx>
        <w:trPr>
          <w:trHeight w:val="39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项目支出：</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7547.1817</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4700</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8373.5591</w:t>
            </w: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eastAsiaTheme="minorEastAsia"/>
                <w:kern w:val="0"/>
                <w:sz w:val="24"/>
                <w:lang w:val="en-US" w:eastAsia="zh-CN"/>
              </w:rPr>
            </w:pPr>
            <w:r>
              <w:rPr>
                <w:rFonts w:hint="eastAsia" w:ascii="宋体" w:hAnsi="宋体" w:cs="宋体"/>
                <w:kern w:val="0"/>
                <w:sz w:val="24"/>
              </w:rPr>
              <w:t xml:space="preserve">    1、</w:t>
            </w:r>
            <w:r>
              <w:rPr>
                <w:rFonts w:hint="eastAsia" w:ascii="宋体" w:hAnsi="宋体" w:cs="宋体"/>
                <w:kern w:val="0"/>
                <w:sz w:val="24"/>
                <w:lang w:eastAsia="zh-CN"/>
              </w:rPr>
              <w:t>道路站厕通道维护经费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1669.5712</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1340</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2551.0150</w:t>
            </w: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eastAsiaTheme="minorEastAsia"/>
                <w:kern w:val="0"/>
                <w:sz w:val="24"/>
                <w:lang w:eastAsia="zh-CN"/>
              </w:rPr>
            </w:pPr>
            <w:r>
              <w:rPr>
                <w:rFonts w:hint="eastAsia" w:ascii="宋体" w:hAnsi="宋体" w:cs="宋体"/>
                <w:kern w:val="0"/>
                <w:sz w:val="24"/>
              </w:rPr>
              <w:t xml:space="preserve">    2、</w:t>
            </w:r>
            <w:r>
              <w:rPr>
                <w:rFonts w:hint="eastAsia" w:ascii="宋体" w:hAnsi="宋体" w:cs="宋体"/>
                <w:kern w:val="0"/>
                <w:sz w:val="24"/>
                <w:lang w:eastAsia="zh-CN"/>
              </w:rPr>
              <w:t>业务车辆</w:t>
            </w:r>
            <w:r>
              <w:rPr>
                <w:rFonts w:hint="eastAsia" w:ascii="宋体" w:hAnsi="宋体" w:cs="宋体"/>
                <w:kern w:val="0"/>
                <w:sz w:val="24"/>
              </w:rPr>
              <w:t>运行</w:t>
            </w:r>
            <w:r>
              <w:rPr>
                <w:rFonts w:hint="eastAsia" w:ascii="宋体" w:hAnsi="宋体" w:cs="宋体"/>
                <w:kern w:val="0"/>
                <w:sz w:val="24"/>
                <w:lang w:eastAsia="zh-CN"/>
              </w:rPr>
              <w:t>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1472.8737</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1413</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1431.1323</w:t>
            </w: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3、垃圾清运经费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1076.8383</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1420</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cs="宋体"/>
                <w:kern w:val="0"/>
                <w:sz w:val="24"/>
                <w:lang w:val="en-US"/>
              </w:rPr>
            </w:pPr>
            <w:r>
              <w:rPr>
                <w:rFonts w:hint="eastAsia" w:ascii="宋体" w:hAnsi="宋体" w:cs="宋体"/>
                <w:kern w:val="0"/>
                <w:sz w:val="24"/>
                <w:lang w:val="en-US" w:eastAsia="zh-CN"/>
              </w:rPr>
              <w:t>1520.1876</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eastAsiaTheme="minorEastAsia"/>
                <w:kern w:val="0"/>
                <w:sz w:val="24"/>
                <w:lang w:val="en-US" w:eastAsia="zh-CN"/>
              </w:rPr>
            </w:pPr>
            <w:r>
              <w:rPr>
                <w:rFonts w:hint="eastAsia" w:ascii="宋体" w:hAnsi="宋体" w:cs="宋体"/>
                <w:kern w:val="0"/>
                <w:sz w:val="24"/>
                <w:lang w:val="en-US" w:eastAsia="zh-CN"/>
              </w:rPr>
              <w:t>4、业务车辆及专用设备购置经费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2131.9855</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527</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1503.8294</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eastAsiaTheme="minorEastAsia"/>
                <w:kern w:val="0"/>
                <w:sz w:val="24"/>
                <w:lang w:val="en-US" w:eastAsia="zh-CN"/>
              </w:rPr>
            </w:pPr>
            <w:r>
              <w:rPr>
                <w:rFonts w:hint="eastAsia" w:ascii="宋体" w:hAnsi="宋体" w:cs="宋体"/>
                <w:kern w:val="0"/>
                <w:sz w:val="24"/>
                <w:lang w:val="en-US" w:eastAsia="zh-CN"/>
              </w:rPr>
              <w:t>5、站厕建设工程款及配套设施</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1195.8994</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0</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1367.3948</w:t>
            </w:r>
            <w:r>
              <w:rPr>
                <w:rFonts w:hint="eastAsia" w:ascii="宋体" w:hAnsi="宋体" w:cs="宋体"/>
                <w:kern w:val="0"/>
                <w:sz w:val="24"/>
              </w:rPr>
              <w:t>　</w:t>
            </w:r>
          </w:p>
        </w:tc>
      </w:tr>
      <w:tr>
        <w:tblPrEx>
          <w:tblCellMar>
            <w:top w:w="0" w:type="dxa"/>
            <w:left w:w="108" w:type="dxa"/>
            <w:bottom w:w="0" w:type="dxa"/>
            <w:right w:w="108" w:type="dxa"/>
          </w:tblCellMar>
        </w:tblPrEx>
        <w:trPr>
          <w:trHeight w:val="356"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公用经费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221.0117</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cs="宋体"/>
                <w:kern w:val="0"/>
                <w:sz w:val="24"/>
                <w:lang w:val="en-US"/>
              </w:rPr>
            </w:pPr>
            <w:r>
              <w:rPr>
                <w:rFonts w:hint="eastAsia" w:ascii="宋体" w:hAnsi="宋体" w:cs="宋体"/>
                <w:kern w:val="0"/>
                <w:sz w:val="24"/>
                <w:lang w:val="en-US" w:eastAsia="zh-CN"/>
              </w:rPr>
              <w:t>494.14</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cs="宋体"/>
                <w:kern w:val="0"/>
                <w:sz w:val="24"/>
                <w:lang w:val="en-US"/>
              </w:rPr>
            </w:pPr>
            <w:r>
              <w:rPr>
                <w:rFonts w:hint="eastAsia" w:ascii="宋体" w:hAnsi="宋体" w:cs="宋体"/>
                <w:kern w:val="0"/>
                <w:sz w:val="24"/>
                <w:lang w:val="en-US" w:eastAsia="zh-CN"/>
              </w:rPr>
              <w:t>463.33</w:t>
            </w:r>
            <w:r>
              <w:rPr>
                <w:rFonts w:hint="eastAsia" w:ascii="宋体" w:hAnsi="宋体" w:cs="宋体"/>
                <w:kern w:val="0"/>
                <w:sz w:val="24"/>
              </w:rPr>
              <w:t>　</w:t>
            </w:r>
          </w:p>
        </w:tc>
      </w:tr>
      <w:tr>
        <w:tblPrEx>
          <w:tblCellMar>
            <w:top w:w="0" w:type="dxa"/>
            <w:left w:w="108" w:type="dxa"/>
            <w:bottom w:w="0" w:type="dxa"/>
            <w:right w:w="108" w:type="dxa"/>
          </w:tblCellMar>
        </w:tblPrEx>
        <w:trPr>
          <w:trHeight w:val="39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其中：办公经费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FF0000"/>
                <w:kern w:val="0"/>
                <w:sz w:val="24"/>
              </w:rPr>
            </w:pPr>
            <w:r>
              <w:rPr>
                <w:rFonts w:hint="eastAsia" w:ascii="宋体" w:hAnsi="宋体" w:cs="宋体"/>
                <w:kern w:val="0"/>
                <w:sz w:val="24"/>
                <w:lang w:val="en-US" w:eastAsia="zh-CN"/>
              </w:rPr>
              <w:t>32.09</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cs="宋体"/>
                <w:color w:val="FF0000"/>
                <w:kern w:val="0"/>
                <w:sz w:val="24"/>
                <w:lang w:val="en-US"/>
              </w:rPr>
            </w:pPr>
            <w:r>
              <w:rPr>
                <w:rFonts w:hint="eastAsia" w:ascii="宋体" w:hAnsi="宋体" w:cs="宋体"/>
                <w:kern w:val="0"/>
                <w:sz w:val="24"/>
                <w:lang w:val="en-US" w:eastAsia="zh-CN"/>
              </w:rPr>
              <w:t>28.97</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cs="宋体" w:eastAsiaTheme="minorEastAsia"/>
                <w:color w:val="auto"/>
                <w:kern w:val="0"/>
                <w:sz w:val="24"/>
                <w:lang w:val="en-US" w:eastAsia="zh-CN"/>
              </w:rPr>
            </w:pPr>
            <w:r>
              <w:rPr>
                <w:rFonts w:hint="eastAsia" w:ascii="宋体" w:hAnsi="宋体" w:cs="宋体"/>
                <w:color w:val="auto"/>
                <w:kern w:val="0"/>
                <w:sz w:val="24"/>
                <w:lang w:val="en-US" w:eastAsia="zh-CN"/>
              </w:rPr>
              <w:t>47.19</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水费、电费、差旅费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FF0000"/>
                <w:kern w:val="0"/>
                <w:sz w:val="24"/>
              </w:rPr>
            </w:pPr>
            <w:r>
              <w:rPr>
                <w:rFonts w:hint="eastAsia" w:ascii="宋体" w:hAnsi="宋体" w:cs="宋体"/>
                <w:kern w:val="0"/>
                <w:sz w:val="24"/>
                <w:lang w:val="en-US" w:eastAsia="zh-CN"/>
              </w:rPr>
              <w:t>6.91</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FF0000"/>
                <w:kern w:val="0"/>
                <w:sz w:val="24"/>
              </w:rPr>
            </w:pPr>
            <w:r>
              <w:rPr>
                <w:rFonts w:hint="eastAsia" w:ascii="宋体" w:hAnsi="宋体" w:cs="宋体"/>
                <w:kern w:val="0"/>
                <w:sz w:val="24"/>
                <w:lang w:val="en-US" w:eastAsia="zh-CN"/>
              </w:rPr>
              <w:t>8</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cs="宋体" w:eastAsiaTheme="minorEastAsia"/>
                <w:color w:val="auto"/>
                <w:kern w:val="0"/>
                <w:sz w:val="24"/>
                <w:lang w:val="en-US" w:eastAsia="zh-CN"/>
              </w:rPr>
            </w:pPr>
            <w:r>
              <w:rPr>
                <w:rFonts w:hint="eastAsia" w:ascii="宋体" w:hAnsi="宋体" w:cs="宋体"/>
                <w:color w:val="auto"/>
                <w:kern w:val="0"/>
                <w:sz w:val="24"/>
                <w:lang w:val="en-US" w:eastAsia="zh-CN"/>
              </w:rPr>
              <w:t>8.51</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会议费、培训费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FF0000"/>
                <w:kern w:val="0"/>
                <w:sz w:val="24"/>
              </w:rPr>
            </w:pPr>
            <w:r>
              <w:rPr>
                <w:rFonts w:hint="eastAsia" w:ascii="宋体" w:hAnsi="宋体" w:cs="宋体"/>
                <w:color w:val="auto"/>
                <w:kern w:val="0"/>
                <w:sz w:val="24"/>
                <w:lang w:val="en-US" w:eastAsia="zh-CN"/>
              </w:rPr>
              <w:t>0</w:t>
            </w:r>
            <w:r>
              <w:rPr>
                <w:rFonts w:hint="eastAsia" w:ascii="宋体" w:hAnsi="宋体" w:cs="宋体"/>
                <w:color w:val="auto"/>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eastAsiaTheme="minorEastAsia"/>
                <w:color w:val="FF0000"/>
                <w:kern w:val="0"/>
                <w:sz w:val="24"/>
                <w:lang w:val="en-US" w:eastAsia="zh-CN"/>
              </w:rPr>
            </w:pPr>
            <w:r>
              <w:rPr>
                <w:rFonts w:hint="eastAsia" w:ascii="宋体" w:hAnsi="宋体" w:cs="宋体"/>
                <w:color w:val="auto"/>
                <w:kern w:val="0"/>
                <w:sz w:val="24"/>
                <w:lang w:val="en-US" w:eastAsia="zh-CN"/>
              </w:rPr>
              <w:t>0</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0</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政府采购金额</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color w:val="FF0000"/>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color w:val="auto"/>
                <w:kern w:val="0"/>
                <w:sz w:val="24"/>
                <w:lang w:val="en-US" w:eastAsia="zh-CN"/>
              </w:rPr>
              <w:t>3174.38</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部门整体支出预算调整 </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color w:val="FF0000"/>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color w:val="FF0000"/>
                <w:kern w:val="0"/>
                <w:sz w:val="24"/>
              </w:rPr>
              <w:t>　</w:t>
            </w:r>
          </w:p>
        </w:tc>
      </w:tr>
      <w:tr>
        <w:tblPrEx>
          <w:tblCellMar>
            <w:top w:w="0" w:type="dxa"/>
            <w:left w:w="108" w:type="dxa"/>
            <w:bottom w:w="0" w:type="dxa"/>
            <w:right w:w="108" w:type="dxa"/>
          </w:tblCellMar>
        </w:tblPrEx>
        <w:trPr>
          <w:trHeight w:val="1154" w:hRule="atLeast"/>
          <w:jc w:val="center"/>
        </w:trPr>
        <w:tc>
          <w:tcPr>
            <w:tcW w:w="355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rPr>
              <w:t>楼堂馆所控制情况</w:t>
            </w:r>
          </w:p>
          <w:p>
            <w:pPr>
              <w:widowControl/>
              <w:jc w:val="center"/>
              <w:rPr>
                <w:rFonts w:ascii="宋体" w:hAnsi="宋体" w:cs="宋体"/>
                <w:kern w:val="0"/>
                <w:sz w:val="24"/>
              </w:rPr>
            </w:pPr>
            <w:r>
              <w:rPr>
                <w:rFonts w:hint="eastAsia" w:ascii="宋体" w:hAnsi="宋体" w:cs="宋体"/>
                <w:kern w:val="0"/>
                <w:sz w:val="24"/>
              </w:rPr>
              <w:t>（2019年完工项目）</w:t>
            </w:r>
          </w:p>
        </w:tc>
        <w:tc>
          <w:tcPr>
            <w:tcW w:w="11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4"/>
                <w:lang w:eastAsia="zh-CN"/>
              </w:rPr>
            </w:pPr>
            <w:r>
              <w:rPr>
                <w:rFonts w:hint="eastAsia" w:ascii="宋体" w:hAnsi="宋体" w:cs="宋体"/>
                <w:b/>
                <w:bCs/>
                <w:kern w:val="0"/>
                <w:sz w:val="24"/>
              </w:rPr>
              <w:t>批复规模</w:t>
            </w:r>
          </w:p>
          <w:p>
            <w:pPr>
              <w:widowControl/>
              <w:jc w:val="center"/>
              <w:rPr>
                <w:rFonts w:ascii="宋体" w:hAnsi="宋体" w:cs="宋体"/>
                <w:b/>
                <w:bCs/>
                <w:kern w:val="0"/>
                <w:sz w:val="24"/>
              </w:rPr>
            </w:pPr>
            <w:r>
              <w:rPr>
                <w:rFonts w:hint="eastAsia" w:ascii="宋体" w:hAnsi="宋体" w:cs="宋体"/>
                <w:b/>
                <w:bCs/>
                <w:kern w:val="0"/>
                <w:sz w:val="24"/>
              </w:rPr>
              <w:t>（㎡）</w:t>
            </w:r>
          </w:p>
        </w:tc>
        <w:tc>
          <w:tcPr>
            <w:tcW w:w="98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4"/>
                <w:lang w:eastAsia="zh-CN"/>
              </w:rPr>
            </w:pPr>
            <w:r>
              <w:rPr>
                <w:rFonts w:hint="eastAsia" w:ascii="宋体" w:hAnsi="宋体" w:cs="宋体"/>
                <w:b/>
                <w:bCs/>
                <w:kern w:val="0"/>
                <w:sz w:val="24"/>
              </w:rPr>
              <w:t>实际规模</w:t>
            </w:r>
          </w:p>
          <w:p>
            <w:pPr>
              <w:widowControl/>
              <w:jc w:val="center"/>
              <w:rPr>
                <w:rFonts w:ascii="宋体" w:hAnsi="宋体" w:cs="宋体"/>
                <w:b/>
                <w:bCs/>
                <w:kern w:val="0"/>
                <w:sz w:val="24"/>
              </w:rPr>
            </w:pPr>
            <w:r>
              <w:rPr>
                <w:rFonts w:hint="eastAsia" w:ascii="宋体" w:hAnsi="宋体" w:cs="宋体"/>
                <w:b/>
                <w:bCs/>
                <w:kern w:val="0"/>
                <w:sz w:val="24"/>
              </w:rPr>
              <w:t>（㎡）</w:t>
            </w:r>
          </w:p>
        </w:tc>
        <w:tc>
          <w:tcPr>
            <w:tcW w:w="1316"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规模控制率</w:t>
            </w:r>
          </w:p>
        </w:tc>
        <w:tc>
          <w:tcPr>
            <w:tcW w:w="125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4"/>
                <w:lang w:eastAsia="zh-CN"/>
              </w:rPr>
            </w:pPr>
            <w:r>
              <w:rPr>
                <w:rFonts w:hint="eastAsia" w:ascii="宋体" w:hAnsi="宋体" w:cs="宋体"/>
                <w:b/>
                <w:bCs/>
                <w:kern w:val="0"/>
                <w:sz w:val="24"/>
              </w:rPr>
              <w:t>预算投资</w:t>
            </w:r>
          </w:p>
          <w:p>
            <w:pPr>
              <w:widowControl/>
              <w:jc w:val="center"/>
              <w:rPr>
                <w:rFonts w:ascii="宋体" w:hAnsi="宋体" w:cs="宋体"/>
                <w:b/>
                <w:bCs/>
                <w:kern w:val="0"/>
                <w:sz w:val="24"/>
              </w:rPr>
            </w:pPr>
            <w:r>
              <w:rPr>
                <w:rFonts w:hint="eastAsia" w:ascii="宋体" w:hAnsi="宋体" w:cs="宋体"/>
                <w:b/>
                <w:bCs/>
                <w:kern w:val="0"/>
                <w:sz w:val="24"/>
              </w:rPr>
              <w:t>（万元）</w:t>
            </w:r>
          </w:p>
        </w:tc>
        <w:tc>
          <w:tcPr>
            <w:tcW w:w="100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4"/>
                <w:lang w:eastAsia="zh-CN"/>
              </w:rPr>
            </w:pPr>
            <w:r>
              <w:rPr>
                <w:rFonts w:hint="eastAsia" w:ascii="宋体" w:hAnsi="宋体" w:cs="宋体"/>
                <w:b/>
                <w:bCs/>
                <w:kern w:val="0"/>
                <w:sz w:val="24"/>
              </w:rPr>
              <w:t>实际投资</w:t>
            </w:r>
          </w:p>
          <w:p>
            <w:pPr>
              <w:widowControl/>
              <w:jc w:val="center"/>
              <w:rPr>
                <w:rFonts w:ascii="宋体" w:hAnsi="宋体" w:cs="宋体"/>
                <w:b/>
                <w:bCs/>
                <w:kern w:val="0"/>
                <w:sz w:val="24"/>
              </w:rPr>
            </w:pPr>
            <w:r>
              <w:rPr>
                <w:rFonts w:hint="eastAsia" w:ascii="宋体" w:hAnsi="宋体" w:cs="宋体"/>
                <w:b/>
                <w:bCs/>
                <w:kern w:val="0"/>
                <w:sz w:val="24"/>
              </w:rPr>
              <w:t>（万元）</w:t>
            </w:r>
          </w:p>
        </w:tc>
        <w:tc>
          <w:tcPr>
            <w:tcW w:w="119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投资概算控制率</w:t>
            </w:r>
          </w:p>
        </w:tc>
      </w:tr>
      <w:tr>
        <w:tblPrEx>
          <w:tblCellMar>
            <w:top w:w="0" w:type="dxa"/>
            <w:left w:w="108" w:type="dxa"/>
            <w:bottom w:w="0" w:type="dxa"/>
            <w:right w:w="108" w:type="dxa"/>
          </w:tblCellMar>
        </w:tblPrEx>
        <w:trPr>
          <w:trHeight w:val="177" w:hRule="atLeast"/>
          <w:jc w:val="center"/>
        </w:trPr>
        <w:tc>
          <w:tcPr>
            <w:tcW w:w="35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19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98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31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25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00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9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厉行节约保障措施</w:t>
            </w:r>
          </w:p>
        </w:tc>
        <w:tc>
          <w:tcPr>
            <w:tcW w:w="6940" w:type="dxa"/>
            <w:gridSpan w:val="6"/>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700" w:hRule="atLeast"/>
          <w:jc w:val="center"/>
        </w:trPr>
        <w:tc>
          <w:tcPr>
            <w:tcW w:w="10490" w:type="dxa"/>
            <w:gridSpan w:val="7"/>
            <w:tcBorders>
              <w:top w:val="single" w:color="auto" w:sz="4" w:space="0"/>
              <w:left w:val="nil"/>
              <w:bottom w:val="nil"/>
              <w:right w:val="nil"/>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说明：“项目支出”需要填报除专项资金和基本支出以外的所有项目情况，包括业务工作项目、运行维护项目等；“公用经费”填报基本支出中的一般商品和服务支出。</w:t>
            </w:r>
          </w:p>
        </w:tc>
      </w:tr>
    </w:tbl>
    <w:p>
      <w:pPr>
        <w:rPr>
          <w:rFonts w:hint="eastAsia"/>
        </w:rPr>
      </w:pPr>
      <w:r>
        <w:rPr>
          <w:rFonts w:hint="eastAsia"/>
        </w:rPr>
        <w:t xml:space="preserve"> </w:t>
      </w:r>
    </w:p>
    <w:p>
      <w:pPr>
        <w:rPr>
          <w:rFonts w:hint="eastAsia"/>
        </w:rPr>
      </w:pPr>
    </w:p>
    <w:p>
      <w:pPr>
        <w:rPr>
          <w:rFonts w:hint="eastAsia"/>
          <w:sz w:val="30"/>
          <w:szCs w:val="30"/>
        </w:rPr>
      </w:pPr>
      <w:r>
        <w:rPr>
          <w:rFonts w:hint="eastAsia" w:ascii="黑体" w:hAnsi="宋体" w:eastAsia="黑体" w:cs="宋体"/>
          <w:kern w:val="0"/>
          <w:sz w:val="32"/>
          <w:szCs w:val="32"/>
        </w:rPr>
        <w:t>附件3</w:t>
      </w:r>
    </w:p>
    <w:p>
      <w:pPr>
        <w:jc w:val="center"/>
        <w:rPr>
          <w:rFonts w:hint="eastAsia" w:ascii="Times New Roman" w:hAnsi="Times New Roman"/>
          <w:b/>
          <w:sz w:val="32"/>
          <w:szCs w:val="32"/>
        </w:rPr>
      </w:pPr>
      <w:r>
        <w:rPr>
          <w:rFonts w:hint="eastAsia" w:ascii="Times New Roman" w:hAnsi="Times New Roman"/>
          <w:b/>
          <w:sz w:val="32"/>
          <w:szCs w:val="32"/>
        </w:rPr>
        <w:t xml:space="preserve">部门整体支出绩效报告 </w:t>
      </w:r>
    </w:p>
    <w:p>
      <w:pPr>
        <w:pStyle w:val="3"/>
        <w:rPr>
          <w:rFonts w:hint="eastAsia" w:ascii="Times New Roman" w:hAnsi="Times New Roman"/>
        </w:rPr>
      </w:pPr>
    </w:p>
    <w:p>
      <w:pPr>
        <w:ind w:firstLine="753" w:firstLineChars="250"/>
        <w:rPr>
          <w:rFonts w:hint="eastAsia" w:ascii="Times New Roman" w:hAnsi="Times New Roman" w:eastAsia="仿宋_GB2312"/>
          <w:b/>
          <w:sz w:val="30"/>
          <w:szCs w:val="30"/>
        </w:rPr>
      </w:pPr>
      <w:r>
        <w:rPr>
          <w:rFonts w:hint="eastAsia" w:ascii="Times New Roman" w:hAnsi="Times New Roman" w:eastAsia="仿宋_GB2312"/>
          <w:b/>
          <w:sz w:val="30"/>
          <w:szCs w:val="30"/>
        </w:rPr>
        <w:t xml:space="preserve">一、部门概况 </w:t>
      </w:r>
    </w:p>
    <w:p>
      <w:pPr>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（一）部门基本情况</w:t>
      </w:r>
    </w:p>
    <w:p>
      <w:pPr>
        <w:ind w:firstLine="600" w:firstLineChars="200"/>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1、人员情况</w:t>
      </w:r>
    </w:p>
    <w:p>
      <w:pPr>
        <w:ind w:firstLine="600" w:firstLineChars="200"/>
        <w:rPr>
          <w:rFonts w:hint="eastAsia" w:ascii="Times New Roman" w:hAnsi="Times New Roman" w:eastAsia="仿宋_GB2312"/>
          <w:sz w:val="30"/>
          <w:szCs w:val="30"/>
          <w:highlight w:val="none"/>
          <w:lang w:val="en-US" w:eastAsia="zh-CN"/>
        </w:rPr>
      </w:pPr>
      <w:r>
        <w:rPr>
          <w:rFonts w:hint="eastAsia" w:ascii="Times New Roman" w:hAnsi="Times New Roman" w:eastAsia="仿宋_GB2312"/>
          <w:sz w:val="30"/>
          <w:szCs w:val="30"/>
          <w:highlight w:val="none"/>
          <w:lang w:val="en-US" w:eastAsia="zh-CN"/>
        </w:rPr>
        <w:t>雨花区环卫中心编制数114人，在职人员96名，退休职工171名。与2020年相比，在职人员共增加1名，其中退伍安置增加3人，公开招聘增加3人，到龄退休减少5人。临聘人员因流动性较强，每月变动较大，截止2021年12月31日止，共计1910名。</w:t>
      </w:r>
    </w:p>
    <w:p>
      <w:pPr>
        <w:numPr>
          <w:ilvl w:val="0"/>
          <w:numId w:val="1"/>
        </w:numPr>
        <w:ind w:firstLine="600" w:firstLineChars="200"/>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机构设置</w:t>
      </w:r>
    </w:p>
    <w:p>
      <w:pPr>
        <w:widowControl/>
        <w:shd w:val="clear" w:color="auto" w:fill="FFFFFF"/>
        <w:spacing w:line="432" w:lineRule="auto"/>
        <w:ind w:firstLine="600" w:firstLineChars="200"/>
        <w:jc w:val="left"/>
        <w:rPr>
          <w:rFonts w:hint="eastAsia" w:ascii="Times New Roman" w:hAnsi="Times New Roman" w:eastAsia="仿宋_GB2312" w:cs="宋体"/>
          <w:b/>
          <w:color w:val="000000"/>
          <w:kern w:val="0"/>
          <w:sz w:val="30"/>
          <w:szCs w:val="30"/>
        </w:rPr>
      </w:pPr>
      <w:r>
        <w:rPr>
          <w:rFonts w:hint="eastAsia" w:ascii="Times New Roman" w:hAnsi="Times New Roman" w:eastAsia="仿宋_GB2312"/>
          <w:sz w:val="30"/>
          <w:szCs w:val="30"/>
          <w:lang w:eastAsia="zh-CN"/>
        </w:rPr>
        <w:t>本单位设有中心办公室、人事室、环卫业务室（网格化中心）、计财室、基础设施室、安技室共</w:t>
      </w:r>
      <w:r>
        <w:rPr>
          <w:rFonts w:hint="eastAsia" w:ascii="Times New Roman" w:hAnsi="Times New Roman" w:eastAsia="仿宋_GB2312"/>
          <w:sz w:val="30"/>
          <w:szCs w:val="30"/>
          <w:lang w:val="en-US" w:eastAsia="zh-CN"/>
        </w:rPr>
        <w:t>6个中心机关科室以</w:t>
      </w:r>
      <w:r>
        <w:rPr>
          <w:rFonts w:hint="eastAsia" w:ascii="Times New Roman" w:hAnsi="Times New Roman" w:eastAsia="仿宋_GB2312"/>
          <w:sz w:val="30"/>
          <w:szCs w:val="30"/>
        </w:rPr>
        <w:t>及下辖</w:t>
      </w:r>
      <w:r>
        <w:rPr>
          <w:rFonts w:hint="eastAsia" w:ascii="Times New Roman" w:hAnsi="Times New Roman" w:eastAsia="仿宋_GB2312"/>
          <w:sz w:val="30"/>
          <w:szCs w:val="30"/>
          <w:lang w:eastAsia="zh-CN"/>
        </w:rPr>
        <w:t>的</w:t>
      </w:r>
      <w:r>
        <w:rPr>
          <w:rFonts w:hint="eastAsia" w:ascii="Times New Roman" w:hAnsi="Times New Roman" w:eastAsia="仿宋_GB2312"/>
          <w:sz w:val="30"/>
          <w:szCs w:val="30"/>
        </w:rPr>
        <w:t>左家塘、侯家塘、砂子塘、东塘、圭塘、雨花亭、井湾子、洞井、高桥</w:t>
      </w:r>
      <w:r>
        <w:rPr>
          <w:rFonts w:hint="eastAsia" w:ascii="Times New Roman" w:hAnsi="Times New Roman" w:eastAsia="仿宋_GB2312"/>
          <w:sz w:val="30"/>
          <w:szCs w:val="30"/>
          <w:lang w:eastAsia="zh-CN"/>
        </w:rPr>
        <w:t>等</w:t>
      </w:r>
      <w:r>
        <w:rPr>
          <w:rFonts w:hint="eastAsia" w:ascii="Times New Roman" w:hAnsi="Times New Roman" w:eastAsia="仿宋_GB2312"/>
          <w:sz w:val="30"/>
          <w:szCs w:val="30"/>
          <w:lang w:val="en-US" w:eastAsia="zh-CN"/>
        </w:rPr>
        <w:t>13</w:t>
      </w:r>
      <w:r>
        <w:rPr>
          <w:rFonts w:hint="eastAsia" w:ascii="Times New Roman" w:hAnsi="Times New Roman" w:eastAsia="仿宋_GB2312"/>
          <w:sz w:val="30"/>
          <w:szCs w:val="30"/>
        </w:rPr>
        <w:t>个</w:t>
      </w:r>
      <w:r>
        <w:rPr>
          <w:rFonts w:hint="eastAsia" w:ascii="Times New Roman" w:hAnsi="Times New Roman" w:eastAsia="仿宋_GB2312"/>
          <w:sz w:val="30"/>
          <w:szCs w:val="30"/>
          <w:lang w:eastAsia="zh-CN"/>
        </w:rPr>
        <w:t>环卫所</w:t>
      </w:r>
      <w:r>
        <w:rPr>
          <w:rFonts w:hint="eastAsia" w:ascii="Times New Roman" w:hAnsi="Times New Roman" w:eastAsia="仿宋_GB2312"/>
          <w:sz w:val="30"/>
          <w:szCs w:val="30"/>
        </w:rPr>
        <w:t>。下属</w:t>
      </w:r>
      <w:r>
        <w:rPr>
          <w:rFonts w:hint="eastAsia" w:ascii="Times New Roman" w:hAnsi="Times New Roman" w:eastAsia="仿宋_GB2312"/>
          <w:sz w:val="30"/>
          <w:szCs w:val="30"/>
          <w:lang w:val="en-US" w:eastAsia="zh-CN"/>
        </w:rPr>
        <w:t>13</w:t>
      </w:r>
      <w:r>
        <w:rPr>
          <w:rFonts w:hint="eastAsia" w:ascii="Times New Roman" w:hAnsi="Times New Roman" w:eastAsia="仿宋_GB2312"/>
          <w:sz w:val="30"/>
          <w:szCs w:val="30"/>
        </w:rPr>
        <w:t>个</w:t>
      </w:r>
      <w:r>
        <w:rPr>
          <w:rFonts w:hint="eastAsia" w:ascii="Times New Roman" w:hAnsi="Times New Roman" w:eastAsia="仿宋_GB2312"/>
          <w:sz w:val="30"/>
          <w:szCs w:val="30"/>
          <w:lang w:eastAsia="zh-CN"/>
        </w:rPr>
        <w:t>环卫所</w:t>
      </w:r>
      <w:r>
        <w:rPr>
          <w:rFonts w:hint="eastAsia" w:ascii="Times New Roman" w:hAnsi="Times New Roman" w:eastAsia="仿宋_GB2312"/>
          <w:sz w:val="30"/>
          <w:szCs w:val="30"/>
        </w:rPr>
        <w:t>不进行独立</w:t>
      </w:r>
      <w:r>
        <w:rPr>
          <w:rFonts w:hint="eastAsia" w:ascii="Times New Roman" w:hAnsi="Times New Roman" w:eastAsia="仿宋_GB2312"/>
          <w:sz w:val="30"/>
          <w:szCs w:val="30"/>
          <w:lang w:eastAsia="zh-CN"/>
        </w:rPr>
        <w:t>报账</w:t>
      </w:r>
      <w:r>
        <w:rPr>
          <w:rFonts w:hint="eastAsia" w:ascii="Times New Roman" w:hAnsi="Times New Roman" w:eastAsia="仿宋_GB2312"/>
          <w:sz w:val="30"/>
          <w:szCs w:val="30"/>
        </w:rPr>
        <w:t>，并入环卫</w:t>
      </w:r>
      <w:r>
        <w:rPr>
          <w:rFonts w:hint="eastAsia" w:ascii="Times New Roman" w:hAnsi="Times New Roman" w:eastAsia="仿宋_GB2312"/>
          <w:sz w:val="30"/>
          <w:szCs w:val="30"/>
          <w:lang w:eastAsia="zh-CN"/>
        </w:rPr>
        <w:t>中心</w:t>
      </w:r>
      <w:r>
        <w:rPr>
          <w:rFonts w:hint="eastAsia" w:ascii="Times New Roman" w:hAnsi="Times New Roman" w:eastAsia="仿宋_GB2312"/>
          <w:sz w:val="30"/>
          <w:szCs w:val="30"/>
        </w:rPr>
        <w:t>本级统一进行</w:t>
      </w:r>
      <w:r>
        <w:rPr>
          <w:rFonts w:hint="eastAsia" w:ascii="Times New Roman" w:hAnsi="Times New Roman" w:eastAsia="仿宋_GB2312"/>
          <w:sz w:val="30"/>
          <w:szCs w:val="30"/>
          <w:lang w:eastAsia="zh-CN"/>
        </w:rPr>
        <w:t>国库集中支付。</w:t>
      </w:r>
    </w:p>
    <w:p>
      <w:pPr>
        <w:widowControl/>
        <w:numPr>
          <w:ilvl w:val="0"/>
          <w:numId w:val="1"/>
        </w:numPr>
        <w:shd w:val="clear" w:color="auto" w:fill="FFFFFF"/>
        <w:spacing w:line="432" w:lineRule="auto"/>
        <w:ind w:left="0" w:leftChars="0" w:firstLine="600" w:firstLineChars="200"/>
        <w:jc w:val="left"/>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主要职能</w:t>
      </w:r>
    </w:p>
    <w:p>
      <w:pPr>
        <w:widowControl/>
        <w:shd w:val="clear" w:color="auto" w:fill="FFFFFF"/>
        <w:spacing w:line="432" w:lineRule="auto"/>
        <w:ind w:firstLine="480"/>
        <w:jc w:val="left"/>
        <w:rPr>
          <w:rFonts w:hint="eastAsia"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lang w:eastAsia="zh-CN"/>
        </w:rPr>
        <w:t>本单位</w:t>
      </w:r>
      <w:r>
        <w:rPr>
          <w:rFonts w:hint="eastAsia" w:ascii="Times New Roman" w:hAnsi="Times New Roman" w:eastAsia="仿宋_GB2312" w:cs="宋体"/>
          <w:color w:val="000000"/>
          <w:kern w:val="0"/>
          <w:sz w:val="30"/>
          <w:szCs w:val="30"/>
        </w:rPr>
        <w:t>是直接为市民创造优质环境的服务单位，是雨花区经济建设和城市管理的窗口单位，我</w:t>
      </w:r>
      <w:r>
        <w:rPr>
          <w:rFonts w:hint="eastAsia" w:ascii="Times New Roman" w:hAnsi="Times New Roman" w:eastAsia="仿宋_GB2312" w:cs="宋体"/>
          <w:color w:val="000000"/>
          <w:kern w:val="0"/>
          <w:sz w:val="30"/>
          <w:szCs w:val="30"/>
          <w:lang w:val="en-US" w:eastAsia="zh-CN"/>
        </w:rPr>
        <w:t>单位</w:t>
      </w:r>
      <w:r>
        <w:rPr>
          <w:rFonts w:hint="eastAsia" w:ascii="Times New Roman" w:hAnsi="Times New Roman" w:eastAsia="仿宋_GB2312" w:cs="宋体"/>
          <w:color w:val="000000"/>
          <w:kern w:val="0"/>
          <w:sz w:val="30"/>
          <w:szCs w:val="30"/>
        </w:rPr>
        <w:t>全体职工本着“诚信、奉献、协作、进取”的雨花环卫精神，认真贯彻落实科学发展观，与时俱进，锐意创新，为服务雨花经济大局、深化洁净城市、实现“财富雨花”“品质雨花”“幸福雨花”和建设人民满意的文明城市拼搏、奉献！</w:t>
      </w:r>
    </w:p>
    <w:p>
      <w:pPr>
        <w:widowControl/>
        <w:numPr>
          <w:ilvl w:val="0"/>
          <w:numId w:val="1"/>
        </w:numPr>
        <w:shd w:val="clear" w:color="auto" w:fill="FFFFFF"/>
        <w:spacing w:line="432" w:lineRule="auto"/>
        <w:ind w:left="0" w:leftChars="0" w:firstLine="600" w:firstLineChars="200"/>
        <w:jc w:val="left"/>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重点工作计划</w:t>
      </w:r>
    </w:p>
    <w:p>
      <w:pPr>
        <w:widowControl/>
        <w:shd w:val="clear" w:color="auto" w:fill="FFFFFF"/>
        <w:spacing w:line="432" w:lineRule="auto"/>
        <w:ind w:firstLine="480"/>
        <w:jc w:val="left"/>
        <w:rPr>
          <w:rFonts w:hint="eastAsia" w:ascii="Times New Roman" w:hAnsi="Times New Roman" w:eastAsia="仿宋_GB2312" w:cs="宋体"/>
          <w:color w:val="000000"/>
          <w:kern w:val="0"/>
          <w:sz w:val="30"/>
          <w:szCs w:val="30"/>
          <w:lang w:eastAsia="zh-CN"/>
        </w:rPr>
      </w:pPr>
      <w:r>
        <w:rPr>
          <w:rFonts w:hint="eastAsia" w:ascii="Times New Roman" w:hAnsi="Times New Roman" w:eastAsia="仿宋_GB2312" w:cs="宋体"/>
          <w:color w:val="000000"/>
          <w:kern w:val="0"/>
          <w:sz w:val="30"/>
          <w:szCs w:val="30"/>
        </w:rPr>
        <w:t>贯彻执行</w:t>
      </w:r>
      <w:r>
        <w:rPr>
          <w:rFonts w:hint="eastAsia" w:ascii="Times New Roman" w:hAnsi="Times New Roman" w:eastAsia="仿宋_GB2312" w:cs="宋体"/>
          <w:color w:val="000000"/>
          <w:kern w:val="0"/>
          <w:sz w:val="30"/>
          <w:szCs w:val="30"/>
          <w:lang w:eastAsia="zh-CN"/>
        </w:rPr>
        <w:t>国家有关环境卫生工作的方针、政策和条例法规以及上级组织对本部门的要求、长沙市环卫维护业务的文件规定，本单位负责全区维护范围内的主次干道及绿化带清扫保洁、环卫基础设施维护、垃圾分类及垃圾运输工作。主要负责</w:t>
      </w:r>
      <w:r>
        <w:rPr>
          <w:rFonts w:hint="eastAsia" w:ascii="Times New Roman" w:hAnsi="Times New Roman" w:eastAsia="仿宋_GB2312" w:cs="宋体"/>
          <w:color w:val="000000"/>
          <w:kern w:val="0"/>
          <w:sz w:val="30"/>
          <w:szCs w:val="30"/>
          <w:lang w:val="en-US" w:eastAsia="zh-CN"/>
        </w:rPr>
        <w:t>984.13万</w:t>
      </w:r>
      <w:r>
        <w:rPr>
          <w:rFonts w:hint="eastAsia" w:ascii="Times New Roman" w:hAnsi="Times New Roman" w:eastAsia="仿宋_GB2312" w:cs="宋体"/>
          <w:color w:val="000000"/>
          <w:kern w:val="0"/>
          <w:sz w:val="30"/>
          <w:szCs w:val="30"/>
          <w:lang w:eastAsia="zh-CN"/>
        </w:rPr>
        <w:t>平方米的道路清扫，</w:t>
      </w:r>
      <w:r>
        <w:rPr>
          <w:rFonts w:hint="eastAsia" w:ascii="Times New Roman" w:hAnsi="Times New Roman" w:eastAsia="仿宋_GB2312" w:cs="宋体"/>
          <w:color w:val="000000"/>
          <w:kern w:val="0"/>
          <w:sz w:val="30"/>
          <w:szCs w:val="30"/>
          <w:lang w:val="en-US" w:eastAsia="zh-CN"/>
        </w:rPr>
        <w:t>380万平方米的跳马镇区域清扫保洁，113</w:t>
      </w:r>
      <w:r>
        <w:rPr>
          <w:rFonts w:hint="eastAsia" w:ascii="Times New Roman" w:hAnsi="Times New Roman" w:eastAsia="仿宋_GB2312" w:cs="宋体"/>
          <w:color w:val="000000"/>
          <w:kern w:val="0"/>
          <w:sz w:val="30"/>
          <w:szCs w:val="30"/>
          <w:lang w:eastAsia="zh-CN"/>
        </w:rPr>
        <w:t>座站厕清扫和</w:t>
      </w:r>
      <w:r>
        <w:rPr>
          <w:rFonts w:hint="eastAsia" w:ascii="Times New Roman" w:hAnsi="Times New Roman" w:eastAsia="仿宋_GB2312" w:cs="宋体"/>
          <w:color w:val="000000"/>
          <w:kern w:val="0"/>
          <w:sz w:val="30"/>
          <w:szCs w:val="30"/>
          <w:lang w:val="en-US" w:eastAsia="zh-CN"/>
        </w:rPr>
        <w:t>38</w:t>
      </w:r>
      <w:r>
        <w:rPr>
          <w:rFonts w:hint="eastAsia" w:ascii="Times New Roman" w:hAnsi="Times New Roman" w:eastAsia="仿宋_GB2312" w:cs="宋体"/>
          <w:color w:val="000000"/>
          <w:kern w:val="0"/>
          <w:sz w:val="30"/>
          <w:szCs w:val="30"/>
          <w:lang w:eastAsia="zh-CN"/>
        </w:rPr>
        <w:t>座人行通道清</w:t>
      </w:r>
      <w:r>
        <w:rPr>
          <w:rFonts w:hint="eastAsia" w:ascii="Times New Roman" w:hAnsi="Times New Roman" w:eastAsia="仿宋_GB2312" w:cs="宋体"/>
          <w:color w:val="000000"/>
          <w:kern w:val="0"/>
          <w:sz w:val="30"/>
          <w:szCs w:val="30"/>
          <w:lang w:val="en-US" w:eastAsia="zh-CN"/>
        </w:rPr>
        <w:t>扫以及</w:t>
      </w:r>
      <w:r>
        <w:rPr>
          <w:rFonts w:hint="eastAsia" w:ascii="Times New Roman" w:hAnsi="Times New Roman" w:eastAsia="仿宋_GB2312" w:cs="宋体"/>
          <w:color w:val="000000"/>
          <w:kern w:val="0"/>
          <w:sz w:val="30"/>
          <w:szCs w:val="30"/>
          <w:lang w:eastAsia="zh-CN"/>
        </w:rPr>
        <w:t>果皮筒等日常维护。</w:t>
      </w:r>
    </w:p>
    <w:p>
      <w:pPr>
        <w:numPr>
          <w:ilvl w:val="0"/>
          <w:numId w:val="2"/>
        </w:numPr>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 xml:space="preserve">部门整体支出规模、使用方向和主要内容、涉及范围等。 </w:t>
      </w:r>
    </w:p>
    <w:p>
      <w:pPr>
        <w:numPr>
          <w:ilvl w:val="0"/>
          <w:numId w:val="0"/>
        </w:numPr>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lang w:val="en-US" w:eastAsia="zh-CN"/>
        </w:rPr>
        <w:t>2021年度部门整体支</w:t>
      </w:r>
      <w:r>
        <w:rPr>
          <w:rFonts w:hint="eastAsia" w:ascii="Times New Roman" w:hAnsi="Times New Roman" w:eastAsia="仿宋_GB2312"/>
          <w:sz w:val="30"/>
          <w:szCs w:val="30"/>
          <w:highlight w:val="none"/>
          <w:lang w:val="en-US" w:eastAsia="zh-CN"/>
        </w:rPr>
        <w:t>出为23756.12万元</w:t>
      </w:r>
      <w:r>
        <w:rPr>
          <w:rFonts w:hint="eastAsia" w:ascii="Times New Roman" w:hAnsi="Times New Roman" w:eastAsia="仿宋_GB2312"/>
          <w:sz w:val="30"/>
          <w:szCs w:val="30"/>
          <w:lang w:val="en-US" w:eastAsia="zh-CN"/>
        </w:rPr>
        <w:t>，主要用于城乡社区环境卫生、其他城乡社区管理事务支出、其他城乡社区公共设施支出以及单位社会保险支出等，具体包括基本支出和项目支出。</w:t>
      </w:r>
      <w:r>
        <w:rPr>
          <w:rFonts w:hint="eastAsia" w:ascii="Times New Roman" w:hAnsi="Times New Roman" w:eastAsia="仿宋_GB2312"/>
          <w:sz w:val="30"/>
          <w:szCs w:val="30"/>
          <w:highlight w:val="none"/>
          <w:lang w:val="en-US" w:eastAsia="zh-CN"/>
        </w:rPr>
        <w:t>其中，基本支出主要涉及人员经费和公用经费，人员经费实际支出14919.23万元，公用经费实际支出为463.33万元。项目支出实际支出8373.56万元，主要包含道路站厕通道绿化带清扫</w:t>
      </w:r>
      <w:r>
        <w:rPr>
          <w:rFonts w:hint="eastAsia" w:ascii="Times New Roman" w:hAnsi="Times New Roman" w:eastAsia="仿宋_GB2312"/>
          <w:sz w:val="30"/>
          <w:szCs w:val="30"/>
          <w:lang w:val="en-US" w:eastAsia="zh-CN"/>
        </w:rPr>
        <w:t>维护经费（含交通隔离栏清洗维护及跳马镇一体化维护服务）、业务车辆运行经费、垃圾清运经费、业务车辆及专用设备购置经费、站厕建设工程款及配套设施采购。</w:t>
      </w:r>
    </w:p>
    <w:p>
      <w:pPr>
        <w:keepNext w:val="0"/>
        <w:keepLines w:val="0"/>
        <w:pageBreakBefore w:val="0"/>
        <w:widowControl w:val="0"/>
        <w:kinsoku/>
        <w:wordWrap/>
        <w:overflowPunct/>
        <w:topLinePunct w:val="0"/>
        <w:autoSpaceDE/>
        <w:autoSpaceDN/>
        <w:bidi w:val="0"/>
        <w:adjustRightInd/>
        <w:snapToGrid/>
        <w:spacing w:before="157" w:beforeLines="50"/>
        <w:ind w:firstLine="753" w:firstLineChars="250"/>
        <w:textAlignment w:val="auto"/>
        <w:rPr>
          <w:rFonts w:hint="eastAsia" w:ascii="Times New Roman" w:hAnsi="Times New Roman" w:eastAsia="仿宋_GB2312"/>
          <w:b/>
          <w:sz w:val="30"/>
          <w:szCs w:val="30"/>
        </w:rPr>
      </w:pPr>
      <w:r>
        <w:rPr>
          <w:rFonts w:hint="eastAsia" w:ascii="Times New Roman" w:hAnsi="Times New Roman" w:eastAsia="仿宋_GB2312"/>
          <w:b/>
          <w:sz w:val="30"/>
          <w:szCs w:val="30"/>
        </w:rPr>
        <w:t xml:space="preserve">二、部门整体支出管理及使用情况 </w:t>
      </w:r>
    </w:p>
    <w:p>
      <w:pPr>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（一）基本支出</w:t>
      </w:r>
    </w:p>
    <w:p>
      <w:pPr>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 xml:space="preserve"> </w:t>
      </w:r>
      <w:r>
        <w:rPr>
          <w:rFonts w:hint="eastAsia" w:ascii="Times New Roman" w:hAnsi="Times New Roman" w:eastAsia="仿宋_GB2312"/>
          <w:sz w:val="30"/>
          <w:szCs w:val="30"/>
          <w:lang w:eastAsia="zh-CN"/>
        </w:rPr>
        <w:t>基本支出主要包含人员经费和公用经费。其中，人员经费实际支出</w:t>
      </w:r>
      <w:r>
        <w:rPr>
          <w:rFonts w:hint="eastAsia" w:ascii="Times New Roman" w:hAnsi="Times New Roman" w:eastAsia="仿宋_GB2312"/>
          <w:sz w:val="30"/>
          <w:szCs w:val="30"/>
          <w:highlight w:val="none"/>
          <w:lang w:val="en-US" w:eastAsia="zh-CN"/>
        </w:rPr>
        <w:t>14919.23</w:t>
      </w:r>
      <w:r>
        <w:rPr>
          <w:rFonts w:hint="eastAsia" w:ascii="Times New Roman" w:hAnsi="Times New Roman" w:eastAsia="仿宋_GB2312"/>
          <w:sz w:val="30"/>
          <w:szCs w:val="30"/>
          <w:lang w:val="en-US" w:eastAsia="zh-CN"/>
        </w:rPr>
        <w:t>万元，主要</w:t>
      </w:r>
      <w:r>
        <w:rPr>
          <w:rFonts w:hint="eastAsia" w:ascii="Times New Roman" w:hAnsi="Times New Roman" w:eastAsia="仿宋_GB2312"/>
          <w:sz w:val="30"/>
          <w:szCs w:val="30"/>
          <w:lang w:eastAsia="zh-CN"/>
        </w:rPr>
        <w:t>包含两个方面：一方面，包含正式职工、临聘维护人员的基本工资、绩效工资、津补贴、奖金、住房公积金和社会保障缴费等其他工资福利支出；另一方面，人员经费也包含了退休职工的生活补助、独生子女奖励金、慰问费等其他对个人和家庭的补助支出。公用经费实际支出为</w:t>
      </w:r>
      <w:r>
        <w:rPr>
          <w:rFonts w:hint="eastAsia" w:ascii="Times New Roman" w:hAnsi="Times New Roman" w:eastAsia="仿宋_GB2312"/>
          <w:sz w:val="30"/>
          <w:szCs w:val="30"/>
          <w:highlight w:val="none"/>
          <w:lang w:val="en-US" w:eastAsia="zh-CN"/>
        </w:rPr>
        <w:t>463.33</w:t>
      </w:r>
      <w:r>
        <w:rPr>
          <w:rFonts w:hint="eastAsia" w:ascii="Times New Roman" w:hAnsi="Times New Roman" w:eastAsia="仿宋_GB2312"/>
          <w:sz w:val="30"/>
          <w:szCs w:val="30"/>
          <w:lang w:val="en-US" w:eastAsia="zh-CN"/>
        </w:rPr>
        <w:t>万元，主要包括办公费、</w:t>
      </w:r>
      <w:r>
        <w:rPr>
          <w:rFonts w:hint="eastAsia" w:ascii="Times New Roman" w:hAnsi="Times New Roman" w:eastAsia="仿宋_GB2312" w:cs="仿宋_GB2312"/>
          <w:sz w:val="30"/>
          <w:szCs w:val="30"/>
          <w:lang w:eastAsia="zh-CN"/>
        </w:rPr>
        <w:t>印刷费、</w:t>
      </w:r>
      <w:r>
        <w:rPr>
          <w:rFonts w:hint="eastAsia" w:ascii="Times New Roman" w:hAnsi="Times New Roman" w:eastAsia="仿宋_GB2312" w:cs="仿宋_GB2312"/>
          <w:sz w:val="30"/>
          <w:szCs w:val="30"/>
        </w:rPr>
        <w:t>邮电费、</w:t>
      </w:r>
      <w:r>
        <w:rPr>
          <w:rFonts w:hint="eastAsia" w:ascii="Times New Roman" w:hAnsi="Times New Roman" w:eastAsia="仿宋_GB2312"/>
          <w:sz w:val="30"/>
          <w:szCs w:val="30"/>
          <w:lang w:val="en-US" w:eastAsia="zh-CN"/>
        </w:rPr>
        <w:t>办公用水电费、租赁费、办公设备购置、委托业务费、培训费、工会经费、公务招待费和公务用车运行维护费、伙食费及物业补贴等行政办公支出。其中公务招待费为</w:t>
      </w:r>
      <w:r>
        <w:rPr>
          <w:rFonts w:hint="eastAsia" w:ascii="Times New Roman" w:hAnsi="Times New Roman" w:eastAsia="仿宋_GB2312"/>
          <w:sz w:val="30"/>
          <w:szCs w:val="30"/>
          <w:highlight w:val="none"/>
          <w:lang w:val="en-US" w:eastAsia="zh-CN"/>
        </w:rPr>
        <w:t>675元，公务用车运行维护经费为0元，</w:t>
      </w:r>
      <w:r>
        <w:rPr>
          <w:rFonts w:hint="eastAsia" w:ascii="Times New Roman" w:hAnsi="Times New Roman" w:eastAsia="仿宋_GB2312"/>
          <w:sz w:val="30"/>
          <w:szCs w:val="30"/>
          <w:highlight w:val="none"/>
        </w:rPr>
        <w:t>“</w:t>
      </w:r>
      <w:r>
        <w:rPr>
          <w:rFonts w:hint="eastAsia" w:ascii="Times New Roman" w:hAnsi="Times New Roman" w:eastAsia="仿宋_GB2312"/>
          <w:sz w:val="30"/>
          <w:szCs w:val="30"/>
        </w:rPr>
        <w:t>三公”经费</w:t>
      </w:r>
      <w:r>
        <w:rPr>
          <w:rFonts w:hint="eastAsia" w:ascii="Times New Roman" w:hAnsi="Times New Roman" w:eastAsia="仿宋_GB2312"/>
          <w:sz w:val="30"/>
          <w:szCs w:val="30"/>
          <w:lang w:eastAsia="zh-CN"/>
        </w:rPr>
        <w:t>由</w:t>
      </w:r>
      <w:r>
        <w:rPr>
          <w:rFonts w:hint="eastAsia" w:ascii="Times New Roman" w:hAnsi="Times New Roman" w:eastAsia="仿宋_GB2312"/>
          <w:sz w:val="30"/>
          <w:szCs w:val="30"/>
          <w:lang w:val="en-US" w:eastAsia="zh-CN"/>
        </w:rPr>
        <w:t>计财室</w:t>
      </w:r>
      <w:r>
        <w:rPr>
          <w:rFonts w:hint="eastAsia" w:ascii="Times New Roman" w:hAnsi="Times New Roman" w:eastAsia="仿宋_GB2312"/>
          <w:sz w:val="30"/>
          <w:szCs w:val="30"/>
          <w:lang w:eastAsia="zh-CN"/>
        </w:rPr>
        <w:t>按月统计并报</w:t>
      </w:r>
      <w:r>
        <w:rPr>
          <w:rFonts w:hint="eastAsia" w:ascii="Times New Roman" w:hAnsi="Times New Roman" w:eastAsia="仿宋_GB2312"/>
          <w:sz w:val="30"/>
          <w:szCs w:val="30"/>
          <w:lang w:val="en-US" w:eastAsia="zh-CN"/>
        </w:rPr>
        <w:t>中心主任</w:t>
      </w:r>
      <w:r>
        <w:rPr>
          <w:rFonts w:hint="eastAsia" w:ascii="Times New Roman" w:hAnsi="Times New Roman" w:eastAsia="仿宋_GB2312"/>
          <w:sz w:val="30"/>
          <w:szCs w:val="30"/>
          <w:lang w:eastAsia="zh-CN"/>
        </w:rPr>
        <w:t>签字审核，公车使用严格按照公车使用规章条例执行并公示，对违规现象及时进行惩处并通报。</w:t>
      </w:r>
    </w:p>
    <w:p>
      <w:pPr>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 xml:space="preserve">（二）专项支出 </w:t>
      </w:r>
    </w:p>
    <w:p>
      <w:pPr>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1、专项资金（包括财政资金、自筹资金等）安排落实、总投入等情况分析。</w:t>
      </w:r>
    </w:p>
    <w:p>
      <w:pPr>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lang w:val="en-US" w:eastAsia="zh-CN"/>
        </w:rPr>
        <w:t>我单位资金全部为财政拨</w:t>
      </w:r>
      <w:r>
        <w:rPr>
          <w:rFonts w:hint="eastAsia" w:ascii="Times New Roman" w:hAnsi="Times New Roman" w:eastAsia="仿宋_GB2312"/>
          <w:sz w:val="30"/>
          <w:szCs w:val="30"/>
          <w:highlight w:val="none"/>
          <w:lang w:val="en-US" w:eastAsia="zh-CN"/>
        </w:rPr>
        <w:t>款，上年结余602.71万元，</w:t>
      </w:r>
      <w:r>
        <w:rPr>
          <w:rFonts w:hint="eastAsia" w:ascii="Times New Roman" w:hAnsi="Times New Roman" w:eastAsia="仿宋_GB2312"/>
          <w:sz w:val="30"/>
          <w:szCs w:val="30"/>
          <w:lang w:val="en-US" w:eastAsia="zh-CN"/>
        </w:rPr>
        <w:t>当年预算内资金</w:t>
      </w:r>
      <w:r>
        <w:rPr>
          <w:rFonts w:hint="eastAsia" w:ascii="Times New Roman" w:hAnsi="Times New Roman" w:eastAsia="仿宋_GB2312"/>
          <w:sz w:val="30"/>
          <w:szCs w:val="30"/>
          <w:highlight w:val="none"/>
          <w:lang w:val="en-US" w:eastAsia="zh-CN"/>
        </w:rPr>
        <w:t>为23153.41万</w:t>
      </w:r>
      <w:r>
        <w:rPr>
          <w:rFonts w:hint="eastAsia" w:ascii="Times New Roman" w:hAnsi="Times New Roman" w:eastAsia="仿宋_GB2312"/>
          <w:sz w:val="30"/>
          <w:szCs w:val="30"/>
          <w:lang w:val="en-US" w:eastAsia="zh-CN"/>
        </w:rPr>
        <w:t>元，总</w:t>
      </w:r>
      <w:r>
        <w:rPr>
          <w:rFonts w:hint="eastAsia" w:ascii="Times New Roman" w:hAnsi="Times New Roman" w:eastAsia="仿宋_GB2312"/>
          <w:sz w:val="30"/>
          <w:szCs w:val="30"/>
          <w:highlight w:val="none"/>
          <w:lang w:val="en-US" w:eastAsia="zh-CN"/>
        </w:rPr>
        <w:t>投入资金为23756.12万元。所有资金均用于环卫工作的正常展开及维护支出。实际使用23756.12</w:t>
      </w:r>
      <w:r>
        <w:rPr>
          <w:rFonts w:hint="eastAsia" w:ascii="Times New Roman" w:hAnsi="Times New Roman" w:eastAsia="仿宋_GB2312"/>
          <w:sz w:val="30"/>
          <w:szCs w:val="30"/>
          <w:lang w:val="en-US" w:eastAsia="zh-CN"/>
        </w:rPr>
        <w:t>万元，当年无结余，资金使用率为100%，无挤占挪用及截留专项资金的情况。</w:t>
      </w:r>
    </w:p>
    <w:p>
      <w:pPr>
        <w:numPr>
          <w:ilvl w:val="0"/>
          <w:numId w:val="0"/>
        </w:numPr>
        <w:ind w:firstLine="600" w:firstLineChars="200"/>
        <w:rPr>
          <w:rFonts w:hint="eastAsia" w:ascii="Times New Roman" w:hAnsi="Times New Roman"/>
          <w:b w:val="0"/>
          <w:bCs/>
          <w:sz w:val="30"/>
          <w:szCs w:val="30"/>
        </w:rPr>
      </w:pPr>
      <w:r>
        <w:rPr>
          <w:rFonts w:hint="eastAsia" w:ascii="Times New Roman" w:hAnsi="Times New Roman" w:eastAsia="仿宋_GB2312"/>
          <w:sz w:val="30"/>
          <w:szCs w:val="30"/>
          <w:lang w:val="en-US" w:eastAsia="zh-CN"/>
        </w:rPr>
        <w:t>2、</w:t>
      </w:r>
      <w:r>
        <w:rPr>
          <w:rFonts w:hint="eastAsia" w:ascii="Times New Roman" w:hAnsi="Times New Roman" w:eastAsia="仿宋_GB2312"/>
          <w:sz w:val="30"/>
          <w:szCs w:val="30"/>
        </w:rPr>
        <w:t xml:space="preserve">专项资金（主要指财政资金）实际使用情况分析。 </w:t>
      </w:r>
      <w:r>
        <w:rPr>
          <w:rFonts w:hint="eastAsia" w:ascii="Times New Roman" w:hAnsi="Times New Roman"/>
          <w:b/>
          <w:sz w:val="36"/>
          <w:szCs w:val="36"/>
        </w:rPr>
        <w:t xml:space="preserve"> </w:t>
      </w:r>
    </w:p>
    <w:p>
      <w:pPr>
        <w:ind w:right="560"/>
        <w:jc w:val="center"/>
        <w:rPr>
          <w:rFonts w:hint="eastAsia" w:ascii="Times New Roman" w:hAnsi="Times New Roman"/>
          <w:b w:val="0"/>
          <w:bCs/>
          <w:sz w:val="36"/>
          <w:szCs w:val="36"/>
        </w:rPr>
      </w:pPr>
      <w:r>
        <w:rPr>
          <w:rFonts w:hint="eastAsia" w:ascii="Times New Roman" w:hAnsi="Times New Roman"/>
          <w:b w:val="0"/>
          <w:bCs/>
          <w:sz w:val="30"/>
          <w:szCs w:val="30"/>
        </w:rPr>
        <w:t xml:space="preserve"> 资金使用明细</w:t>
      </w:r>
      <w:r>
        <w:rPr>
          <w:rFonts w:hint="eastAsia" w:ascii="Times New Roman" w:hAnsi="Times New Roman"/>
          <w:b w:val="0"/>
          <w:bCs/>
          <w:sz w:val="30"/>
          <w:szCs w:val="30"/>
          <w:lang w:val="en-US" w:eastAsia="zh-CN"/>
        </w:rPr>
        <w:t>表</w:t>
      </w:r>
      <w:r>
        <w:rPr>
          <w:rFonts w:hint="eastAsia" w:ascii="Times New Roman" w:hAnsi="Times New Roman"/>
          <w:b w:val="0"/>
          <w:bCs/>
          <w:sz w:val="30"/>
          <w:szCs w:val="30"/>
        </w:rPr>
        <w:t xml:space="preserve">   </w:t>
      </w:r>
      <w:r>
        <w:rPr>
          <w:rFonts w:hint="eastAsia" w:ascii="Times New Roman" w:hAnsi="Times New Roman"/>
          <w:b w:val="0"/>
          <w:bCs/>
          <w:sz w:val="36"/>
          <w:szCs w:val="36"/>
        </w:rPr>
        <w:t xml:space="preserve">  </w:t>
      </w:r>
    </w:p>
    <w:p>
      <w:pPr>
        <w:keepNext w:val="0"/>
        <w:keepLines w:val="0"/>
        <w:pageBreakBefore w:val="0"/>
        <w:kinsoku/>
        <w:wordWrap/>
        <w:overflowPunct/>
        <w:topLinePunct w:val="0"/>
        <w:autoSpaceDE/>
        <w:autoSpaceDN/>
        <w:bidi w:val="0"/>
        <w:adjustRightInd/>
        <w:snapToGrid/>
        <w:spacing w:line="288" w:lineRule="auto"/>
        <w:ind w:right="560"/>
        <w:jc w:val="center"/>
        <w:rPr>
          <w:rFonts w:hint="eastAsia" w:ascii="Times New Roman" w:hAnsi="Times New Roman" w:eastAsia="宋体" w:cs="Times New Roman"/>
          <w:sz w:val="24"/>
          <w:szCs w:val="24"/>
        </w:rPr>
      </w:pPr>
      <w:r>
        <w:rPr>
          <w:rFonts w:hint="eastAsia" w:ascii="Times New Roman" w:hAnsi="Times New Roman"/>
          <w:b w:val="0"/>
          <w:bCs/>
          <w:sz w:val="36"/>
          <w:szCs w:val="36"/>
        </w:rPr>
        <w:t xml:space="preserve">                              </w:t>
      </w:r>
      <w:r>
        <w:rPr>
          <w:rFonts w:hint="eastAsia" w:ascii="Times New Roman" w:hAnsi="Times New Roman" w:eastAsia="宋体" w:cs="Times New Roman"/>
          <w:sz w:val="24"/>
          <w:szCs w:val="24"/>
        </w:rPr>
        <w:t xml:space="preserve">    单位：万元</w:t>
      </w:r>
    </w:p>
    <w:tbl>
      <w:tblPr>
        <w:tblStyle w:val="6"/>
        <w:tblpPr w:leftFromText="180" w:rightFromText="180" w:vertAnchor="text" w:tblpXSpec="center" w:tblpY="1"/>
        <w:tblOverlap w:val="never"/>
        <w:tblW w:w="46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
        <w:gridCol w:w="1188"/>
        <w:gridCol w:w="2985"/>
        <w:gridCol w:w="1615"/>
        <w:gridCol w:w="1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blHeader/>
          <w:jc w:val="center"/>
        </w:trPr>
        <w:tc>
          <w:tcPr>
            <w:tcW w:w="5079" w:type="dxa"/>
            <w:gridSpan w:val="3"/>
            <w:noWrap w:val="0"/>
            <w:vAlign w:val="center"/>
          </w:tcPr>
          <w:p>
            <w:pPr>
              <w:keepNext w:val="0"/>
              <w:keepLines w:val="0"/>
              <w:widowControl/>
              <w:suppressLineNumbers w:val="0"/>
              <w:jc w:val="center"/>
              <w:textAlignment w:val="center"/>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支出名称</w:t>
            </w:r>
          </w:p>
        </w:tc>
        <w:tc>
          <w:tcPr>
            <w:tcW w:w="1615" w:type="dxa"/>
            <w:noWrap w:val="0"/>
            <w:vAlign w:val="center"/>
          </w:tcPr>
          <w:p>
            <w:pPr>
              <w:keepNext w:val="0"/>
              <w:keepLines w:val="0"/>
              <w:widowControl/>
              <w:suppressLineNumbers w:val="0"/>
              <w:jc w:val="center"/>
              <w:textAlignment w:val="center"/>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金额</w:t>
            </w:r>
          </w:p>
        </w:tc>
        <w:tc>
          <w:tcPr>
            <w:tcW w:w="1918" w:type="dxa"/>
            <w:noWrap w:val="0"/>
            <w:vAlign w:val="center"/>
          </w:tcPr>
          <w:p>
            <w:pPr>
              <w:keepNext w:val="0"/>
              <w:keepLines w:val="0"/>
              <w:widowControl/>
              <w:suppressLineNumbers w:val="0"/>
              <w:jc w:val="center"/>
              <w:textAlignment w:val="center"/>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4" w:type="dxa"/>
            <w:gridSpan w:val="2"/>
            <w:vMerge w:val="restart"/>
            <w:noWrap w:val="0"/>
            <w:vAlign w:val="center"/>
          </w:tcPr>
          <w:p>
            <w:pPr>
              <w:keepNext w:val="0"/>
              <w:keepLines w:val="0"/>
              <w:widowControl/>
              <w:suppressLineNumbers w:val="0"/>
              <w:jc w:val="center"/>
              <w:textAlignment w:val="center"/>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工资福利支出</w:t>
            </w:r>
          </w:p>
        </w:tc>
        <w:tc>
          <w:tcPr>
            <w:tcW w:w="2985" w:type="dxa"/>
            <w:noWrap w:val="0"/>
            <w:vAlign w:val="center"/>
          </w:tcPr>
          <w:p>
            <w:pPr>
              <w:keepNext w:val="0"/>
              <w:keepLines w:val="0"/>
              <w:widowControl/>
              <w:suppressLineNumbers w:val="0"/>
              <w:jc w:val="both"/>
              <w:textAlignment w:val="top"/>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基本工资</w:t>
            </w:r>
          </w:p>
        </w:tc>
        <w:tc>
          <w:tcPr>
            <w:tcW w:w="161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339.61</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4" w:type="dxa"/>
            <w:gridSpan w:val="2"/>
            <w:vMerge w:val="continue"/>
            <w:noWrap w:val="0"/>
            <w:vAlign w:val="center"/>
          </w:tcPr>
          <w:p>
            <w:pPr>
              <w:jc w:val="center"/>
              <w:rPr>
                <w:rFonts w:hint="eastAsia" w:ascii="Times New Roman" w:hAnsi="Times New Roman"/>
                <w:sz w:val="24"/>
                <w:szCs w:val="24"/>
              </w:rPr>
            </w:pPr>
          </w:p>
        </w:tc>
        <w:tc>
          <w:tcPr>
            <w:tcW w:w="2985" w:type="dxa"/>
            <w:noWrap w:val="0"/>
            <w:vAlign w:val="center"/>
          </w:tcPr>
          <w:p>
            <w:pPr>
              <w:keepNext w:val="0"/>
              <w:keepLines w:val="0"/>
              <w:widowControl/>
              <w:suppressLineNumbers w:val="0"/>
              <w:jc w:val="both"/>
              <w:textAlignment w:val="top"/>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津贴补贴</w:t>
            </w:r>
          </w:p>
        </w:tc>
        <w:tc>
          <w:tcPr>
            <w:tcW w:w="161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1.53</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4" w:type="dxa"/>
            <w:gridSpan w:val="2"/>
            <w:vMerge w:val="continue"/>
            <w:noWrap w:val="0"/>
            <w:vAlign w:val="center"/>
          </w:tcPr>
          <w:p>
            <w:pPr>
              <w:jc w:val="center"/>
              <w:rPr>
                <w:rFonts w:hint="eastAsia" w:ascii="Times New Roman" w:hAnsi="Times New Roman"/>
                <w:sz w:val="24"/>
                <w:szCs w:val="24"/>
              </w:rPr>
            </w:pPr>
          </w:p>
        </w:tc>
        <w:tc>
          <w:tcPr>
            <w:tcW w:w="2985" w:type="dxa"/>
            <w:noWrap w:val="0"/>
            <w:vAlign w:val="center"/>
          </w:tcPr>
          <w:p>
            <w:pPr>
              <w:keepNext w:val="0"/>
              <w:keepLines w:val="0"/>
              <w:widowControl/>
              <w:suppressLineNumbers w:val="0"/>
              <w:jc w:val="both"/>
              <w:textAlignment w:val="top"/>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奖金</w:t>
            </w:r>
          </w:p>
        </w:tc>
        <w:tc>
          <w:tcPr>
            <w:tcW w:w="161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1317.59</w:t>
            </w:r>
          </w:p>
        </w:tc>
        <w:tc>
          <w:tcPr>
            <w:tcW w:w="1918" w:type="dxa"/>
            <w:noWrap w:val="0"/>
            <w:vAlign w:val="top"/>
          </w:tcPr>
          <w:p>
            <w:pPr>
              <w:jc w:val="both"/>
              <w:rPr>
                <w:rFonts w:hint="eastAsia" w:ascii="Times New Roman" w:hAnsi="Times New Roman" w:eastAsia="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4" w:type="dxa"/>
            <w:gridSpan w:val="2"/>
            <w:vMerge w:val="continue"/>
            <w:noWrap w:val="0"/>
            <w:vAlign w:val="center"/>
          </w:tcPr>
          <w:p>
            <w:pPr>
              <w:jc w:val="center"/>
              <w:rPr>
                <w:rFonts w:hint="eastAsia" w:ascii="Times New Roman" w:hAnsi="Times New Roman"/>
                <w:sz w:val="24"/>
                <w:szCs w:val="24"/>
              </w:rPr>
            </w:pPr>
          </w:p>
        </w:tc>
        <w:tc>
          <w:tcPr>
            <w:tcW w:w="2985" w:type="dxa"/>
            <w:noWrap w:val="0"/>
            <w:vAlign w:val="center"/>
          </w:tcPr>
          <w:p>
            <w:pPr>
              <w:keepNext w:val="0"/>
              <w:keepLines w:val="0"/>
              <w:widowControl/>
              <w:suppressLineNumbers w:val="0"/>
              <w:jc w:val="both"/>
              <w:textAlignment w:val="top"/>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社会保障缴费</w:t>
            </w:r>
          </w:p>
        </w:tc>
        <w:tc>
          <w:tcPr>
            <w:tcW w:w="161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363.92</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4" w:type="dxa"/>
            <w:gridSpan w:val="2"/>
            <w:vMerge w:val="continue"/>
            <w:noWrap w:val="0"/>
            <w:vAlign w:val="center"/>
          </w:tcPr>
          <w:p>
            <w:pPr>
              <w:jc w:val="center"/>
              <w:rPr>
                <w:rFonts w:hint="eastAsia" w:ascii="Times New Roman" w:hAnsi="Times New Roman"/>
                <w:sz w:val="24"/>
                <w:szCs w:val="24"/>
              </w:rPr>
            </w:pPr>
          </w:p>
        </w:tc>
        <w:tc>
          <w:tcPr>
            <w:tcW w:w="2985" w:type="dxa"/>
            <w:noWrap w:val="0"/>
            <w:vAlign w:val="center"/>
          </w:tcPr>
          <w:p>
            <w:pPr>
              <w:keepNext w:val="0"/>
              <w:keepLines w:val="0"/>
              <w:widowControl/>
              <w:suppressLineNumbers w:val="0"/>
              <w:jc w:val="both"/>
              <w:textAlignment w:val="top"/>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住房公积金</w:t>
            </w:r>
          </w:p>
        </w:tc>
        <w:tc>
          <w:tcPr>
            <w:tcW w:w="161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180.12</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4" w:type="dxa"/>
            <w:gridSpan w:val="2"/>
            <w:vMerge w:val="continue"/>
            <w:noWrap w:val="0"/>
            <w:vAlign w:val="center"/>
          </w:tcPr>
          <w:p>
            <w:pPr>
              <w:jc w:val="center"/>
              <w:rPr>
                <w:rFonts w:hint="eastAsia" w:ascii="Times New Roman" w:hAnsi="Times New Roman"/>
                <w:sz w:val="24"/>
                <w:szCs w:val="24"/>
              </w:rPr>
            </w:pPr>
          </w:p>
        </w:tc>
        <w:tc>
          <w:tcPr>
            <w:tcW w:w="2985" w:type="dxa"/>
            <w:noWrap w:val="0"/>
            <w:vAlign w:val="center"/>
          </w:tcPr>
          <w:p>
            <w:pPr>
              <w:keepNext w:val="0"/>
              <w:keepLines w:val="0"/>
              <w:widowControl/>
              <w:suppressLineNumbers w:val="0"/>
              <w:jc w:val="both"/>
              <w:textAlignment w:val="top"/>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绩效工资</w:t>
            </w:r>
          </w:p>
        </w:tc>
        <w:tc>
          <w:tcPr>
            <w:tcW w:w="161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309.45</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94" w:type="dxa"/>
            <w:gridSpan w:val="2"/>
            <w:vMerge w:val="continue"/>
            <w:noWrap w:val="0"/>
            <w:vAlign w:val="center"/>
          </w:tcPr>
          <w:p>
            <w:pPr>
              <w:jc w:val="center"/>
              <w:rPr>
                <w:rFonts w:hint="eastAsia" w:ascii="Times New Roman" w:hAnsi="Times New Roman"/>
                <w:sz w:val="24"/>
                <w:szCs w:val="24"/>
              </w:rPr>
            </w:pPr>
          </w:p>
        </w:tc>
        <w:tc>
          <w:tcPr>
            <w:tcW w:w="2985" w:type="dxa"/>
            <w:noWrap w:val="0"/>
            <w:vAlign w:val="center"/>
          </w:tcPr>
          <w:p>
            <w:pPr>
              <w:keepNext w:val="0"/>
              <w:keepLines w:val="0"/>
              <w:widowControl/>
              <w:suppressLineNumbers w:val="0"/>
              <w:jc w:val="both"/>
              <w:textAlignment w:val="top"/>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其他工资福利支出</w:t>
            </w:r>
          </w:p>
        </w:tc>
        <w:tc>
          <w:tcPr>
            <w:tcW w:w="161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11283.17</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4" w:type="dxa"/>
            <w:gridSpan w:val="2"/>
            <w:vMerge w:val="continue"/>
            <w:noWrap w:val="0"/>
            <w:vAlign w:val="center"/>
          </w:tcPr>
          <w:p>
            <w:pPr>
              <w:jc w:val="center"/>
              <w:rPr>
                <w:rFonts w:hint="eastAsia" w:ascii="Times New Roman" w:hAnsi="Times New Roman"/>
                <w:sz w:val="24"/>
                <w:szCs w:val="24"/>
              </w:rPr>
            </w:pPr>
          </w:p>
        </w:tc>
        <w:tc>
          <w:tcPr>
            <w:tcW w:w="2985" w:type="dxa"/>
            <w:noWrap w:val="0"/>
            <w:vAlign w:val="center"/>
          </w:tcPr>
          <w:p>
            <w:pPr>
              <w:keepNext w:val="0"/>
              <w:keepLines w:val="0"/>
              <w:widowControl/>
              <w:suppressLineNumbers w:val="0"/>
              <w:jc w:val="both"/>
              <w:textAlignment w:val="top"/>
              <w:rPr>
                <w:rFonts w:hint="eastAsia" w:ascii="Times New Roman" w:hAnsi="Times New Roman"/>
                <w:b/>
                <w:sz w:val="24"/>
                <w:szCs w:val="24"/>
              </w:rPr>
            </w:pPr>
            <w:r>
              <w:rPr>
                <w:rFonts w:hint="eastAsia" w:ascii="Times New Roman" w:hAnsi="Times New Roman" w:eastAsia="宋体" w:cs="宋体"/>
                <w:b/>
                <w:bCs/>
                <w:i w:val="0"/>
                <w:iCs w:val="0"/>
                <w:color w:val="000000"/>
                <w:kern w:val="0"/>
                <w:sz w:val="24"/>
                <w:szCs w:val="24"/>
                <w:u w:val="none"/>
                <w:lang w:val="en-US" w:eastAsia="zh-CN" w:bidi="ar"/>
              </w:rPr>
              <w:t>小计</w:t>
            </w:r>
          </w:p>
        </w:tc>
        <w:tc>
          <w:tcPr>
            <w:tcW w:w="1615" w:type="dxa"/>
            <w:noWrap w:val="0"/>
            <w:vAlign w:val="center"/>
          </w:tcPr>
          <w:p>
            <w:pPr>
              <w:keepNext w:val="0"/>
              <w:keepLines w:val="0"/>
              <w:widowControl/>
              <w:suppressLineNumbers w:val="0"/>
              <w:jc w:val="both"/>
              <w:textAlignment w:val="center"/>
              <w:rPr>
                <w:rFonts w:hint="default" w:ascii="Times New Roman" w:hAnsi="Times New Roman" w:eastAsia="宋体" w:cs="宋体"/>
                <w:b/>
                <w:bCs/>
                <w:i w:val="0"/>
                <w:iCs w:val="0"/>
                <w:color w:val="000000"/>
                <w:kern w:val="2"/>
                <w:sz w:val="24"/>
                <w:szCs w:val="24"/>
                <w:u w:val="none"/>
                <w:lang w:val="en-US" w:eastAsia="zh-CN" w:bidi="ar-SA"/>
              </w:rPr>
            </w:pPr>
            <w:r>
              <w:rPr>
                <w:rFonts w:hint="eastAsia" w:ascii="Times New Roman" w:hAnsi="Times New Roman" w:eastAsia="宋体" w:cs="宋体"/>
                <w:b/>
                <w:bCs/>
                <w:i w:val="0"/>
                <w:iCs w:val="0"/>
                <w:color w:val="000000"/>
                <w:kern w:val="0"/>
                <w:sz w:val="24"/>
                <w:szCs w:val="24"/>
                <w:u w:val="none"/>
                <w:lang w:val="en-US" w:eastAsia="zh-CN" w:bidi="ar"/>
              </w:rPr>
              <w:t>13795.39</w:t>
            </w:r>
          </w:p>
        </w:tc>
        <w:tc>
          <w:tcPr>
            <w:tcW w:w="1918" w:type="dxa"/>
            <w:noWrap w:val="0"/>
            <w:vAlign w:val="top"/>
          </w:tcPr>
          <w:p>
            <w:pPr>
              <w:jc w:val="both"/>
              <w:rPr>
                <w:rFonts w:hint="eastAsia" w:ascii="Times New Roman"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4" w:type="dxa"/>
            <w:gridSpan w:val="2"/>
            <w:vMerge w:val="restart"/>
            <w:noWrap w:val="0"/>
            <w:vAlign w:val="center"/>
          </w:tcPr>
          <w:p>
            <w:pPr>
              <w:keepNext w:val="0"/>
              <w:keepLines w:val="0"/>
              <w:widowControl/>
              <w:suppressLineNumbers w:val="0"/>
              <w:jc w:val="center"/>
              <w:textAlignment w:val="center"/>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商品和服务支出</w:t>
            </w:r>
          </w:p>
        </w:tc>
        <w:tc>
          <w:tcPr>
            <w:tcW w:w="2985" w:type="dxa"/>
            <w:noWrap w:val="0"/>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办公费</w:t>
            </w:r>
          </w:p>
        </w:tc>
        <w:tc>
          <w:tcPr>
            <w:tcW w:w="161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47.19</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4" w:type="dxa"/>
            <w:gridSpan w:val="2"/>
            <w:vMerge w:val="continue"/>
            <w:noWrap w:val="0"/>
            <w:vAlign w:val="center"/>
          </w:tcPr>
          <w:p>
            <w:pPr>
              <w:jc w:val="center"/>
              <w:rPr>
                <w:rFonts w:hint="eastAsia" w:ascii="Times New Roman" w:hAnsi="Times New Roman"/>
                <w:sz w:val="24"/>
                <w:szCs w:val="24"/>
              </w:rPr>
            </w:pPr>
          </w:p>
        </w:tc>
        <w:tc>
          <w:tcPr>
            <w:tcW w:w="2985" w:type="dxa"/>
            <w:noWrap w:val="0"/>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印刷费</w:t>
            </w:r>
          </w:p>
        </w:tc>
        <w:tc>
          <w:tcPr>
            <w:tcW w:w="161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2.61</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4" w:type="dxa"/>
            <w:gridSpan w:val="2"/>
            <w:vMerge w:val="continue"/>
            <w:noWrap w:val="0"/>
            <w:vAlign w:val="center"/>
          </w:tcPr>
          <w:p>
            <w:pPr>
              <w:jc w:val="center"/>
              <w:rPr>
                <w:rFonts w:hint="eastAsia" w:ascii="Times New Roman" w:hAnsi="Times New Roman"/>
                <w:sz w:val="24"/>
                <w:szCs w:val="24"/>
              </w:rPr>
            </w:pPr>
          </w:p>
        </w:tc>
        <w:tc>
          <w:tcPr>
            <w:tcW w:w="2985" w:type="dxa"/>
            <w:noWrap w:val="0"/>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水费</w:t>
            </w:r>
          </w:p>
        </w:tc>
        <w:tc>
          <w:tcPr>
            <w:tcW w:w="161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4.06</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94" w:type="dxa"/>
            <w:gridSpan w:val="2"/>
            <w:vMerge w:val="continue"/>
            <w:noWrap w:val="0"/>
            <w:vAlign w:val="center"/>
          </w:tcPr>
          <w:p>
            <w:pPr>
              <w:jc w:val="center"/>
              <w:rPr>
                <w:rFonts w:hint="eastAsia" w:ascii="Times New Roman" w:hAnsi="Times New Roman"/>
                <w:sz w:val="24"/>
                <w:szCs w:val="24"/>
              </w:rPr>
            </w:pPr>
          </w:p>
        </w:tc>
        <w:tc>
          <w:tcPr>
            <w:tcW w:w="2985" w:type="dxa"/>
            <w:noWrap w:val="0"/>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手续费</w:t>
            </w:r>
          </w:p>
        </w:tc>
        <w:tc>
          <w:tcPr>
            <w:tcW w:w="161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0</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4" w:type="dxa"/>
            <w:gridSpan w:val="2"/>
            <w:vMerge w:val="continue"/>
            <w:noWrap w:val="0"/>
            <w:vAlign w:val="center"/>
          </w:tcPr>
          <w:p>
            <w:pPr>
              <w:jc w:val="center"/>
              <w:rPr>
                <w:rFonts w:hint="eastAsia" w:ascii="Times New Roman" w:hAnsi="Times New Roman"/>
                <w:sz w:val="24"/>
                <w:szCs w:val="24"/>
              </w:rPr>
            </w:pPr>
          </w:p>
        </w:tc>
        <w:tc>
          <w:tcPr>
            <w:tcW w:w="2985" w:type="dxa"/>
            <w:noWrap w:val="0"/>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电费</w:t>
            </w:r>
          </w:p>
        </w:tc>
        <w:tc>
          <w:tcPr>
            <w:tcW w:w="161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4</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4" w:type="dxa"/>
            <w:gridSpan w:val="2"/>
            <w:vMerge w:val="continue"/>
            <w:noWrap w:val="0"/>
            <w:vAlign w:val="center"/>
          </w:tcPr>
          <w:p>
            <w:pPr>
              <w:jc w:val="center"/>
              <w:rPr>
                <w:rFonts w:hint="eastAsia" w:ascii="Times New Roman" w:hAnsi="Times New Roman"/>
                <w:sz w:val="24"/>
                <w:szCs w:val="24"/>
              </w:rPr>
            </w:pPr>
          </w:p>
        </w:tc>
        <w:tc>
          <w:tcPr>
            <w:tcW w:w="2985" w:type="dxa"/>
            <w:noWrap w:val="0"/>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邮电费</w:t>
            </w:r>
          </w:p>
        </w:tc>
        <w:tc>
          <w:tcPr>
            <w:tcW w:w="161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4.19</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4" w:type="dxa"/>
            <w:gridSpan w:val="2"/>
            <w:vMerge w:val="continue"/>
            <w:noWrap w:val="0"/>
            <w:vAlign w:val="center"/>
          </w:tcPr>
          <w:p>
            <w:pPr>
              <w:jc w:val="center"/>
              <w:rPr>
                <w:rFonts w:hint="eastAsia" w:ascii="Times New Roman" w:hAnsi="Times New Roman"/>
                <w:sz w:val="24"/>
                <w:szCs w:val="24"/>
              </w:rPr>
            </w:pPr>
          </w:p>
        </w:tc>
        <w:tc>
          <w:tcPr>
            <w:tcW w:w="2985" w:type="dxa"/>
            <w:noWrap w:val="0"/>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公务用车维护费</w:t>
            </w:r>
          </w:p>
        </w:tc>
        <w:tc>
          <w:tcPr>
            <w:tcW w:w="161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0</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4" w:type="dxa"/>
            <w:gridSpan w:val="2"/>
            <w:vMerge w:val="continue"/>
            <w:noWrap w:val="0"/>
            <w:vAlign w:val="center"/>
          </w:tcPr>
          <w:p>
            <w:pPr>
              <w:jc w:val="center"/>
              <w:rPr>
                <w:rFonts w:hint="eastAsia" w:ascii="Times New Roman" w:hAnsi="Times New Roman"/>
                <w:sz w:val="24"/>
                <w:szCs w:val="24"/>
              </w:rPr>
            </w:pPr>
          </w:p>
        </w:tc>
        <w:tc>
          <w:tcPr>
            <w:tcW w:w="2985" w:type="dxa"/>
            <w:noWrap w:val="0"/>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差旅费</w:t>
            </w:r>
          </w:p>
        </w:tc>
        <w:tc>
          <w:tcPr>
            <w:tcW w:w="161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0.44</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94" w:type="dxa"/>
            <w:gridSpan w:val="2"/>
            <w:vMerge w:val="continue"/>
            <w:noWrap w:val="0"/>
            <w:vAlign w:val="center"/>
          </w:tcPr>
          <w:p>
            <w:pPr>
              <w:jc w:val="center"/>
              <w:rPr>
                <w:rFonts w:hint="eastAsia" w:ascii="Times New Roman" w:hAnsi="Times New Roman"/>
                <w:sz w:val="24"/>
                <w:szCs w:val="24"/>
              </w:rPr>
            </w:pPr>
          </w:p>
        </w:tc>
        <w:tc>
          <w:tcPr>
            <w:tcW w:w="2985" w:type="dxa"/>
            <w:noWrap w:val="0"/>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2"/>
                <w:sz w:val="24"/>
                <w:szCs w:val="24"/>
                <w:highlight w:val="none"/>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维修费</w:t>
            </w:r>
          </w:p>
        </w:tc>
        <w:tc>
          <w:tcPr>
            <w:tcW w:w="161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highlight w:val="none"/>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4.9</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4" w:type="dxa"/>
            <w:gridSpan w:val="2"/>
            <w:vMerge w:val="continue"/>
            <w:noWrap w:val="0"/>
            <w:vAlign w:val="center"/>
          </w:tcPr>
          <w:p>
            <w:pPr>
              <w:jc w:val="center"/>
              <w:rPr>
                <w:rFonts w:hint="eastAsia" w:ascii="Times New Roman" w:hAnsi="Times New Roman"/>
                <w:sz w:val="24"/>
                <w:szCs w:val="24"/>
              </w:rPr>
            </w:pPr>
          </w:p>
        </w:tc>
        <w:tc>
          <w:tcPr>
            <w:tcW w:w="2985" w:type="dxa"/>
            <w:noWrap w:val="0"/>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租赁费</w:t>
            </w:r>
          </w:p>
        </w:tc>
        <w:tc>
          <w:tcPr>
            <w:tcW w:w="161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6.36</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4" w:type="dxa"/>
            <w:gridSpan w:val="2"/>
            <w:vMerge w:val="continue"/>
            <w:noWrap w:val="0"/>
            <w:vAlign w:val="center"/>
          </w:tcPr>
          <w:p>
            <w:pPr>
              <w:jc w:val="center"/>
              <w:rPr>
                <w:rFonts w:hint="eastAsia" w:ascii="Times New Roman" w:hAnsi="Times New Roman"/>
                <w:sz w:val="24"/>
                <w:szCs w:val="24"/>
              </w:rPr>
            </w:pPr>
          </w:p>
        </w:tc>
        <w:tc>
          <w:tcPr>
            <w:tcW w:w="2985" w:type="dxa"/>
            <w:noWrap w:val="0"/>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会议费</w:t>
            </w:r>
          </w:p>
        </w:tc>
        <w:tc>
          <w:tcPr>
            <w:tcW w:w="161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0</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4" w:type="dxa"/>
            <w:gridSpan w:val="2"/>
            <w:vMerge w:val="continue"/>
            <w:noWrap w:val="0"/>
            <w:vAlign w:val="center"/>
          </w:tcPr>
          <w:p>
            <w:pPr>
              <w:jc w:val="center"/>
              <w:rPr>
                <w:rFonts w:hint="eastAsia" w:ascii="Times New Roman" w:hAnsi="Times New Roman"/>
                <w:sz w:val="24"/>
                <w:szCs w:val="24"/>
              </w:rPr>
            </w:pPr>
          </w:p>
        </w:tc>
        <w:tc>
          <w:tcPr>
            <w:tcW w:w="2985" w:type="dxa"/>
            <w:noWrap w:val="0"/>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培训费</w:t>
            </w:r>
          </w:p>
        </w:tc>
        <w:tc>
          <w:tcPr>
            <w:tcW w:w="161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0</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4" w:type="dxa"/>
            <w:gridSpan w:val="2"/>
            <w:vMerge w:val="continue"/>
            <w:noWrap w:val="0"/>
            <w:vAlign w:val="center"/>
          </w:tcPr>
          <w:p>
            <w:pPr>
              <w:jc w:val="center"/>
              <w:rPr>
                <w:rFonts w:hint="eastAsia" w:ascii="Times New Roman" w:hAnsi="Times New Roman"/>
                <w:sz w:val="24"/>
                <w:szCs w:val="24"/>
              </w:rPr>
            </w:pPr>
          </w:p>
        </w:tc>
        <w:tc>
          <w:tcPr>
            <w:tcW w:w="2985" w:type="dxa"/>
            <w:noWrap w:val="0"/>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物业管理费</w:t>
            </w:r>
          </w:p>
        </w:tc>
        <w:tc>
          <w:tcPr>
            <w:tcW w:w="1615" w:type="dxa"/>
            <w:noWrap w:val="0"/>
            <w:vAlign w:val="top"/>
          </w:tcPr>
          <w:p>
            <w:pPr>
              <w:keepNext w:val="0"/>
              <w:keepLines w:val="0"/>
              <w:widowControl/>
              <w:suppressLineNumbers w:val="0"/>
              <w:jc w:val="both"/>
              <w:textAlignment w:val="top"/>
              <w:rPr>
                <w:rFonts w:hint="default" w:ascii="Times New Roman" w:hAnsi="Times New Roman" w:eastAsia="宋体" w:cs="宋体"/>
                <w:i w:val="0"/>
                <w:iCs w:val="0"/>
                <w:color w:val="000000"/>
                <w:sz w:val="24"/>
                <w:szCs w:val="24"/>
                <w:u w:val="none"/>
                <w:lang w:val="en-US" w:eastAsia="zh-CN"/>
              </w:rPr>
            </w:pPr>
            <w:r>
              <w:rPr>
                <w:rFonts w:hint="eastAsia" w:ascii="Times New Roman" w:hAnsi="Times New Roman" w:eastAsia="宋体" w:cs="宋体"/>
                <w:i w:val="0"/>
                <w:iCs w:val="0"/>
                <w:color w:val="000000"/>
                <w:kern w:val="0"/>
                <w:sz w:val="24"/>
                <w:szCs w:val="24"/>
                <w:u w:val="none"/>
                <w:lang w:val="en-US" w:eastAsia="zh-CN" w:bidi="ar"/>
              </w:rPr>
              <w:t>90.8</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94" w:type="dxa"/>
            <w:gridSpan w:val="2"/>
            <w:vMerge w:val="continue"/>
            <w:noWrap w:val="0"/>
            <w:vAlign w:val="center"/>
          </w:tcPr>
          <w:p>
            <w:pPr>
              <w:jc w:val="center"/>
              <w:rPr>
                <w:rFonts w:hint="eastAsia" w:ascii="Times New Roman" w:hAnsi="Times New Roman"/>
                <w:sz w:val="24"/>
                <w:szCs w:val="24"/>
              </w:rPr>
            </w:pPr>
          </w:p>
        </w:tc>
        <w:tc>
          <w:tcPr>
            <w:tcW w:w="2985" w:type="dxa"/>
            <w:noWrap w:val="0"/>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2"/>
                <w:sz w:val="24"/>
                <w:szCs w:val="24"/>
                <w:highlight w:val="none"/>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专用材料费</w:t>
            </w:r>
          </w:p>
        </w:tc>
        <w:tc>
          <w:tcPr>
            <w:tcW w:w="1615" w:type="dxa"/>
            <w:noWrap w:val="0"/>
            <w:vAlign w:val="top"/>
          </w:tcPr>
          <w:p>
            <w:pPr>
              <w:keepNext w:val="0"/>
              <w:keepLines w:val="0"/>
              <w:widowControl/>
              <w:suppressLineNumbers w:val="0"/>
              <w:jc w:val="both"/>
              <w:textAlignment w:val="top"/>
              <w:rPr>
                <w:rFonts w:hint="default" w:ascii="Times New Roman" w:hAnsi="Times New Roman" w:eastAsia="宋体" w:cs="宋体"/>
                <w:i w:val="0"/>
                <w:iCs w:val="0"/>
                <w:color w:val="000000"/>
                <w:sz w:val="24"/>
                <w:szCs w:val="24"/>
                <w:highlight w:val="none"/>
                <w:u w:val="none"/>
                <w:lang w:val="en-US" w:eastAsia="zh-CN"/>
              </w:rPr>
            </w:pPr>
            <w:r>
              <w:rPr>
                <w:rFonts w:hint="eastAsia" w:ascii="Times New Roman" w:hAnsi="Times New Roman" w:eastAsia="宋体" w:cs="宋体"/>
                <w:i w:val="0"/>
                <w:iCs w:val="0"/>
                <w:color w:val="000000"/>
                <w:kern w:val="0"/>
                <w:sz w:val="24"/>
                <w:szCs w:val="24"/>
                <w:u w:val="none"/>
                <w:lang w:val="en-US" w:eastAsia="zh-CN" w:bidi="ar"/>
              </w:rPr>
              <w:t>0.08</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4" w:type="dxa"/>
            <w:gridSpan w:val="2"/>
            <w:vMerge w:val="continue"/>
            <w:noWrap w:val="0"/>
            <w:vAlign w:val="center"/>
          </w:tcPr>
          <w:p>
            <w:pPr>
              <w:jc w:val="center"/>
              <w:rPr>
                <w:rFonts w:hint="eastAsia" w:ascii="Times New Roman" w:hAnsi="Times New Roman"/>
                <w:sz w:val="24"/>
                <w:szCs w:val="24"/>
              </w:rPr>
            </w:pPr>
          </w:p>
        </w:tc>
        <w:tc>
          <w:tcPr>
            <w:tcW w:w="2985" w:type="dxa"/>
            <w:noWrap w:val="0"/>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公务招待费</w:t>
            </w:r>
          </w:p>
        </w:tc>
        <w:tc>
          <w:tcPr>
            <w:tcW w:w="161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0.07</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4" w:type="dxa"/>
            <w:gridSpan w:val="2"/>
            <w:vMerge w:val="continue"/>
            <w:noWrap w:val="0"/>
            <w:vAlign w:val="center"/>
          </w:tcPr>
          <w:p>
            <w:pPr>
              <w:jc w:val="center"/>
              <w:rPr>
                <w:rFonts w:hint="eastAsia" w:ascii="Times New Roman" w:hAnsi="Times New Roman"/>
                <w:sz w:val="24"/>
                <w:szCs w:val="24"/>
              </w:rPr>
            </w:pPr>
          </w:p>
        </w:tc>
        <w:tc>
          <w:tcPr>
            <w:tcW w:w="2985" w:type="dxa"/>
            <w:noWrap w:val="0"/>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委托业务费</w:t>
            </w:r>
          </w:p>
        </w:tc>
        <w:tc>
          <w:tcPr>
            <w:tcW w:w="161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1.8</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4" w:type="dxa"/>
            <w:gridSpan w:val="2"/>
            <w:vMerge w:val="continue"/>
            <w:noWrap w:val="0"/>
            <w:vAlign w:val="center"/>
          </w:tcPr>
          <w:p>
            <w:pPr>
              <w:jc w:val="center"/>
              <w:rPr>
                <w:rFonts w:hint="eastAsia" w:ascii="Times New Roman" w:hAnsi="Times New Roman"/>
                <w:sz w:val="24"/>
                <w:szCs w:val="24"/>
              </w:rPr>
            </w:pPr>
          </w:p>
        </w:tc>
        <w:tc>
          <w:tcPr>
            <w:tcW w:w="2985" w:type="dxa"/>
            <w:noWrap w:val="0"/>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工会经费</w:t>
            </w:r>
          </w:p>
        </w:tc>
        <w:tc>
          <w:tcPr>
            <w:tcW w:w="161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20.79</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4" w:type="dxa"/>
            <w:gridSpan w:val="2"/>
            <w:vMerge w:val="continue"/>
            <w:noWrap w:val="0"/>
            <w:vAlign w:val="center"/>
          </w:tcPr>
          <w:p>
            <w:pPr>
              <w:jc w:val="center"/>
              <w:rPr>
                <w:rFonts w:hint="eastAsia" w:ascii="Times New Roman" w:hAnsi="Times New Roman"/>
                <w:sz w:val="24"/>
                <w:szCs w:val="24"/>
              </w:rPr>
            </w:pPr>
          </w:p>
        </w:tc>
        <w:tc>
          <w:tcPr>
            <w:tcW w:w="2985" w:type="dxa"/>
            <w:noWrap w:val="0"/>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1"/>
                <w:szCs w:val="21"/>
                <w:u w:val="none"/>
                <w:lang w:val="en-US" w:eastAsia="zh-CN" w:bidi="ar"/>
              </w:rPr>
              <w:t>其他商品和服务支出</w:t>
            </w:r>
          </w:p>
        </w:tc>
        <w:tc>
          <w:tcPr>
            <w:tcW w:w="161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266.05</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4" w:type="dxa"/>
            <w:gridSpan w:val="2"/>
            <w:vMerge w:val="continue"/>
            <w:noWrap w:val="0"/>
            <w:vAlign w:val="center"/>
          </w:tcPr>
          <w:p>
            <w:pPr>
              <w:jc w:val="center"/>
              <w:rPr>
                <w:rFonts w:hint="eastAsia" w:ascii="Times New Roman" w:hAnsi="Times New Roman"/>
                <w:sz w:val="24"/>
                <w:szCs w:val="24"/>
              </w:rPr>
            </w:pPr>
          </w:p>
        </w:tc>
        <w:tc>
          <w:tcPr>
            <w:tcW w:w="2985" w:type="dxa"/>
            <w:noWrap w:val="0"/>
            <w:vAlign w:val="center"/>
          </w:tcPr>
          <w:p>
            <w:pPr>
              <w:keepNext w:val="0"/>
              <w:keepLines w:val="0"/>
              <w:widowControl/>
              <w:suppressLineNumbers w:val="0"/>
              <w:jc w:val="both"/>
              <w:textAlignment w:val="top"/>
              <w:rPr>
                <w:rFonts w:hint="eastAsia" w:ascii="Times New Roman" w:hAnsi="Times New Roman" w:eastAsia="宋体"/>
                <w:b/>
                <w:bCs/>
                <w:sz w:val="24"/>
                <w:szCs w:val="24"/>
                <w:lang w:eastAsia="zh-CN"/>
              </w:rPr>
            </w:pPr>
            <w:r>
              <w:rPr>
                <w:rFonts w:hint="eastAsia" w:ascii="Times New Roman" w:hAnsi="Times New Roman" w:eastAsia="宋体" w:cs="宋体"/>
                <w:b/>
                <w:bCs/>
                <w:i w:val="0"/>
                <w:iCs w:val="0"/>
                <w:color w:val="000000"/>
                <w:kern w:val="0"/>
                <w:sz w:val="24"/>
                <w:szCs w:val="24"/>
                <w:u w:val="none"/>
                <w:lang w:val="en-US" w:eastAsia="zh-CN" w:bidi="ar"/>
              </w:rPr>
              <w:t>小计</w:t>
            </w:r>
          </w:p>
        </w:tc>
        <w:tc>
          <w:tcPr>
            <w:tcW w:w="1615" w:type="dxa"/>
            <w:noWrap w:val="0"/>
            <w:vAlign w:val="center"/>
          </w:tcPr>
          <w:p>
            <w:pPr>
              <w:keepNext w:val="0"/>
              <w:keepLines w:val="0"/>
              <w:widowControl/>
              <w:suppressLineNumbers w:val="0"/>
              <w:jc w:val="both"/>
              <w:textAlignment w:val="center"/>
              <w:rPr>
                <w:rFonts w:hint="default" w:ascii="Times New Roman" w:hAnsi="Times New Roman" w:eastAsia="宋体" w:cs="宋体"/>
                <w:b/>
                <w:bCs/>
                <w:i w:val="0"/>
                <w:iCs w:val="0"/>
                <w:color w:val="000000"/>
                <w:kern w:val="2"/>
                <w:sz w:val="24"/>
                <w:szCs w:val="24"/>
                <w:u w:val="none"/>
                <w:lang w:val="en-US" w:eastAsia="zh-CN" w:bidi="ar-SA"/>
              </w:rPr>
            </w:pPr>
            <w:r>
              <w:rPr>
                <w:rFonts w:hint="eastAsia" w:ascii="Times New Roman" w:hAnsi="Times New Roman" w:eastAsia="宋体" w:cs="宋体"/>
                <w:b/>
                <w:bCs/>
                <w:i w:val="0"/>
                <w:iCs w:val="0"/>
                <w:color w:val="000000"/>
                <w:kern w:val="0"/>
                <w:sz w:val="24"/>
                <w:szCs w:val="24"/>
                <w:u w:val="none"/>
                <w:lang w:val="en-US" w:eastAsia="zh-CN" w:bidi="ar"/>
              </w:rPr>
              <w:t>453.34</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06" w:type="dxa"/>
            <w:vMerge w:val="restart"/>
            <w:noWrap w:val="0"/>
            <w:vAlign w:val="center"/>
          </w:tcPr>
          <w:p>
            <w:pPr>
              <w:keepNext w:val="0"/>
              <w:keepLines w:val="0"/>
              <w:widowControl/>
              <w:suppressLineNumbers w:val="0"/>
              <w:jc w:val="center"/>
              <w:textAlignment w:val="center"/>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环卫维护项目支出</w:t>
            </w:r>
          </w:p>
        </w:tc>
        <w:tc>
          <w:tcPr>
            <w:tcW w:w="1188" w:type="dxa"/>
            <w:vMerge w:val="restart"/>
            <w:noWrap w:val="0"/>
            <w:vAlign w:val="center"/>
          </w:tcPr>
          <w:p>
            <w:pPr>
              <w:keepNext w:val="0"/>
              <w:keepLines w:val="0"/>
              <w:widowControl/>
              <w:suppressLineNumbers w:val="0"/>
              <w:jc w:val="center"/>
              <w:textAlignment w:val="center"/>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道路站厕通道维护经费（含交通隔离栏清洗维护）</w:t>
            </w:r>
          </w:p>
        </w:tc>
        <w:tc>
          <w:tcPr>
            <w:tcW w:w="2985" w:type="dxa"/>
            <w:noWrap w:val="0"/>
            <w:vAlign w:val="top"/>
          </w:tcPr>
          <w:p>
            <w:pPr>
              <w:keepNext w:val="0"/>
              <w:keepLines w:val="0"/>
              <w:widowControl/>
              <w:suppressLineNumbers w:val="0"/>
              <w:jc w:val="both"/>
              <w:textAlignment w:val="top"/>
              <w:rPr>
                <w:rFonts w:hint="default" w:ascii="Times New Roman" w:hAnsi="Times New Roman"/>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保洁车维修费</w:t>
            </w:r>
          </w:p>
        </w:tc>
        <w:tc>
          <w:tcPr>
            <w:tcW w:w="1615" w:type="dxa"/>
            <w:noWrap w:val="0"/>
            <w:vAlign w:val="center"/>
          </w:tcPr>
          <w:p>
            <w:pPr>
              <w:keepNext w:val="0"/>
              <w:keepLines w:val="0"/>
              <w:widowControl/>
              <w:suppressLineNumbers w:val="0"/>
              <w:jc w:val="left"/>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7.85</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06" w:type="dxa"/>
            <w:vMerge w:val="continue"/>
            <w:noWrap w:val="0"/>
            <w:vAlign w:val="center"/>
          </w:tcPr>
          <w:p>
            <w:pPr>
              <w:jc w:val="center"/>
              <w:rPr>
                <w:rFonts w:hint="eastAsia" w:ascii="Times New Roman" w:hAnsi="Times New Roman"/>
                <w:sz w:val="24"/>
                <w:szCs w:val="24"/>
              </w:rPr>
            </w:pPr>
          </w:p>
        </w:tc>
        <w:tc>
          <w:tcPr>
            <w:tcW w:w="1188" w:type="dxa"/>
            <w:vMerge w:val="continue"/>
            <w:noWrap w:val="0"/>
            <w:vAlign w:val="center"/>
          </w:tcPr>
          <w:p>
            <w:pPr>
              <w:jc w:val="center"/>
              <w:rPr>
                <w:rFonts w:hint="eastAsia" w:ascii="Times New Roman" w:hAnsi="Times New Roman"/>
                <w:sz w:val="24"/>
                <w:szCs w:val="24"/>
              </w:rPr>
            </w:pPr>
          </w:p>
        </w:tc>
        <w:tc>
          <w:tcPr>
            <w:tcW w:w="2985" w:type="dxa"/>
            <w:noWrap w:val="0"/>
            <w:vAlign w:val="top"/>
          </w:tcPr>
          <w:p>
            <w:pPr>
              <w:keepNext w:val="0"/>
              <w:keepLines w:val="0"/>
              <w:widowControl/>
              <w:suppressLineNumbers w:val="0"/>
              <w:jc w:val="both"/>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专用材料费</w:t>
            </w:r>
          </w:p>
        </w:tc>
        <w:tc>
          <w:tcPr>
            <w:tcW w:w="1615" w:type="dxa"/>
            <w:noWrap w:val="0"/>
            <w:vAlign w:val="center"/>
          </w:tcPr>
          <w:p>
            <w:pPr>
              <w:keepNext w:val="0"/>
              <w:keepLines w:val="0"/>
              <w:widowControl/>
              <w:suppressLineNumbers w:val="0"/>
              <w:jc w:val="left"/>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625.09</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06" w:type="dxa"/>
            <w:vMerge w:val="continue"/>
            <w:noWrap w:val="0"/>
            <w:vAlign w:val="center"/>
          </w:tcPr>
          <w:p>
            <w:pPr>
              <w:jc w:val="center"/>
              <w:rPr>
                <w:rFonts w:hint="eastAsia" w:ascii="Times New Roman" w:hAnsi="Times New Roman"/>
                <w:sz w:val="24"/>
                <w:szCs w:val="24"/>
              </w:rPr>
            </w:pPr>
          </w:p>
        </w:tc>
        <w:tc>
          <w:tcPr>
            <w:tcW w:w="1188" w:type="dxa"/>
            <w:vMerge w:val="continue"/>
            <w:noWrap w:val="0"/>
            <w:vAlign w:val="center"/>
          </w:tcPr>
          <w:p>
            <w:pPr>
              <w:jc w:val="center"/>
              <w:rPr>
                <w:rFonts w:hint="eastAsia" w:ascii="Times New Roman" w:hAnsi="Times New Roman"/>
                <w:sz w:val="24"/>
                <w:szCs w:val="24"/>
              </w:rPr>
            </w:pPr>
          </w:p>
        </w:tc>
        <w:tc>
          <w:tcPr>
            <w:tcW w:w="2985" w:type="dxa"/>
            <w:noWrap w:val="0"/>
            <w:vAlign w:val="top"/>
          </w:tcPr>
          <w:p>
            <w:pPr>
              <w:keepNext w:val="0"/>
              <w:keepLines w:val="0"/>
              <w:widowControl/>
              <w:suppressLineNumbers w:val="0"/>
              <w:jc w:val="both"/>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防疫防冻物资</w:t>
            </w:r>
          </w:p>
        </w:tc>
        <w:tc>
          <w:tcPr>
            <w:tcW w:w="1615" w:type="dxa"/>
            <w:noWrap w:val="0"/>
            <w:vAlign w:val="center"/>
          </w:tcPr>
          <w:p>
            <w:pPr>
              <w:keepNext w:val="0"/>
              <w:keepLines w:val="0"/>
              <w:widowControl/>
              <w:suppressLineNumbers w:val="0"/>
              <w:jc w:val="left"/>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53.14</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6" w:type="dxa"/>
            <w:vMerge w:val="continue"/>
            <w:noWrap w:val="0"/>
            <w:vAlign w:val="center"/>
          </w:tcPr>
          <w:p>
            <w:pPr>
              <w:jc w:val="center"/>
              <w:rPr>
                <w:rFonts w:hint="eastAsia" w:ascii="Times New Roman" w:hAnsi="Times New Roman"/>
                <w:sz w:val="24"/>
                <w:szCs w:val="24"/>
              </w:rPr>
            </w:pPr>
          </w:p>
        </w:tc>
        <w:tc>
          <w:tcPr>
            <w:tcW w:w="1188" w:type="dxa"/>
            <w:vMerge w:val="continue"/>
            <w:noWrap w:val="0"/>
            <w:vAlign w:val="center"/>
          </w:tcPr>
          <w:p>
            <w:pPr>
              <w:jc w:val="center"/>
              <w:rPr>
                <w:rFonts w:hint="eastAsia" w:ascii="Times New Roman" w:hAnsi="Times New Roman"/>
                <w:sz w:val="24"/>
                <w:szCs w:val="24"/>
              </w:rPr>
            </w:pPr>
          </w:p>
        </w:tc>
        <w:tc>
          <w:tcPr>
            <w:tcW w:w="2985" w:type="dxa"/>
            <w:noWrap w:val="0"/>
            <w:vAlign w:val="top"/>
          </w:tcPr>
          <w:p>
            <w:pPr>
              <w:keepNext w:val="0"/>
              <w:keepLines w:val="0"/>
              <w:widowControl/>
              <w:suppressLineNumbers w:val="0"/>
              <w:jc w:val="both"/>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站厕水电费</w:t>
            </w:r>
          </w:p>
        </w:tc>
        <w:tc>
          <w:tcPr>
            <w:tcW w:w="1615" w:type="dxa"/>
            <w:noWrap w:val="0"/>
            <w:vAlign w:val="center"/>
          </w:tcPr>
          <w:p>
            <w:pPr>
              <w:keepNext w:val="0"/>
              <w:keepLines w:val="0"/>
              <w:widowControl/>
              <w:suppressLineNumbers w:val="0"/>
              <w:jc w:val="left"/>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131.42</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06" w:type="dxa"/>
            <w:vMerge w:val="continue"/>
            <w:noWrap w:val="0"/>
            <w:vAlign w:val="center"/>
          </w:tcPr>
          <w:p>
            <w:pPr>
              <w:jc w:val="center"/>
              <w:rPr>
                <w:rFonts w:hint="eastAsia" w:ascii="Times New Roman" w:hAnsi="Times New Roman"/>
                <w:sz w:val="24"/>
                <w:szCs w:val="24"/>
              </w:rPr>
            </w:pPr>
          </w:p>
        </w:tc>
        <w:tc>
          <w:tcPr>
            <w:tcW w:w="1188" w:type="dxa"/>
            <w:vMerge w:val="continue"/>
            <w:noWrap w:val="0"/>
            <w:vAlign w:val="center"/>
          </w:tcPr>
          <w:p>
            <w:pPr>
              <w:jc w:val="center"/>
              <w:rPr>
                <w:rFonts w:hint="eastAsia" w:ascii="Times New Roman" w:hAnsi="Times New Roman"/>
                <w:sz w:val="24"/>
                <w:szCs w:val="24"/>
              </w:rPr>
            </w:pPr>
          </w:p>
        </w:tc>
        <w:tc>
          <w:tcPr>
            <w:tcW w:w="2985" w:type="dxa"/>
            <w:noWrap w:val="0"/>
            <w:vAlign w:val="top"/>
          </w:tcPr>
          <w:p>
            <w:pPr>
              <w:keepNext w:val="0"/>
              <w:keepLines w:val="0"/>
              <w:widowControl/>
              <w:suppressLineNumbers w:val="0"/>
              <w:jc w:val="both"/>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站厕维修费</w:t>
            </w:r>
          </w:p>
        </w:tc>
        <w:tc>
          <w:tcPr>
            <w:tcW w:w="1615" w:type="dxa"/>
            <w:noWrap w:val="0"/>
            <w:vAlign w:val="center"/>
          </w:tcPr>
          <w:p>
            <w:pPr>
              <w:keepNext w:val="0"/>
              <w:keepLines w:val="0"/>
              <w:widowControl/>
              <w:suppressLineNumbers w:val="0"/>
              <w:jc w:val="left"/>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466.70</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06" w:type="dxa"/>
            <w:vMerge w:val="continue"/>
            <w:noWrap w:val="0"/>
            <w:vAlign w:val="center"/>
          </w:tcPr>
          <w:p>
            <w:pPr>
              <w:jc w:val="center"/>
              <w:rPr>
                <w:rFonts w:hint="eastAsia" w:ascii="Times New Roman" w:hAnsi="Times New Roman"/>
                <w:sz w:val="24"/>
                <w:szCs w:val="24"/>
              </w:rPr>
            </w:pPr>
          </w:p>
        </w:tc>
        <w:tc>
          <w:tcPr>
            <w:tcW w:w="1188" w:type="dxa"/>
            <w:vMerge w:val="continue"/>
            <w:noWrap w:val="0"/>
            <w:vAlign w:val="center"/>
          </w:tcPr>
          <w:p>
            <w:pPr>
              <w:jc w:val="center"/>
              <w:rPr>
                <w:rFonts w:hint="eastAsia" w:ascii="Times New Roman" w:hAnsi="Times New Roman"/>
                <w:sz w:val="24"/>
                <w:szCs w:val="24"/>
              </w:rPr>
            </w:pPr>
          </w:p>
        </w:tc>
        <w:tc>
          <w:tcPr>
            <w:tcW w:w="2985" w:type="dxa"/>
            <w:noWrap w:val="0"/>
            <w:vAlign w:val="top"/>
          </w:tcPr>
          <w:p>
            <w:pPr>
              <w:keepNext w:val="0"/>
              <w:keepLines w:val="0"/>
              <w:widowControl/>
              <w:suppressLineNumbers w:val="0"/>
              <w:jc w:val="both"/>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交通隔离栏清洗维护费用</w:t>
            </w:r>
          </w:p>
        </w:tc>
        <w:tc>
          <w:tcPr>
            <w:tcW w:w="1615" w:type="dxa"/>
            <w:noWrap w:val="0"/>
            <w:vAlign w:val="center"/>
          </w:tcPr>
          <w:p>
            <w:pPr>
              <w:keepNext w:val="0"/>
              <w:keepLines w:val="0"/>
              <w:widowControl/>
              <w:suppressLineNumbers w:val="0"/>
              <w:jc w:val="left"/>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394.27</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06" w:type="dxa"/>
            <w:vMerge w:val="continue"/>
            <w:noWrap w:val="0"/>
            <w:vAlign w:val="center"/>
          </w:tcPr>
          <w:p>
            <w:pPr>
              <w:jc w:val="center"/>
              <w:rPr>
                <w:rFonts w:hint="eastAsia" w:ascii="Times New Roman" w:hAnsi="Times New Roman"/>
                <w:sz w:val="24"/>
                <w:szCs w:val="24"/>
              </w:rPr>
            </w:pPr>
          </w:p>
        </w:tc>
        <w:tc>
          <w:tcPr>
            <w:tcW w:w="1188" w:type="dxa"/>
            <w:vMerge w:val="continue"/>
            <w:noWrap w:val="0"/>
            <w:vAlign w:val="center"/>
          </w:tcPr>
          <w:p>
            <w:pPr>
              <w:jc w:val="center"/>
              <w:rPr>
                <w:rFonts w:hint="eastAsia" w:ascii="Times New Roman" w:hAnsi="Times New Roman"/>
                <w:sz w:val="24"/>
                <w:szCs w:val="24"/>
              </w:rPr>
            </w:pPr>
          </w:p>
        </w:tc>
        <w:tc>
          <w:tcPr>
            <w:tcW w:w="2985" w:type="dxa"/>
            <w:noWrap w:val="0"/>
            <w:vAlign w:val="top"/>
          </w:tcPr>
          <w:p>
            <w:pPr>
              <w:keepNext w:val="0"/>
              <w:keepLines w:val="0"/>
              <w:widowControl/>
              <w:suppressLineNumbers w:val="0"/>
              <w:jc w:val="both"/>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跳马镇一体化服务费</w:t>
            </w:r>
          </w:p>
        </w:tc>
        <w:tc>
          <w:tcPr>
            <w:tcW w:w="1615" w:type="dxa"/>
            <w:noWrap w:val="0"/>
            <w:vAlign w:val="center"/>
          </w:tcPr>
          <w:p>
            <w:pPr>
              <w:keepNext w:val="0"/>
              <w:keepLines w:val="0"/>
              <w:widowControl/>
              <w:suppressLineNumbers w:val="0"/>
              <w:jc w:val="left"/>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858.65</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06" w:type="dxa"/>
            <w:vMerge w:val="continue"/>
            <w:noWrap w:val="0"/>
            <w:vAlign w:val="center"/>
          </w:tcPr>
          <w:p>
            <w:pPr>
              <w:jc w:val="center"/>
              <w:rPr>
                <w:rFonts w:hint="eastAsia" w:ascii="Times New Roman" w:hAnsi="Times New Roman"/>
                <w:sz w:val="24"/>
                <w:szCs w:val="24"/>
              </w:rPr>
            </w:pPr>
          </w:p>
        </w:tc>
        <w:tc>
          <w:tcPr>
            <w:tcW w:w="1188" w:type="dxa"/>
            <w:vMerge w:val="continue"/>
            <w:noWrap w:val="0"/>
            <w:vAlign w:val="center"/>
          </w:tcPr>
          <w:p>
            <w:pPr>
              <w:jc w:val="center"/>
              <w:rPr>
                <w:rFonts w:hint="eastAsia" w:ascii="Times New Roman" w:hAnsi="Times New Roman"/>
                <w:sz w:val="24"/>
                <w:szCs w:val="24"/>
              </w:rPr>
            </w:pPr>
          </w:p>
        </w:tc>
        <w:tc>
          <w:tcPr>
            <w:tcW w:w="2985" w:type="dxa"/>
            <w:noWrap w:val="0"/>
            <w:vAlign w:val="top"/>
          </w:tcPr>
          <w:p>
            <w:pPr>
              <w:keepNext w:val="0"/>
              <w:keepLines w:val="0"/>
              <w:widowControl/>
              <w:suppressLineNumbers w:val="0"/>
              <w:jc w:val="both"/>
              <w:textAlignment w:val="top"/>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其他</w:t>
            </w:r>
          </w:p>
        </w:tc>
        <w:tc>
          <w:tcPr>
            <w:tcW w:w="1615" w:type="dxa"/>
            <w:noWrap w:val="0"/>
            <w:vAlign w:val="center"/>
          </w:tcPr>
          <w:p>
            <w:pPr>
              <w:keepNext w:val="0"/>
              <w:keepLines w:val="0"/>
              <w:widowControl/>
              <w:suppressLineNumbers w:val="0"/>
              <w:jc w:val="left"/>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13.89</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06" w:type="dxa"/>
            <w:vMerge w:val="continue"/>
            <w:noWrap w:val="0"/>
            <w:vAlign w:val="center"/>
          </w:tcPr>
          <w:p>
            <w:pPr>
              <w:jc w:val="center"/>
              <w:rPr>
                <w:rFonts w:hint="eastAsia" w:ascii="Times New Roman" w:hAnsi="Times New Roman"/>
                <w:sz w:val="24"/>
                <w:szCs w:val="24"/>
              </w:rPr>
            </w:pPr>
          </w:p>
        </w:tc>
        <w:tc>
          <w:tcPr>
            <w:tcW w:w="1188" w:type="dxa"/>
            <w:vMerge w:val="restart"/>
            <w:noWrap w:val="0"/>
            <w:vAlign w:val="center"/>
          </w:tcPr>
          <w:p>
            <w:pPr>
              <w:keepNext w:val="0"/>
              <w:keepLines w:val="0"/>
              <w:widowControl/>
              <w:suppressLineNumbers w:val="0"/>
              <w:jc w:val="center"/>
              <w:textAlignment w:val="center"/>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业务车辆运行经费</w:t>
            </w:r>
          </w:p>
        </w:tc>
        <w:tc>
          <w:tcPr>
            <w:tcW w:w="2985" w:type="dxa"/>
            <w:noWrap w:val="0"/>
            <w:vAlign w:val="top"/>
          </w:tcPr>
          <w:p>
            <w:pPr>
              <w:keepNext w:val="0"/>
              <w:keepLines w:val="0"/>
              <w:widowControl/>
              <w:suppressLineNumbers w:val="0"/>
              <w:jc w:val="both"/>
              <w:textAlignment w:val="top"/>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业务车辆油耗</w:t>
            </w:r>
          </w:p>
        </w:tc>
        <w:tc>
          <w:tcPr>
            <w:tcW w:w="1615" w:type="dxa"/>
            <w:noWrap w:val="0"/>
            <w:vAlign w:val="center"/>
          </w:tcPr>
          <w:p>
            <w:pPr>
              <w:keepNext w:val="0"/>
              <w:keepLines w:val="0"/>
              <w:widowControl/>
              <w:suppressLineNumbers w:val="0"/>
              <w:jc w:val="left"/>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956.56</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06" w:type="dxa"/>
            <w:vMerge w:val="continue"/>
            <w:noWrap w:val="0"/>
            <w:vAlign w:val="center"/>
          </w:tcPr>
          <w:p>
            <w:pPr>
              <w:jc w:val="center"/>
              <w:rPr>
                <w:rFonts w:hint="eastAsia" w:ascii="Times New Roman" w:hAnsi="Times New Roman"/>
                <w:sz w:val="24"/>
                <w:szCs w:val="24"/>
              </w:rPr>
            </w:pPr>
          </w:p>
        </w:tc>
        <w:tc>
          <w:tcPr>
            <w:tcW w:w="1188" w:type="dxa"/>
            <w:vMerge w:val="continue"/>
            <w:noWrap w:val="0"/>
            <w:vAlign w:val="center"/>
          </w:tcPr>
          <w:p>
            <w:pPr>
              <w:jc w:val="center"/>
              <w:rPr>
                <w:rFonts w:hint="eastAsia" w:ascii="Times New Roman" w:hAnsi="Times New Roman"/>
                <w:sz w:val="24"/>
                <w:szCs w:val="24"/>
              </w:rPr>
            </w:pPr>
          </w:p>
        </w:tc>
        <w:tc>
          <w:tcPr>
            <w:tcW w:w="2985" w:type="dxa"/>
            <w:noWrap w:val="0"/>
            <w:vAlign w:val="top"/>
          </w:tcPr>
          <w:p>
            <w:pPr>
              <w:keepNext w:val="0"/>
              <w:keepLines w:val="0"/>
              <w:widowControl/>
              <w:suppressLineNumbers w:val="0"/>
              <w:jc w:val="both"/>
              <w:textAlignment w:val="top"/>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业务车辆维修费</w:t>
            </w:r>
          </w:p>
        </w:tc>
        <w:tc>
          <w:tcPr>
            <w:tcW w:w="1615" w:type="dxa"/>
            <w:noWrap w:val="0"/>
            <w:vAlign w:val="center"/>
          </w:tcPr>
          <w:p>
            <w:pPr>
              <w:keepNext w:val="0"/>
              <w:keepLines w:val="0"/>
              <w:widowControl/>
              <w:suppressLineNumbers w:val="0"/>
              <w:jc w:val="left"/>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8.14</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06" w:type="dxa"/>
            <w:vMerge w:val="continue"/>
            <w:noWrap w:val="0"/>
            <w:vAlign w:val="center"/>
          </w:tcPr>
          <w:p>
            <w:pPr>
              <w:jc w:val="center"/>
              <w:rPr>
                <w:rFonts w:hint="eastAsia" w:ascii="Times New Roman" w:hAnsi="Times New Roman"/>
                <w:sz w:val="24"/>
                <w:szCs w:val="24"/>
              </w:rPr>
            </w:pPr>
          </w:p>
        </w:tc>
        <w:tc>
          <w:tcPr>
            <w:tcW w:w="1188" w:type="dxa"/>
            <w:vMerge w:val="continue"/>
            <w:noWrap w:val="0"/>
            <w:vAlign w:val="center"/>
          </w:tcPr>
          <w:p>
            <w:pPr>
              <w:jc w:val="center"/>
              <w:rPr>
                <w:rFonts w:hint="eastAsia" w:ascii="Times New Roman" w:hAnsi="Times New Roman"/>
                <w:sz w:val="24"/>
                <w:szCs w:val="24"/>
              </w:rPr>
            </w:pPr>
          </w:p>
        </w:tc>
        <w:tc>
          <w:tcPr>
            <w:tcW w:w="2985" w:type="dxa"/>
            <w:noWrap w:val="0"/>
            <w:vAlign w:val="top"/>
          </w:tcPr>
          <w:p>
            <w:pPr>
              <w:keepNext w:val="0"/>
              <w:keepLines w:val="0"/>
              <w:widowControl/>
              <w:suppressLineNumbers w:val="0"/>
              <w:jc w:val="both"/>
              <w:textAlignment w:val="top"/>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业务车辆保险费</w:t>
            </w:r>
          </w:p>
        </w:tc>
        <w:tc>
          <w:tcPr>
            <w:tcW w:w="1615" w:type="dxa"/>
            <w:noWrap w:val="0"/>
            <w:vAlign w:val="center"/>
          </w:tcPr>
          <w:p>
            <w:pPr>
              <w:keepNext w:val="0"/>
              <w:keepLines w:val="0"/>
              <w:widowControl/>
              <w:suppressLineNumbers w:val="0"/>
              <w:jc w:val="left"/>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141.77</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06" w:type="dxa"/>
            <w:vMerge w:val="continue"/>
            <w:noWrap w:val="0"/>
            <w:vAlign w:val="center"/>
          </w:tcPr>
          <w:p>
            <w:pPr>
              <w:jc w:val="center"/>
              <w:rPr>
                <w:rFonts w:hint="eastAsia" w:ascii="Times New Roman" w:hAnsi="Times New Roman"/>
                <w:sz w:val="24"/>
                <w:szCs w:val="24"/>
              </w:rPr>
            </w:pPr>
          </w:p>
        </w:tc>
        <w:tc>
          <w:tcPr>
            <w:tcW w:w="1188" w:type="dxa"/>
            <w:vMerge w:val="continue"/>
            <w:noWrap w:val="0"/>
            <w:vAlign w:val="center"/>
          </w:tcPr>
          <w:p>
            <w:pPr>
              <w:jc w:val="center"/>
              <w:rPr>
                <w:rFonts w:hint="eastAsia" w:ascii="Times New Roman" w:hAnsi="Times New Roman"/>
                <w:sz w:val="24"/>
                <w:szCs w:val="24"/>
              </w:rPr>
            </w:pPr>
          </w:p>
        </w:tc>
        <w:tc>
          <w:tcPr>
            <w:tcW w:w="2985" w:type="dxa"/>
            <w:noWrap w:val="0"/>
            <w:vAlign w:val="top"/>
          </w:tcPr>
          <w:p>
            <w:pPr>
              <w:keepNext w:val="0"/>
              <w:keepLines w:val="0"/>
              <w:widowControl/>
              <w:suppressLineNumbers w:val="0"/>
              <w:jc w:val="both"/>
              <w:textAlignment w:val="top"/>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业务车辆配件</w:t>
            </w:r>
          </w:p>
        </w:tc>
        <w:tc>
          <w:tcPr>
            <w:tcW w:w="1615" w:type="dxa"/>
            <w:noWrap w:val="0"/>
            <w:vAlign w:val="center"/>
          </w:tcPr>
          <w:p>
            <w:pPr>
              <w:keepNext w:val="0"/>
              <w:keepLines w:val="0"/>
              <w:widowControl/>
              <w:suppressLineNumbers w:val="0"/>
              <w:jc w:val="left"/>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250.84</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06" w:type="dxa"/>
            <w:vMerge w:val="continue"/>
            <w:noWrap w:val="0"/>
            <w:vAlign w:val="center"/>
          </w:tcPr>
          <w:p>
            <w:pPr>
              <w:jc w:val="center"/>
              <w:rPr>
                <w:rFonts w:hint="eastAsia" w:ascii="Times New Roman" w:hAnsi="Times New Roman"/>
                <w:sz w:val="24"/>
                <w:szCs w:val="24"/>
              </w:rPr>
            </w:pPr>
          </w:p>
        </w:tc>
        <w:tc>
          <w:tcPr>
            <w:tcW w:w="1188" w:type="dxa"/>
            <w:vMerge w:val="continue"/>
            <w:noWrap w:val="0"/>
            <w:vAlign w:val="center"/>
          </w:tcPr>
          <w:p>
            <w:pPr>
              <w:jc w:val="center"/>
              <w:rPr>
                <w:rFonts w:hint="eastAsia" w:ascii="Times New Roman" w:hAnsi="Times New Roman"/>
                <w:sz w:val="24"/>
                <w:szCs w:val="24"/>
              </w:rPr>
            </w:pPr>
          </w:p>
        </w:tc>
        <w:tc>
          <w:tcPr>
            <w:tcW w:w="2985" w:type="dxa"/>
            <w:noWrap w:val="0"/>
            <w:vAlign w:val="top"/>
          </w:tcPr>
          <w:p>
            <w:pPr>
              <w:keepNext w:val="0"/>
              <w:keepLines w:val="0"/>
              <w:widowControl/>
              <w:suppressLineNumbers w:val="0"/>
              <w:jc w:val="both"/>
              <w:textAlignment w:val="top"/>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新能源业务车充电费用</w:t>
            </w:r>
          </w:p>
        </w:tc>
        <w:tc>
          <w:tcPr>
            <w:tcW w:w="1615" w:type="dxa"/>
            <w:noWrap w:val="0"/>
            <w:vAlign w:val="center"/>
          </w:tcPr>
          <w:p>
            <w:pPr>
              <w:keepNext w:val="0"/>
              <w:keepLines w:val="0"/>
              <w:widowControl/>
              <w:suppressLineNumbers w:val="0"/>
              <w:jc w:val="left"/>
              <w:textAlignment w:val="top"/>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56.28</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06" w:type="dxa"/>
            <w:vMerge w:val="continue"/>
            <w:noWrap w:val="0"/>
            <w:vAlign w:val="center"/>
          </w:tcPr>
          <w:p>
            <w:pPr>
              <w:jc w:val="center"/>
              <w:rPr>
                <w:rFonts w:hint="eastAsia" w:ascii="Times New Roman" w:hAnsi="Times New Roman"/>
                <w:sz w:val="24"/>
                <w:szCs w:val="24"/>
              </w:rPr>
            </w:pPr>
          </w:p>
        </w:tc>
        <w:tc>
          <w:tcPr>
            <w:tcW w:w="1188" w:type="dxa"/>
            <w:vMerge w:val="continue"/>
            <w:noWrap w:val="0"/>
            <w:vAlign w:val="center"/>
          </w:tcPr>
          <w:p>
            <w:pPr>
              <w:jc w:val="center"/>
              <w:rPr>
                <w:rFonts w:hint="eastAsia" w:ascii="Times New Roman" w:hAnsi="Times New Roman"/>
                <w:sz w:val="24"/>
                <w:szCs w:val="24"/>
              </w:rPr>
            </w:pPr>
          </w:p>
        </w:tc>
        <w:tc>
          <w:tcPr>
            <w:tcW w:w="2985" w:type="dxa"/>
            <w:noWrap w:val="0"/>
            <w:vAlign w:val="top"/>
          </w:tcPr>
          <w:p>
            <w:pPr>
              <w:keepNext w:val="0"/>
              <w:keepLines w:val="0"/>
              <w:widowControl/>
              <w:suppressLineNumbers w:val="0"/>
              <w:jc w:val="both"/>
              <w:textAlignment w:val="top"/>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其他</w:t>
            </w:r>
          </w:p>
        </w:tc>
        <w:tc>
          <w:tcPr>
            <w:tcW w:w="1615" w:type="dxa"/>
            <w:noWrap w:val="0"/>
            <w:vAlign w:val="center"/>
          </w:tcPr>
          <w:p>
            <w:pPr>
              <w:keepNext w:val="0"/>
              <w:keepLines w:val="0"/>
              <w:widowControl/>
              <w:suppressLineNumbers w:val="0"/>
              <w:jc w:val="left"/>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17.54</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06" w:type="dxa"/>
            <w:vMerge w:val="continue"/>
            <w:noWrap w:val="0"/>
            <w:vAlign w:val="center"/>
          </w:tcPr>
          <w:p>
            <w:pPr>
              <w:jc w:val="center"/>
              <w:rPr>
                <w:rFonts w:hint="eastAsia" w:ascii="Times New Roman" w:hAnsi="Times New Roman"/>
                <w:sz w:val="24"/>
                <w:szCs w:val="24"/>
              </w:rPr>
            </w:pPr>
          </w:p>
        </w:tc>
        <w:tc>
          <w:tcPr>
            <w:tcW w:w="1188" w:type="dxa"/>
            <w:vMerge w:val="restart"/>
            <w:noWrap w:val="0"/>
            <w:vAlign w:val="center"/>
          </w:tcPr>
          <w:p>
            <w:pPr>
              <w:keepNext w:val="0"/>
              <w:keepLines w:val="0"/>
              <w:widowControl/>
              <w:suppressLineNumbers w:val="0"/>
              <w:jc w:val="center"/>
              <w:textAlignment w:val="center"/>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垃圾清运经费</w:t>
            </w:r>
          </w:p>
        </w:tc>
        <w:tc>
          <w:tcPr>
            <w:tcW w:w="2985" w:type="dxa"/>
            <w:noWrap w:val="0"/>
            <w:vAlign w:val="top"/>
          </w:tcPr>
          <w:p>
            <w:pPr>
              <w:keepNext w:val="0"/>
              <w:keepLines w:val="0"/>
              <w:widowControl/>
              <w:suppressLineNumbers w:val="0"/>
              <w:jc w:val="both"/>
              <w:textAlignment w:val="top"/>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垃圾车辆油耗</w:t>
            </w:r>
          </w:p>
        </w:tc>
        <w:tc>
          <w:tcPr>
            <w:tcW w:w="1615" w:type="dxa"/>
            <w:noWrap w:val="0"/>
            <w:vAlign w:val="center"/>
          </w:tcPr>
          <w:p>
            <w:pPr>
              <w:keepNext w:val="0"/>
              <w:keepLines w:val="0"/>
              <w:widowControl/>
              <w:suppressLineNumbers w:val="0"/>
              <w:jc w:val="left"/>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893.08</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06" w:type="dxa"/>
            <w:vMerge w:val="continue"/>
            <w:noWrap w:val="0"/>
            <w:vAlign w:val="center"/>
          </w:tcPr>
          <w:p>
            <w:pPr>
              <w:jc w:val="center"/>
              <w:rPr>
                <w:rFonts w:hint="eastAsia" w:ascii="Times New Roman" w:hAnsi="Times New Roman"/>
                <w:sz w:val="24"/>
                <w:szCs w:val="24"/>
              </w:rPr>
            </w:pPr>
          </w:p>
        </w:tc>
        <w:tc>
          <w:tcPr>
            <w:tcW w:w="1188" w:type="dxa"/>
            <w:vMerge w:val="continue"/>
            <w:noWrap w:val="0"/>
            <w:vAlign w:val="center"/>
          </w:tcPr>
          <w:p>
            <w:pPr>
              <w:jc w:val="center"/>
              <w:rPr>
                <w:rFonts w:hint="eastAsia" w:ascii="Times New Roman" w:hAnsi="Times New Roman"/>
                <w:sz w:val="24"/>
                <w:szCs w:val="24"/>
              </w:rPr>
            </w:pPr>
          </w:p>
        </w:tc>
        <w:tc>
          <w:tcPr>
            <w:tcW w:w="2985" w:type="dxa"/>
            <w:noWrap w:val="0"/>
            <w:vAlign w:val="top"/>
          </w:tcPr>
          <w:p>
            <w:pPr>
              <w:keepNext w:val="0"/>
              <w:keepLines w:val="0"/>
              <w:widowControl/>
              <w:suppressLineNumbers w:val="0"/>
              <w:jc w:val="both"/>
              <w:textAlignment w:val="top"/>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垃圾车辆维修费</w:t>
            </w:r>
          </w:p>
        </w:tc>
        <w:tc>
          <w:tcPr>
            <w:tcW w:w="1615" w:type="dxa"/>
            <w:noWrap w:val="0"/>
            <w:vAlign w:val="center"/>
          </w:tcPr>
          <w:p>
            <w:pPr>
              <w:keepNext w:val="0"/>
              <w:keepLines w:val="0"/>
              <w:widowControl/>
              <w:suppressLineNumbers w:val="0"/>
              <w:jc w:val="left"/>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66.76</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06" w:type="dxa"/>
            <w:vMerge w:val="continue"/>
            <w:noWrap w:val="0"/>
            <w:vAlign w:val="center"/>
          </w:tcPr>
          <w:p>
            <w:pPr>
              <w:jc w:val="center"/>
              <w:rPr>
                <w:rFonts w:hint="eastAsia" w:ascii="Times New Roman" w:hAnsi="Times New Roman"/>
                <w:sz w:val="24"/>
                <w:szCs w:val="24"/>
              </w:rPr>
            </w:pPr>
          </w:p>
        </w:tc>
        <w:tc>
          <w:tcPr>
            <w:tcW w:w="1188" w:type="dxa"/>
            <w:vMerge w:val="continue"/>
            <w:noWrap w:val="0"/>
            <w:vAlign w:val="center"/>
          </w:tcPr>
          <w:p>
            <w:pPr>
              <w:jc w:val="center"/>
              <w:rPr>
                <w:rFonts w:hint="eastAsia" w:ascii="Times New Roman" w:hAnsi="Times New Roman"/>
                <w:sz w:val="24"/>
                <w:szCs w:val="24"/>
              </w:rPr>
            </w:pPr>
          </w:p>
        </w:tc>
        <w:tc>
          <w:tcPr>
            <w:tcW w:w="2985" w:type="dxa"/>
            <w:noWrap w:val="0"/>
            <w:vAlign w:val="top"/>
          </w:tcPr>
          <w:p>
            <w:pPr>
              <w:keepNext w:val="0"/>
              <w:keepLines w:val="0"/>
              <w:widowControl/>
              <w:suppressLineNumbers w:val="0"/>
              <w:jc w:val="both"/>
              <w:textAlignment w:val="top"/>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垃圾车保险费</w:t>
            </w:r>
          </w:p>
        </w:tc>
        <w:tc>
          <w:tcPr>
            <w:tcW w:w="1615" w:type="dxa"/>
            <w:noWrap w:val="0"/>
            <w:vAlign w:val="center"/>
          </w:tcPr>
          <w:p>
            <w:pPr>
              <w:keepNext w:val="0"/>
              <w:keepLines w:val="0"/>
              <w:widowControl/>
              <w:suppressLineNumbers w:val="0"/>
              <w:jc w:val="left"/>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122.35</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06" w:type="dxa"/>
            <w:vMerge w:val="continue"/>
            <w:noWrap w:val="0"/>
            <w:vAlign w:val="center"/>
          </w:tcPr>
          <w:p>
            <w:pPr>
              <w:jc w:val="center"/>
              <w:rPr>
                <w:rFonts w:hint="eastAsia" w:ascii="Times New Roman" w:hAnsi="Times New Roman"/>
                <w:sz w:val="24"/>
                <w:szCs w:val="24"/>
              </w:rPr>
            </w:pPr>
          </w:p>
        </w:tc>
        <w:tc>
          <w:tcPr>
            <w:tcW w:w="1188" w:type="dxa"/>
            <w:vMerge w:val="continue"/>
            <w:noWrap w:val="0"/>
            <w:vAlign w:val="center"/>
          </w:tcPr>
          <w:p>
            <w:pPr>
              <w:jc w:val="center"/>
              <w:rPr>
                <w:rFonts w:hint="eastAsia" w:ascii="Times New Roman" w:hAnsi="Times New Roman"/>
                <w:sz w:val="24"/>
                <w:szCs w:val="24"/>
              </w:rPr>
            </w:pPr>
          </w:p>
        </w:tc>
        <w:tc>
          <w:tcPr>
            <w:tcW w:w="2985" w:type="dxa"/>
            <w:noWrap w:val="0"/>
            <w:vAlign w:val="top"/>
          </w:tcPr>
          <w:p>
            <w:pPr>
              <w:keepNext w:val="0"/>
              <w:keepLines w:val="0"/>
              <w:widowControl/>
              <w:suppressLineNumbers w:val="0"/>
              <w:jc w:val="both"/>
              <w:textAlignment w:val="top"/>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大件垃圾处理费用</w:t>
            </w:r>
          </w:p>
        </w:tc>
        <w:tc>
          <w:tcPr>
            <w:tcW w:w="1615" w:type="dxa"/>
            <w:noWrap w:val="0"/>
            <w:vAlign w:val="center"/>
          </w:tcPr>
          <w:p>
            <w:pPr>
              <w:keepNext w:val="0"/>
              <w:keepLines w:val="0"/>
              <w:widowControl/>
              <w:suppressLineNumbers w:val="0"/>
              <w:jc w:val="left"/>
              <w:textAlignment w:val="top"/>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214.76</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06" w:type="dxa"/>
            <w:vMerge w:val="continue"/>
            <w:noWrap w:val="0"/>
            <w:vAlign w:val="center"/>
          </w:tcPr>
          <w:p>
            <w:pPr>
              <w:jc w:val="center"/>
              <w:rPr>
                <w:rFonts w:hint="eastAsia" w:ascii="Times New Roman" w:hAnsi="Times New Roman"/>
                <w:sz w:val="24"/>
                <w:szCs w:val="24"/>
              </w:rPr>
            </w:pPr>
          </w:p>
        </w:tc>
        <w:tc>
          <w:tcPr>
            <w:tcW w:w="1188" w:type="dxa"/>
            <w:vMerge w:val="continue"/>
            <w:noWrap w:val="0"/>
            <w:vAlign w:val="center"/>
          </w:tcPr>
          <w:p>
            <w:pPr>
              <w:jc w:val="center"/>
              <w:rPr>
                <w:rFonts w:hint="eastAsia" w:ascii="Times New Roman" w:hAnsi="Times New Roman"/>
                <w:sz w:val="24"/>
                <w:szCs w:val="24"/>
              </w:rPr>
            </w:pPr>
          </w:p>
        </w:tc>
        <w:tc>
          <w:tcPr>
            <w:tcW w:w="2985" w:type="dxa"/>
            <w:noWrap w:val="0"/>
            <w:vAlign w:val="top"/>
          </w:tcPr>
          <w:p>
            <w:pPr>
              <w:keepNext w:val="0"/>
              <w:keepLines w:val="0"/>
              <w:widowControl/>
              <w:suppressLineNumbers w:val="0"/>
              <w:jc w:val="both"/>
              <w:textAlignment w:val="top"/>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铲车装车费用</w:t>
            </w:r>
          </w:p>
        </w:tc>
        <w:tc>
          <w:tcPr>
            <w:tcW w:w="1615" w:type="dxa"/>
            <w:noWrap w:val="0"/>
            <w:vAlign w:val="center"/>
          </w:tcPr>
          <w:p>
            <w:pPr>
              <w:keepNext w:val="0"/>
              <w:keepLines w:val="0"/>
              <w:widowControl/>
              <w:suppressLineNumbers w:val="0"/>
              <w:jc w:val="left"/>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70.72</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06" w:type="dxa"/>
            <w:vMerge w:val="continue"/>
            <w:noWrap w:val="0"/>
            <w:vAlign w:val="center"/>
          </w:tcPr>
          <w:p>
            <w:pPr>
              <w:jc w:val="center"/>
              <w:rPr>
                <w:rFonts w:hint="eastAsia" w:ascii="Times New Roman" w:hAnsi="Times New Roman"/>
                <w:sz w:val="24"/>
                <w:szCs w:val="24"/>
              </w:rPr>
            </w:pPr>
          </w:p>
        </w:tc>
        <w:tc>
          <w:tcPr>
            <w:tcW w:w="1188" w:type="dxa"/>
            <w:vMerge w:val="continue"/>
            <w:noWrap w:val="0"/>
            <w:vAlign w:val="center"/>
          </w:tcPr>
          <w:p>
            <w:pPr>
              <w:jc w:val="center"/>
              <w:rPr>
                <w:rFonts w:hint="eastAsia" w:ascii="Times New Roman" w:hAnsi="Times New Roman"/>
                <w:sz w:val="24"/>
                <w:szCs w:val="24"/>
              </w:rPr>
            </w:pPr>
          </w:p>
        </w:tc>
        <w:tc>
          <w:tcPr>
            <w:tcW w:w="2985" w:type="dxa"/>
            <w:noWrap w:val="0"/>
            <w:vAlign w:val="top"/>
          </w:tcPr>
          <w:p>
            <w:pPr>
              <w:keepNext w:val="0"/>
              <w:keepLines w:val="0"/>
              <w:widowControl/>
              <w:suppressLineNumbers w:val="0"/>
              <w:jc w:val="both"/>
              <w:textAlignment w:val="top"/>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有害垃圾收运处置费用</w:t>
            </w:r>
          </w:p>
        </w:tc>
        <w:tc>
          <w:tcPr>
            <w:tcW w:w="1615" w:type="dxa"/>
            <w:noWrap w:val="0"/>
            <w:vAlign w:val="center"/>
          </w:tcPr>
          <w:p>
            <w:pPr>
              <w:keepNext w:val="0"/>
              <w:keepLines w:val="0"/>
              <w:widowControl/>
              <w:suppressLineNumbers w:val="0"/>
              <w:jc w:val="left"/>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37.98</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06" w:type="dxa"/>
            <w:vMerge w:val="continue"/>
            <w:noWrap w:val="0"/>
            <w:vAlign w:val="center"/>
          </w:tcPr>
          <w:p>
            <w:pPr>
              <w:jc w:val="center"/>
              <w:rPr>
                <w:rFonts w:hint="eastAsia" w:ascii="Times New Roman" w:hAnsi="Times New Roman"/>
                <w:sz w:val="24"/>
                <w:szCs w:val="24"/>
              </w:rPr>
            </w:pPr>
          </w:p>
        </w:tc>
        <w:tc>
          <w:tcPr>
            <w:tcW w:w="1188" w:type="dxa"/>
            <w:vMerge w:val="continue"/>
            <w:noWrap w:val="0"/>
            <w:vAlign w:val="center"/>
          </w:tcPr>
          <w:p>
            <w:pPr>
              <w:jc w:val="center"/>
              <w:rPr>
                <w:rFonts w:hint="eastAsia" w:ascii="Times New Roman" w:hAnsi="Times New Roman"/>
                <w:sz w:val="24"/>
                <w:szCs w:val="24"/>
              </w:rPr>
            </w:pPr>
          </w:p>
        </w:tc>
        <w:tc>
          <w:tcPr>
            <w:tcW w:w="2985" w:type="dxa"/>
            <w:noWrap w:val="0"/>
            <w:vAlign w:val="top"/>
          </w:tcPr>
          <w:p>
            <w:pPr>
              <w:keepNext w:val="0"/>
              <w:keepLines w:val="0"/>
              <w:widowControl/>
              <w:suppressLineNumbers w:val="0"/>
              <w:jc w:val="both"/>
              <w:textAlignment w:val="top"/>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新能源垃圾车充电费用</w:t>
            </w:r>
          </w:p>
        </w:tc>
        <w:tc>
          <w:tcPr>
            <w:tcW w:w="1615" w:type="dxa"/>
            <w:noWrap w:val="0"/>
            <w:vAlign w:val="center"/>
          </w:tcPr>
          <w:p>
            <w:pPr>
              <w:keepNext w:val="0"/>
              <w:keepLines w:val="0"/>
              <w:widowControl/>
              <w:suppressLineNumbers w:val="0"/>
              <w:jc w:val="left"/>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32.44</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06" w:type="dxa"/>
            <w:vMerge w:val="continue"/>
            <w:noWrap w:val="0"/>
            <w:vAlign w:val="center"/>
          </w:tcPr>
          <w:p>
            <w:pPr>
              <w:jc w:val="center"/>
              <w:rPr>
                <w:rFonts w:hint="eastAsia" w:ascii="Times New Roman" w:hAnsi="Times New Roman"/>
                <w:sz w:val="24"/>
                <w:szCs w:val="24"/>
              </w:rPr>
            </w:pPr>
          </w:p>
        </w:tc>
        <w:tc>
          <w:tcPr>
            <w:tcW w:w="1188" w:type="dxa"/>
            <w:vMerge w:val="continue"/>
            <w:noWrap w:val="0"/>
            <w:vAlign w:val="center"/>
          </w:tcPr>
          <w:p>
            <w:pPr>
              <w:jc w:val="center"/>
              <w:rPr>
                <w:rFonts w:hint="eastAsia" w:ascii="Times New Roman" w:hAnsi="Times New Roman"/>
                <w:sz w:val="24"/>
                <w:szCs w:val="24"/>
              </w:rPr>
            </w:pPr>
          </w:p>
        </w:tc>
        <w:tc>
          <w:tcPr>
            <w:tcW w:w="2985" w:type="dxa"/>
            <w:noWrap w:val="0"/>
            <w:vAlign w:val="top"/>
          </w:tcPr>
          <w:p>
            <w:pPr>
              <w:keepNext w:val="0"/>
              <w:keepLines w:val="0"/>
              <w:widowControl/>
              <w:suppressLineNumbers w:val="0"/>
              <w:jc w:val="both"/>
              <w:textAlignment w:val="top"/>
              <w:rPr>
                <w:rFonts w:hint="eastAsia" w:ascii="Times New Roman" w:hAnsi="Times New Roman"/>
                <w:b/>
                <w:sz w:val="24"/>
                <w:szCs w:val="24"/>
              </w:rPr>
            </w:pPr>
            <w:r>
              <w:rPr>
                <w:rFonts w:hint="eastAsia" w:ascii="Times New Roman" w:hAnsi="Times New Roman" w:eastAsia="宋体" w:cs="宋体"/>
                <w:i w:val="0"/>
                <w:iCs w:val="0"/>
                <w:color w:val="000000"/>
                <w:kern w:val="0"/>
                <w:sz w:val="24"/>
                <w:szCs w:val="24"/>
                <w:u w:val="none"/>
                <w:lang w:val="en-US" w:eastAsia="zh-CN" w:bidi="ar"/>
              </w:rPr>
              <w:t>垃圾车停车费</w:t>
            </w:r>
          </w:p>
        </w:tc>
        <w:tc>
          <w:tcPr>
            <w:tcW w:w="1615" w:type="dxa"/>
            <w:noWrap w:val="0"/>
            <w:vAlign w:val="center"/>
          </w:tcPr>
          <w:p>
            <w:pPr>
              <w:keepNext w:val="0"/>
              <w:keepLines w:val="0"/>
              <w:widowControl/>
              <w:suppressLineNumbers w:val="0"/>
              <w:jc w:val="left"/>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21.02</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06" w:type="dxa"/>
            <w:vMerge w:val="continue"/>
            <w:noWrap w:val="0"/>
            <w:vAlign w:val="center"/>
          </w:tcPr>
          <w:p>
            <w:pPr>
              <w:jc w:val="center"/>
              <w:rPr>
                <w:rFonts w:hint="default" w:ascii="Times New Roman" w:hAnsi="Times New Roman" w:eastAsia="宋体"/>
                <w:sz w:val="24"/>
                <w:szCs w:val="24"/>
                <w:lang w:val="en-US" w:eastAsia="zh-CN"/>
              </w:rPr>
            </w:pPr>
          </w:p>
        </w:tc>
        <w:tc>
          <w:tcPr>
            <w:tcW w:w="1188" w:type="dxa"/>
            <w:vMerge w:val="continue"/>
            <w:noWrap w:val="0"/>
            <w:vAlign w:val="center"/>
          </w:tcPr>
          <w:p>
            <w:pPr>
              <w:jc w:val="center"/>
              <w:rPr>
                <w:rFonts w:hint="eastAsia" w:ascii="Times New Roman" w:hAnsi="Times New Roman"/>
                <w:sz w:val="24"/>
                <w:szCs w:val="24"/>
              </w:rPr>
            </w:pPr>
          </w:p>
        </w:tc>
        <w:tc>
          <w:tcPr>
            <w:tcW w:w="2985" w:type="dxa"/>
            <w:noWrap w:val="0"/>
            <w:vAlign w:val="top"/>
          </w:tcPr>
          <w:p>
            <w:pPr>
              <w:keepNext w:val="0"/>
              <w:keepLines w:val="0"/>
              <w:widowControl/>
              <w:suppressLineNumbers w:val="0"/>
              <w:jc w:val="both"/>
              <w:textAlignment w:val="top"/>
              <w:rPr>
                <w:rFonts w:ascii="Times New Roman" w:hAnsi="Times New Roman"/>
              </w:rPr>
            </w:pPr>
            <w:r>
              <w:rPr>
                <w:rFonts w:hint="eastAsia" w:ascii="Times New Roman" w:hAnsi="Times New Roman" w:eastAsia="宋体" w:cs="宋体"/>
                <w:i w:val="0"/>
                <w:iCs w:val="0"/>
                <w:color w:val="000000"/>
                <w:kern w:val="0"/>
                <w:sz w:val="24"/>
                <w:szCs w:val="24"/>
                <w:u w:val="none"/>
                <w:lang w:val="en-US" w:eastAsia="zh-CN" w:bidi="ar"/>
              </w:rPr>
              <w:t>其他</w:t>
            </w:r>
          </w:p>
        </w:tc>
        <w:tc>
          <w:tcPr>
            <w:tcW w:w="1615" w:type="dxa"/>
            <w:noWrap w:val="0"/>
            <w:vAlign w:val="center"/>
          </w:tcPr>
          <w:p>
            <w:pPr>
              <w:keepNext w:val="0"/>
              <w:keepLines w:val="0"/>
              <w:widowControl/>
              <w:suppressLineNumbers w:val="0"/>
              <w:jc w:val="left"/>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61.09</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06" w:type="dxa"/>
            <w:vMerge w:val="continue"/>
            <w:noWrap w:val="0"/>
            <w:vAlign w:val="center"/>
          </w:tcPr>
          <w:p>
            <w:pPr>
              <w:jc w:val="center"/>
              <w:rPr>
                <w:rFonts w:hint="eastAsia" w:ascii="Times New Roman" w:hAnsi="Times New Roman"/>
                <w:sz w:val="24"/>
                <w:szCs w:val="24"/>
              </w:rPr>
            </w:pPr>
          </w:p>
        </w:tc>
        <w:tc>
          <w:tcPr>
            <w:tcW w:w="1188" w:type="dxa"/>
            <w:vMerge w:val="restart"/>
            <w:noWrap w:val="0"/>
            <w:vAlign w:val="center"/>
          </w:tcPr>
          <w:p>
            <w:pPr>
              <w:keepNext w:val="0"/>
              <w:keepLines w:val="0"/>
              <w:widowControl/>
              <w:suppressLineNumbers w:val="0"/>
              <w:jc w:val="center"/>
              <w:textAlignment w:val="center"/>
              <w:rPr>
                <w:rFonts w:hint="eastAsia" w:ascii="Times New Roman" w:hAnsi="Times New Roman"/>
                <w:sz w:val="24"/>
                <w:szCs w:val="24"/>
              </w:rPr>
            </w:pPr>
            <w:r>
              <w:rPr>
                <w:rFonts w:hint="eastAsia" w:ascii="Times New Roman" w:hAnsi="Times New Roman" w:eastAsia="宋体" w:cs="宋体"/>
                <w:i w:val="0"/>
                <w:iCs w:val="0"/>
                <w:color w:val="000000"/>
                <w:kern w:val="0"/>
                <w:sz w:val="21"/>
                <w:szCs w:val="21"/>
                <w:u w:val="none"/>
                <w:lang w:val="en-US" w:eastAsia="zh-CN" w:bidi="ar"/>
              </w:rPr>
              <w:t>专用设备及业务车辆购置</w:t>
            </w:r>
          </w:p>
        </w:tc>
        <w:tc>
          <w:tcPr>
            <w:tcW w:w="2985" w:type="dxa"/>
            <w:noWrap w:val="0"/>
            <w:vAlign w:val="top"/>
          </w:tcPr>
          <w:p>
            <w:pPr>
              <w:keepNext w:val="0"/>
              <w:keepLines w:val="0"/>
              <w:widowControl/>
              <w:suppressLineNumbers w:val="0"/>
              <w:jc w:val="both"/>
              <w:textAlignment w:val="top"/>
              <w:rPr>
                <w:rFonts w:ascii="Times New Roman" w:hAnsi="Times New Roman"/>
              </w:rPr>
            </w:pPr>
            <w:r>
              <w:rPr>
                <w:rFonts w:hint="eastAsia" w:ascii="Times New Roman" w:hAnsi="Times New Roman" w:eastAsia="宋体" w:cs="宋体"/>
                <w:i w:val="0"/>
                <w:iCs w:val="0"/>
                <w:color w:val="000000"/>
                <w:kern w:val="0"/>
                <w:sz w:val="24"/>
                <w:szCs w:val="24"/>
                <w:u w:val="none"/>
                <w:lang w:val="en-US" w:eastAsia="zh-CN" w:bidi="ar"/>
              </w:rPr>
              <w:t>专业设备（撒盐机）</w:t>
            </w:r>
          </w:p>
        </w:tc>
        <w:tc>
          <w:tcPr>
            <w:tcW w:w="1615" w:type="dxa"/>
            <w:noWrap w:val="0"/>
            <w:vAlign w:val="center"/>
          </w:tcPr>
          <w:p>
            <w:pPr>
              <w:keepNext w:val="0"/>
              <w:keepLines w:val="0"/>
              <w:widowControl/>
              <w:suppressLineNumbers w:val="0"/>
              <w:jc w:val="left"/>
              <w:textAlignment w:val="top"/>
              <w:rPr>
                <w:rFonts w:hint="default" w:ascii="Times New Roman" w:hAnsi="Times New Roman" w:eastAsia="宋体"/>
                <w:sz w:val="24"/>
                <w:szCs w:val="24"/>
                <w:lang w:val="en-US" w:eastAsia="zh-CN"/>
              </w:rPr>
            </w:pPr>
            <w:r>
              <w:rPr>
                <w:rFonts w:hint="eastAsia" w:ascii="Times New Roman" w:hAnsi="Times New Roman" w:eastAsia="宋体" w:cs="宋体"/>
                <w:i w:val="0"/>
                <w:iCs w:val="0"/>
                <w:color w:val="000000"/>
                <w:kern w:val="0"/>
                <w:sz w:val="24"/>
                <w:szCs w:val="24"/>
                <w:u w:val="none"/>
                <w:lang w:val="en-US" w:eastAsia="zh-CN" w:bidi="ar"/>
              </w:rPr>
              <w:t>30.12</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06" w:type="dxa"/>
            <w:vMerge w:val="continue"/>
            <w:noWrap w:val="0"/>
            <w:vAlign w:val="center"/>
          </w:tcPr>
          <w:p>
            <w:pPr>
              <w:jc w:val="center"/>
              <w:rPr>
                <w:rFonts w:hint="eastAsia" w:ascii="Times New Roman" w:hAnsi="Times New Roman"/>
                <w:sz w:val="24"/>
                <w:szCs w:val="24"/>
              </w:rPr>
            </w:pPr>
          </w:p>
        </w:tc>
        <w:tc>
          <w:tcPr>
            <w:tcW w:w="1188" w:type="dxa"/>
            <w:vMerge w:val="continue"/>
            <w:noWrap w:val="0"/>
            <w:vAlign w:val="center"/>
          </w:tcPr>
          <w:p>
            <w:pPr>
              <w:jc w:val="center"/>
              <w:rPr>
                <w:rFonts w:hint="eastAsia" w:ascii="Times New Roman" w:hAnsi="Times New Roman" w:eastAsia="宋体"/>
                <w:sz w:val="24"/>
                <w:szCs w:val="24"/>
                <w:lang w:eastAsia="zh-CN"/>
              </w:rPr>
            </w:pPr>
          </w:p>
        </w:tc>
        <w:tc>
          <w:tcPr>
            <w:tcW w:w="2985" w:type="dxa"/>
            <w:noWrap w:val="0"/>
            <w:vAlign w:val="top"/>
          </w:tcPr>
          <w:p>
            <w:pPr>
              <w:keepNext w:val="0"/>
              <w:keepLines w:val="0"/>
              <w:widowControl/>
              <w:suppressLineNumbers w:val="0"/>
              <w:jc w:val="both"/>
              <w:textAlignment w:val="top"/>
              <w:rPr>
                <w:rFonts w:ascii="Times New Roman" w:hAnsi="Times New Roman"/>
              </w:rPr>
            </w:pPr>
            <w:r>
              <w:rPr>
                <w:rFonts w:hint="eastAsia" w:ascii="Times New Roman" w:hAnsi="Times New Roman" w:eastAsia="宋体" w:cs="宋体"/>
                <w:i w:val="0"/>
                <w:iCs w:val="0"/>
                <w:color w:val="000000"/>
                <w:kern w:val="0"/>
                <w:sz w:val="24"/>
                <w:szCs w:val="24"/>
                <w:u w:val="none"/>
                <w:lang w:val="en-US" w:eastAsia="zh-CN" w:bidi="ar"/>
              </w:rPr>
              <w:t>业务车辆</w:t>
            </w:r>
          </w:p>
        </w:tc>
        <w:tc>
          <w:tcPr>
            <w:tcW w:w="1615" w:type="dxa"/>
            <w:noWrap w:val="0"/>
            <w:vAlign w:val="center"/>
          </w:tcPr>
          <w:p>
            <w:pPr>
              <w:keepNext w:val="0"/>
              <w:keepLines w:val="0"/>
              <w:widowControl/>
              <w:suppressLineNumbers w:val="0"/>
              <w:jc w:val="left"/>
              <w:textAlignment w:val="top"/>
              <w:rPr>
                <w:rFonts w:hint="default" w:ascii="Times New Roman" w:hAnsi="Times New Roman"/>
                <w:sz w:val="24"/>
                <w:szCs w:val="24"/>
                <w:lang w:val="en-US" w:eastAsia="zh-CN"/>
              </w:rPr>
            </w:pPr>
            <w:r>
              <w:rPr>
                <w:rFonts w:hint="eastAsia" w:ascii="Times New Roman" w:hAnsi="Times New Roman" w:eastAsia="宋体" w:cs="宋体"/>
                <w:i w:val="0"/>
                <w:iCs w:val="0"/>
                <w:color w:val="000000"/>
                <w:kern w:val="0"/>
                <w:sz w:val="24"/>
                <w:szCs w:val="24"/>
                <w:u w:val="none"/>
                <w:lang w:val="en-US" w:eastAsia="zh-CN" w:bidi="ar"/>
              </w:rPr>
              <w:t>1473.71</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06" w:type="dxa"/>
            <w:vMerge w:val="continue"/>
            <w:noWrap w:val="0"/>
            <w:vAlign w:val="center"/>
          </w:tcPr>
          <w:p>
            <w:pPr>
              <w:jc w:val="center"/>
              <w:rPr>
                <w:rFonts w:hint="eastAsia" w:ascii="Times New Roman" w:hAnsi="Times New Roman"/>
                <w:sz w:val="24"/>
                <w:szCs w:val="24"/>
              </w:rPr>
            </w:pPr>
          </w:p>
        </w:tc>
        <w:tc>
          <w:tcPr>
            <w:tcW w:w="1188" w:type="dxa"/>
            <w:vMerge w:val="restart"/>
            <w:noWrap w:val="0"/>
            <w:vAlign w:val="center"/>
          </w:tcPr>
          <w:p>
            <w:pPr>
              <w:keepNext w:val="0"/>
              <w:keepLines w:val="0"/>
              <w:widowControl/>
              <w:suppressLineNumbers w:val="0"/>
              <w:jc w:val="center"/>
              <w:textAlignment w:val="center"/>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站厕建设工程款及配套设施</w:t>
            </w:r>
          </w:p>
        </w:tc>
        <w:tc>
          <w:tcPr>
            <w:tcW w:w="2985" w:type="dxa"/>
            <w:noWrap w:val="0"/>
            <w:vAlign w:val="top"/>
          </w:tcPr>
          <w:p>
            <w:pPr>
              <w:keepNext w:val="0"/>
              <w:keepLines w:val="0"/>
              <w:widowControl/>
              <w:suppressLineNumbers w:val="0"/>
              <w:jc w:val="both"/>
              <w:textAlignment w:val="top"/>
              <w:rPr>
                <w:rFonts w:ascii="Times New Roman" w:hAnsi="Times New Roman"/>
              </w:rPr>
            </w:pPr>
            <w:r>
              <w:rPr>
                <w:rFonts w:hint="eastAsia" w:ascii="Times New Roman" w:hAnsi="Times New Roman" w:eastAsia="宋体" w:cs="宋体"/>
                <w:i w:val="0"/>
                <w:iCs w:val="0"/>
                <w:color w:val="000000"/>
                <w:kern w:val="0"/>
                <w:sz w:val="24"/>
                <w:szCs w:val="24"/>
                <w:u w:val="none"/>
                <w:lang w:val="en-US" w:eastAsia="zh-CN" w:bidi="ar"/>
              </w:rPr>
              <w:t>工程款</w:t>
            </w:r>
          </w:p>
        </w:tc>
        <w:tc>
          <w:tcPr>
            <w:tcW w:w="1615" w:type="dxa"/>
            <w:noWrap w:val="0"/>
            <w:vAlign w:val="center"/>
          </w:tcPr>
          <w:p>
            <w:pPr>
              <w:keepNext w:val="0"/>
              <w:keepLines w:val="0"/>
              <w:widowControl/>
              <w:suppressLineNumbers w:val="0"/>
              <w:jc w:val="left"/>
              <w:textAlignment w:val="top"/>
              <w:rPr>
                <w:rFonts w:hint="default" w:ascii="Times New Roman" w:hAnsi="Times New Roman" w:eastAsia="宋体"/>
                <w:sz w:val="24"/>
                <w:szCs w:val="24"/>
                <w:lang w:val="en-US" w:eastAsia="zh-CN"/>
              </w:rPr>
            </w:pPr>
            <w:r>
              <w:rPr>
                <w:rFonts w:hint="eastAsia" w:ascii="Times New Roman" w:hAnsi="Times New Roman" w:eastAsia="宋体" w:cs="宋体"/>
                <w:i w:val="0"/>
                <w:iCs w:val="0"/>
                <w:color w:val="000000"/>
                <w:kern w:val="0"/>
                <w:sz w:val="24"/>
                <w:szCs w:val="24"/>
                <w:u w:val="none"/>
                <w:lang w:val="en-US" w:eastAsia="zh-CN" w:bidi="ar"/>
              </w:rPr>
              <w:t>468.45</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06" w:type="dxa"/>
            <w:vMerge w:val="continue"/>
            <w:noWrap w:val="0"/>
            <w:vAlign w:val="center"/>
          </w:tcPr>
          <w:p>
            <w:pPr>
              <w:jc w:val="center"/>
              <w:rPr>
                <w:rFonts w:hint="eastAsia" w:ascii="Times New Roman" w:hAnsi="Times New Roman"/>
                <w:sz w:val="24"/>
                <w:szCs w:val="24"/>
              </w:rPr>
            </w:pPr>
          </w:p>
        </w:tc>
        <w:tc>
          <w:tcPr>
            <w:tcW w:w="1188" w:type="dxa"/>
            <w:vMerge w:val="continue"/>
            <w:noWrap w:val="0"/>
            <w:vAlign w:val="center"/>
          </w:tcPr>
          <w:p>
            <w:pPr>
              <w:jc w:val="center"/>
              <w:rPr>
                <w:rFonts w:hint="eastAsia" w:ascii="Times New Roman" w:hAnsi="Times New Roman" w:eastAsia="宋体"/>
                <w:sz w:val="24"/>
                <w:szCs w:val="24"/>
                <w:lang w:eastAsia="zh-CN"/>
              </w:rPr>
            </w:pPr>
          </w:p>
        </w:tc>
        <w:tc>
          <w:tcPr>
            <w:tcW w:w="2985" w:type="dxa"/>
            <w:noWrap w:val="0"/>
            <w:vAlign w:val="top"/>
          </w:tcPr>
          <w:p>
            <w:pPr>
              <w:keepNext w:val="0"/>
              <w:keepLines w:val="0"/>
              <w:widowControl/>
              <w:suppressLineNumbers w:val="0"/>
              <w:jc w:val="both"/>
              <w:textAlignment w:val="top"/>
              <w:rPr>
                <w:rFonts w:ascii="Times New Roman" w:hAnsi="Times New Roman"/>
              </w:rPr>
            </w:pPr>
            <w:r>
              <w:rPr>
                <w:rFonts w:hint="eastAsia" w:ascii="Times New Roman" w:hAnsi="Times New Roman" w:eastAsia="宋体" w:cs="宋体"/>
                <w:i w:val="0"/>
                <w:iCs w:val="0"/>
                <w:color w:val="000000"/>
                <w:kern w:val="0"/>
                <w:sz w:val="24"/>
                <w:szCs w:val="24"/>
                <w:u w:val="none"/>
                <w:lang w:val="en-US" w:eastAsia="zh-CN" w:bidi="ar"/>
              </w:rPr>
              <w:t>配套设施</w:t>
            </w:r>
          </w:p>
        </w:tc>
        <w:tc>
          <w:tcPr>
            <w:tcW w:w="1615" w:type="dxa"/>
            <w:noWrap w:val="0"/>
            <w:vAlign w:val="center"/>
          </w:tcPr>
          <w:p>
            <w:pPr>
              <w:keepNext w:val="0"/>
              <w:keepLines w:val="0"/>
              <w:widowControl/>
              <w:suppressLineNumbers w:val="0"/>
              <w:jc w:val="left"/>
              <w:textAlignment w:val="top"/>
              <w:rPr>
                <w:rFonts w:hint="default" w:ascii="Times New Roman" w:hAnsi="Times New Roman" w:eastAsia="宋体"/>
                <w:sz w:val="24"/>
                <w:szCs w:val="24"/>
                <w:lang w:val="en-US" w:eastAsia="zh-CN"/>
              </w:rPr>
            </w:pPr>
            <w:r>
              <w:rPr>
                <w:rFonts w:hint="eastAsia" w:ascii="Times New Roman" w:hAnsi="Times New Roman" w:eastAsia="宋体" w:cs="宋体"/>
                <w:i w:val="0"/>
                <w:iCs w:val="0"/>
                <w:color w:val="000000"/>
                <w:kern w:val="0"/>
                <w:sz w:val="24"/>
                <w:szCs w:val="24"/>
                <w:u w:val="none"/>
                <w:lang w:val="en-US" w:eastAsia="zh-CN" w:bidi="ar"/>
              </w:rPr>
              <w:t>898.94</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06" w:type="dxa"/>
            <w:vMerge w:val="continue"/>
            <w:noWrap w:val="0"/>
            <w:vAlign w:val="center"/>
          </w:tcPr>
          <w:p>
            <w:pPr>
              <w:jc w:val="center"/>
              <w:rPr>
                <w:rFonts w:hint="eastAsia" w:ascii="Times New Roman" w:hAnsi="Times New Roman"/>
                <w:sz w:val="24"/>
                <w:szCs w:val="24"/>
              </w:rPr>
            </w:pPr>
          </w:p>
        </w:tc>
        <w:tc>
          <w:tcPr>
            <w:tcW w:w="4173" w:type="dxa"/>
            <w:gridSpan w:val="2"/>
            <w:noWrap w:val="0"/>
            <w:vAlign w:val="center"/>
          </w:tcPr>
          <w:p>
            <w:pPr>
              <w:keepNext w:val="0"/>
              <w:keepLines w:val="0"/>
              <w:widowControl/>
              <w:suppressLineNumbers w:val="0"/>
              <w:jc w:val="center"/>
              <w:textAlignment w:val="top"/>
              <w:rPr>
                <w:rFonts w:ascii="Times New Roman" w:hAnsi="Times New Roman"/>
              </w:rPr>
            </w:pPr>
            <w:r>
              <w:rPr>
                <w:rFonts w:hint="eastAsia" w:ascii="Times New Roman" w:hAnsi="Times New Roman" w:eastAsia="宋体" w:cs="宋体"/>
                <w:b/>
                <w:bCs/>
                <w:i w:val="0"/>
                <w:iCs w:val="0"/>
                <w:color w:val="000000"/>
                <w:kern w:val="0"/>
                <w:sz w:val="24"/>
                <w:szCs w:val="24"/>
                <w:u w:val="none"/>
                <w:lang w:val="en-US" w:eastAsia="zh-CN" w:bidi="ar"/>
              </w:rPr>
              <w:t>小计</w:t>
            </w:r>
          </w:p>
        </w:tc>
        <w:tc>
          <w:tcPr>
            <w:tcW w:w="1615" w:type="dxa"/>
            <w:noWrap w:val="0"/>
            <w:vAlign w:val="top"/>
          </w:tcPr>
          <w:p>
            <w:pPr>
              <w:keepNext w:val="0"/>
              <w:keepLines w:val="0"/>
              <w:widowControl/>
              <w:suppressLineNumbers w:val="0"/>
              <w:jc w:val="both"/>
              <w:textAlignment w:val="top"/>
              <w:rPr>
                <w:rFonts w:hint="default" w:ascii="Times New Roman" w:hAnsi="Times New Roman" w:eastAsia="宋体"/>
                <w:sz w:val="24"/>
                <w:szCs w:val="24"/>
                <w:lang w:val="en-US" w:eastAsia="zh-CN"/>
              </w:rPr>
            </w:pPr>
            <w:r>
              <w:rPr>
                <w:rFonts w:hint="default" w:ascii="Times New Roman" w:hAnsi="Times New Roman" w:eastAsia="宋体"/>
                <w:b/>
                <w:bCs/>
                <w:sz w:val="24"/>
                <w:szCs w:val="24"/>
                <w:lang w:val="en-US" w:eastAsia="zh-CN"/>
              </w:rPr>
              <w:t>8373.56</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4" w:type="dxa"/>
            <w:gridSpan w:val="2"/>
            <w:vMerge w:val="restart"/>
            <w:noWrap w:val="0"/>
            <w:vAlign w:val="center"/>
          </w:tcPr>
          <w:p>
            <w:pPr>
              <w:keepNext w:val="0"/>
              <w:keepLines w:val="0"/>
              <w:widowControl/>
              <w:suppressLineNumbers w:val="0"/>
              <w:jc w:val="center"/>
              <w:textAlignment w:val="center"/>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对个人和家庭补助</w:t>
            </w:r>
          </w:p>
        </w:tc>
        <w:tc>
          <w:tcPr>
            <w:tcW w:w="2985" w:type="dxa"/>
            <w:noWrap w:val="0"/>
            <w:vAlign w:val="center"/>
          </w:tcPr>
          <w:p>
            <w:pPr>
              <w:keepNext w:val="0"/>
              <w:keepLines w:val="0"/>
              <w:widowControl/>
              <w:suppressLineNumbers w:val="0"/>
              <w:jc w:val="both"/>
              <w:textAlignment w:val="top"/>
              <w:rPr>
                <w:rFonts w:hint="eastAsia" w:ascii="Times New Roman" w:hAnsi="Times New Roman"/>
                <w:b/>
                <w:sz w:val="24"/>
                <w:szCs w:val="24"/>
              </w:rPr>
            </w:pPr>
            <w:r>
              <w:rPr>
                <w:rFonts w:hint="eastAsia" w:ascii="Times New Roman" w:hAnsi="Times New Roman" w:eastAsia="宋体" w:cs="宋体"/>
                <w:i w:val="0"/>
                <w:iCs w:val="0"/>
                <w:color w:val="000000"/>
                <w:kern w:val="0"/>
                <w:sz w:val="24"/>
                <w:szCs w:val="24"/>
                <w:u w:val="none"/>
                <w:lang w:val="en-US" w:eastAsia="zh-CN" w:bidi="ar"/>
              </w:rPr>
              <w:t>抚恤金</w:t>
            </w:r>
          </w:p>
        </w:tc>
        <w:tc>
          <w:tcPr>
            <w:tcW w:w="1615" w:type="dxa"/>
            <w:noWrap w:val="0"/>
            <w:vAlign w:val="center"/>
          </w:tcPr>
          <w:p>
            <w:pPr>
              <w:keepNext w:val="0"/>
              <w:keepLines w:val="0"/>
              <w:widowControl/>
              <w:suppressLineNumbers w:val="0"/>
              <w:jc w:val="both"/>
              <w:textAlignment w:val="center"/>
              <w:rPr>
                <w:rFonts w:hint="default" w:ascii="Times New Roman" w:hAnsi="Times New Roman" w:eastAsia="宋体"/>
                <w:b/>
                <w:sz w:val="24"/>
                <w:szCs w:val="24"/>
                <w:lang w:val="en-US" w:eastAsia="zh-CN"/>
              </w:rPr>
            </w:pPr>
            <w:r>
              <w:rPr>
                <w:rFonts w:hint="eastAsia" w:ascii="Times New Roman" w:hAnsi="Times New Roman" w:eastAsia="宋体" w:cs="宋体"/>
                <w:i w:val="0"/>
                <w:iCs w:val="0"/>
                <w:color w:val="000000"/>
                <w:kern w:val="0"/>
                <w:sz w:val="24"/>
                <w:szCs w:val="24"/>
                <w:u w:val="none"/>
                <w:lang w:val="en-US" w:eastAsia="zh-CN" w:bidi="ar"/>
              </w:rPr>
              <w:t>2.94</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4" w:type="dxa"/>
            <w:gridSpan w:val="2"/>
            <w:vMerge w:val="continue"/>
            <w:noWrap w:val="0"/>
            <w:vAlign w:val="center"/>
          </w:tcPr>
          <w:p>
            <w:pPr>
              <w:jc w:val="center"/>
              <w:rPr>
                <w:rFonts w:hint="eastAsia" w:ascii="Times New Roman" w:hAnsi="Times New Roman"/>
                <w:sz w:val="24"/>
                <w:szCs w:val="24"/>
              </w:rPr>
            </w:pPr>
          </w:p>
        </w:tc>
        <w:tc>
          <w:tcPr>
            <w:tcW w:w="2985" w:type="dxa"/>
            <w:noWrap w:val="0"/>
            <w:vAlign w:val="center"/>
          </w:tcPr>
          <w:p>
            <w:pPr>
              <w:keepNext w:val="0"/>
              <w:keepLines w:val="0"/>
              <w:widowControl/>
              <w:suppressLineNumbers w:val="0"/>
              <w:jc w:val="both"/>
              <w:textAlignment w:val="top"/>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生活补助</w:t>
            </w:r>
          </w:p>
        </w:tc>
        <w:tc>
          <w:tcPr>
            <w:tcW w:w="161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1030.4</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4" w:type="dxa"/>
            <w:gridSpan w:val="2"/>
            <w:vMerge w:val="continue"/>
            <w:noWrap w:val="0"/>
            <w:vAlign w:val="center"/>
          </w:tcPr>
          <w:p>
            <w:pPr>
              <w:jc w:val="center"/>
              <w:rPr>
                <w:rFonts w:hint="eastAsia" w:ascii="Times New Roman" w:hAnsi="Times New Roman"/>
                <w:sz w:val="24"/>
                <w:szCs w:val="24"/>
              </w:rPr>
            </w:pPr>
          </w:p>
        </w:tc>
        <w:tc>
          <w:tcPr>
            <w:tcW w:w="2985" w:type="dxa"/>
            <w:noWrap w:val="0"/>
            <w:vAlign w:val="center"/>
          </w:tcPr>
          <w:p>
            <w:pPr>
              <w:keepNext w:val="0"/>
              <w:keepLines w:val="0"/>
              <w:widowControl/>
              <w:suppressLineNumbers w:val="0"/>
              <w:jc w:val="both"/>
              <w:textAlignment w:val="top"/>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奖励金</w:t>
            </w:r>
          </w:p>
        </w:tc>
        <w:tc>
          <w:tcPr>
            <w:tcW w:w="161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12.08</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4" w:type="dxa"/>
            <w:gridSpan w:val="2"/>
            <w:vMerge w:val="continue"/>
            <w:noWrap w:val="0"/>
            <w:vAlign w:val="center"/>
          </w:tcPr>
          <w:p>
            <w:pPr>
              <w:jc w:val="center"/>
              <w:rPr>
                <w:rFonts w:hint="eastAsia" w:ascii="Times New Roman" w:hAnsi="Times New Roman"/>
                <w:sz w:val="24"/>
                <w:szCs w:val="24"/>
              </w:rPr>
            </w:pPr>
          </w:p>
        </w:tc>
        <w:tc>
          <w:tcPr>
            <w:tcW w:w="2985" w:type="dxa"/>
            <w:noWrap w:val="0"/>
            <w:vAlign w:val="center"/>
          </w:tcPr>
          <w:p>
            <w:pPr>
              <w:keepNext w:val="0"/>
              <w:keepLines w:val="0"/>
              <w:widowControl/>
              <w:suppressLineNumbers w:val="0"/>
              <w:jc w:val="both"/>
              <w:textAlignment w:val="top"/>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医疗费补助</w:t>
            </w:r>
          </w:p>
        </w:tc>
        <w:tc>
          <w:tcPr>
            <w:tcW w:w="161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57.4</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4" w:type="dxa"/>
            <w:gridSpan w:val="2"/>
            <w:vMerge w:val="continue"/>
            <w:noWrap w:val="0"/>
            <w:vAlign w:val="center"/>
          </w:tcPr>
          <w:p>
            <w:pPr>
              <w:jc w:val="center"/>
              <w:rPr>
                <w:rFonts w:hint="eastAsia" w:ascii="Times New Roman" w:hAnsi="Times New Roman"/>
                <w:sz w:val="24"/>
                <w:szCs w:val="24"/>
              </w:rPr>
            </w:pPr>
          </w:p>
        </w:tc>
        <w:tc>
          <w:tcPr>
            <w:tcW w:w="2985" w:type="dxa"/>
            <w:noWrap w:val="0"/>
            <w:vAlign w:val="center"/>
          </w:tcPr>
          <w:p>
            <w:pPr>
              <w:keepNext w:val="0"/>
              <w:keepLines w:val="0"/>
              <w:widowControl/>
              <w:suppressLineNumbers w:val="0"/>
              <w:jc w:val="both"/>
              <w:textAlignment w:val="top"/>
              <w:rPr>
                <w:rFonts w:hint="eastAsia" w:ascii="Times New Roman" w:hAnsi="Times New Roman" w:eastAsia="宋体"/>
                <w:sz w:val="24"/>
                <w:szCs w:val="24"/>
                <w:lang w:eastAsia="zh-CN"/>
              </w:rPr>
            </w:pPr>
            <w:r>
              <w:rPr>
                <w:rFonts w:hint="eastAsia" w:ascii="Times New Roman" w:hAnsi="Times New Roman" w:eastAsia="宋体" w:cs="宋体"/>
                <w:i w:val="0"/>
                <w:iCs w:val="0"/>
                <w:color w:val="000000"/>
                <w:kern w:val="0"/>
                <w:sz w:val="24"/>
                <w:szCs w:val="24"/>
                <w:u w:val="none"/>
                <w:lang w:val="en-US" w:eastAsia="zh-CN" w:bidi="ar"/>
              </w:rPr>
              <w:t>物业服务补贴</w:t>
            </w:r>
          </w:p>
        </w:tc>
        <w:tc>
          <w:tcPr>
            <w:tcW w:w="161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0</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4" w:type="dxa"/>
            <w:gridSpan w:val="2"/>
            <w:vMerge w:val="continue"/>
            <w:noWrap w:val="0"/>
            <w:vAlign w:val="center"/>
          </w:tcPr>
          <w:p>
            <w:pPr>
              <w:jc w:val="center"/>
              <w:rPr>
                <w:rFonts w:hint="eastAsia" w:ascii="Times New Roman" w:hAnsi="Times New Roman"/>
                <w:sz w:val="24"/>
                <w:szCs w:val="24"/>
              </w:rPr>
            </w:pPr>
          </w:p>
        </w:tc>
        <w:tc>
          <w:tcPr>
            <w:tcW w:w="2985" w:type="dxa"/>
            <w:noWrap w:val="0"/>
            <w:vAlign w:val="center"/>
          </w:tcPr>
          <w:p>
            <w:pPr>
              <w:keepNext w:val="0"/>
              <w:keepLines w:val="0"/>
              <w:widowControl/>
              <w:suppressLineNumbers w:val="0"/>
              <w:jc w:val="both"/>
              <w:textAlignment w:val="top"/>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其他对个人和家庭的补助支出</w:t>
            </w:r>
          </w:p>
        </w:tc>
        <w:tc>
          <w:tcPr>
            <w:tcW w:w="1615" w:type="dxa"/>
            <w:noWrap w:val="0"/>
            <w:vAlign w:val="center"/>
          </w:tcPr>
          <w:p>
            <w:pPr>
              <w:keepNext w:val="0"/>
              <w:keepLines w:val="0"/>
              <w:widowControl/>
              <w:suppressLineNumbers w:val="0"/>
              <w:jc w:val="left"/>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21.02</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4" w:type="dxa"/>
            <w:gridSpan w:val="2"/>
            <w:vMerge w:val="continue"/>
            <w:noWrap w:val="0"/>
            <w:vAlign w:val="center"/>
          </w:tcPr>
          <w:p>
            <w:pPr>
              <w:jc w:val="center"/>
              <w:rPr>
                <w:rFonts w:hint="eastAsia" w:ascii="Times New Roman" w:hAnsi="Times New Roman"/>
                <w:sz w:val="24"/>
                <w:szCs w:val="24"/>
              </w:rPr>
            </w:pPr>
          </w:p>
        </w:tc>
        <w:tc>
          <w:tcPr>
            <w:tcW w:w="2985" w:type="dxa"/>
            <w:noWrap w:val="0"/>
            <w:vAlign w:val="center"/>
          </w:tcPr>
          <w:p>
            <w:pPr>
              <w:keepNext w:val="0"/>
              <w:keepLines w:val="0"/>
              <w:widowControl/>
              <w:suppressLineNumbers w:val="0"/>
              <w:jc w:val="both"/>
              <w:textAlignment w:val="top"/>
              <w:rPr>
                <w:rFonts w:hint="eastAsia" w:ascii="Times New Roman" w:hAnsi="Times New Roman"/>
                <w:sz w:val="24"/>
                <w:szCs w:val="24"/>
              </w:rPr>
            </w:pPr>
            <w:r>
              <w:rPr>
                <w:rFonts w:hint="eastAsia" w:ascii="Times New Roman" w:hAnsi="Times New Roman" w:eastAsia="宋体" w:cs="宋体"/>
                <w:b/>
                <w:bCs/>
                <w:i w:val="0"/>
                <w:iCs w:val="0"/>
                <w:color w:val="000000"/>
                <w:kern w:val="0"/>
                <w:sz w:val="24"/>
                <w:szCs w:val="24"/>
                <w:u w:val="none"/>
                <w:lang w:val="en-US" w:eastAsia="zh-CN" w:bidi="ar"/>
              </w:rPr>
              <w:t>小计</w:t>
            </w:r>
          </w:p>
        </w:tc>
        <w:tc>
          <w:tcPr>
            <w:tcW w:w="161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b/>
                <w:bCs/>
                <w:i w:val="0"/>
                <w:iCs w:val="0"/>
                <w:color w:val="000000"/>
                <w:kern w:val="0"/>
                <w:sz w:val="24"/>
                <w:szCs w:val="24"/>
                <w:u w:val="none"/>
                <w:lang w:val="en-US" w:eastAsia="zh-CN" w:bidi="ar"/>
              </w:rPr>
              <w:t>1123.84</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4" w:type="dxa"/>
            <w:gridSpan w:val="2"/>
            <w:vMerge w:val="restart"/>
            <w:noWrap w:val="0"/>
            <w:vAlign w:val="center"/>
          </w:tcPr>
          <w:p>
            <w:pPr>
              <w:keepNext w:val="0"/>
              <w:keepLines w:val="0"/>
              <w:widowControl/>
              <w:suppressLineNumbers w:val="0"/>
              <w:jc w:val="center"/>
              <w:textAlignment w:val="center"/>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其他资本性支出</w:t>
            </w:r>
          </w:p>
        </w:tc>
        <w:tc>
          <w:tcPr>
            <w:tcW w:w="2985" w:type="dxa"/>
            <w:noWrap w:val="0"/>
            <w:vAlign w:val="center"/>
          </w:tcPr>
          <w:p>
            <w:pPr>
              <w:keepNext w:val="0"/>
              <w:keepLines w:val="0"/>
              <w:widowControl/>
              <w:suppressLineNumbers w:val="0"/>
              <w:jc w:val="both"/>
              <w:textAlignment w:val="top"/>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房屋建筑物购建</w:t>
            </w:r>
          </w:p>
        </w:tc>
        <w:tc>
          <w:tcPr>
            <w:tcW w:w="161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0</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4" w:type="dxa"/>
            <w:gridSpan w:val="2"/>
            <w:vMerge w:val="continue"/>
            <w:noWrap w:val="0"/>
            <w:vAlign w:val="center"/>
          </w:tcPr>
          <w:p>
            <w:pPr>
              <w:jc w:val="center"/>
              <w:rPr>
                <w:rFonts w:hint="eastAsia" w:ascii="Times New Roman" w:hAnsi="Times New Roman"/>
                <w:sz w:val="24"/>
                <w:szCs w:val="24"/>
              </w:rPr>
            </w:pPr>
          </w:p>
        </w:tc>
        <w:tc>
          <w:tcPr>
            <w:tcW w:w="2985" w:type="dxa"/>
            <w:noWrap w:val="0"/>
            <w:vAlign w:val="center"/>
          </w:tcPr>
          <w:p>
            <w:pPr>
              <w:keepNext w:val="0"/>
              <w:keepLines w:val="0"/>
              <w:widowControl/>
              <w:suppressLineNumbers w:val="0"/>
              <w:jc w:val="both"/>
              <w:textAlignment w:val="top"/>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办公设备购置</w:t>
            </w:r>
          </w:p>
        </w:tc>
        <w:tc>
          <w:tcPr>
            <w:tcW w:w="161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9.99</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4" w:type="dxa"/>
            <w:gridSpan w:val="2"/>
            <w:vMerge w:val="continue"/>
            <w:noWrap w:val="0"/>
            <w:vAlign w:val="center"/>
          </w:tcPr>
          <w:p>
            <w:pPr>
              <w:jc w:val="center"/>
              <w:rPr>
                <w:rFonts w:hint="eastAsia" w:ascii="Times New Roman" w:hAnsi="Times New Roman"/>
                <w:sz w:val="24"/>
                <w:szCs w:val="24"/>
              </w:rPr>
            </w:pPr>
          </w:p>
        </w:tc>
        <w:tc>
          <w:tcPr>
            <w:tcW w:w="2985" w:type="dxa"/>
            <w:noWrap w:val="0"/>
            <w:vAlign w:val="center"/>
          </w:tcPr>
          <w:p>
            <w:pPr>
              <w:keepNext w:val="0"/>
              <w:keepLines w:val="0"/>
              <w:widowControl/>
              <w:suppressLineNumbers w:val="0"/>
              <w:jc w:val="both"/>
              <w:textAlignment w:val="top"/>
              <w:rPr>
                <w:rFonts w:hint="eastAsia" w:ascii="Times New Roman" w:hAnsi="Times New Roman"/>
                <w:b/>
                <w:sz w:val="24"/>
                <w:szCs w:val="24"/>
              </w:rPr>
            </w:pPr>
            <w:r>
              <w:rPr>
                <w:rFonts w:hint="eastAsia" w:ascii="Times New Roman" w:hAnsi="Times New Roman" w:eastAsia="宋体" w:cs="宋体"/>
                <w:i w:val="0"/>
                <w:iCs w:val="0"/>
                <w:color w:val="000000"/>
                <w:kern w:val="0"/>
                <w:sz w:val="24"/>
                <w:szCs w:val="24"/>
                <w:u w:val="none"/>
                <w:lang w:val="en-US" w:eastAsia="zh-CN" w:bidi="ar"/>
              </w:rPr>
              <w:t>专用设备购置</w:t>
            </w:r>
          </w:p>
        </w:tc>
        <w:tc>
          <w:tcPr>
            <w:tcW w:w="161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0</w:t>
            </w:r>
          </w:p>
        </w:tc>
        <w:tc>
          <w:tcPr>
            <w:tcW w:w="1918"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4" w:type="dxa"/>
            <w:gridSpan w:val="2"/>
            <w:vMerge w:val="continue"/>
            <w:noWrap w:val="0"/>
            <w:vAlign w:val="center"/>
          </w:tcPr>
          <w:p>
            <w:pPr>
              <w:jc w:val="center"/>
              <w:rPr>
                <w:rFonts w:hint="eastAsia" w:ascii="Times New Roman" w:hAnsi="Times New Roman"/>
                <w:b/>
                <w:sz w:val="24"/>
                <w:szCs w:val="24"/>
              </w:rPr>
            </w:pPr>
          </w:p>
        </w:tc>
        <w:tc>
          <w:tcPr>
            <w:tcW w:w="2985" w:type="dxa"/>
            <w:noWrap w:val="0"/>
            <w:vAlign w:val="center"/>
          </w:tcPr>
          <w:p>
            <w:pPr>
              <w:keepNext w:val="0"/>
              <w:keepLines w:val="0"/>
              <w:widowControl/>
              <w:suppressLineNumbers w:val="0"/>
              <w:jc w:val="both"/>
              <w:textAlignment w:val="top"/>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信息网络及软件购置更新</w:t>
            </w:r>
          </w:p>
        </w:tc>
        <w:tc>
          <w:tcPr>
            <w:tcW w:w="161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0</w:t>
            </w:r>
          </w:p>
        </w:tc>
        <w:tc>
          <w:tcPr>
            <w:tcW w:w="1918" w:type="dxa"/>
            <w:noWrap w:val="0"/>
            <w:vAlign w:val="top"/>
          </w:tcPr>
          <w:p>
            <w:pPr>
              <w:jc w:val="both"/>
              <w:rPr>
                <w:rFonts w:hint="eastAsia" w:ascii="Times New Roman"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4" w:type="dxa"/>
            <w:gridSpan w:val="2"/>
            <w:vMerge w:val="continue"/>
            <w:noWrap w:val="0"/>
            <w:vAlign w:val="center"/>
          </w:tcPr>
          <w:p>
            <w:pPr>
              <w:jc w:val="center"/>
              <w:rPr>
                <w:rFonts w:hint="eastAsia" w:ascii="Times New Roman" w:hAnsi="Times New Roman"/>
                <w:b/>
                <w:sz w:val="24"/>
                <w:szCs w:val="24"/>
              </w:rPr>
            </w:pPr>
          </w:p>
        </w:tc>
        <w:tc>
          <w:tcPr>
            <w:tcW w:w="2985" w:type="dxa"/>
            <w:noWrap w:val="0"/>
            <w:vAlign w:val="center"/>
          </w:tcPr>
          <w:p>
            <w:pPr>
              <w:keepNext w:val="0"/>
              <w:keepLines w:val="0"/>
              <w:widowControl/>
              <w:suppressLineNumbers w:val="0"/>
              <w:jc w:val="both"/>
              <w:textAlignment w:val="top"/>
              <w:rPr>
                <w:rFonts w:hint="eastAsia" w:ascii="Times New Roman" w:hAnsi="Times New Roman" w:eastAsiaTheme="minorEastAsia"/>
                <w:b/>
                <w:bCs/>
                <w:lang w:val="en-US" w:eastAsia="zh-CN"/>
              </w:rPr>
            </w:pPr>
            <w:r>
              <w:rPr>
                <w:rFonts w:hint="eastAsia" w:ascii="Times New Roman" w:hAnsi="Times New Roman"/>
                <w:b/>
                <w:bCs/>
                <w:lang w:val="en-US" w:eastAsia="zh-CN"/>
              </w:rPr>
              <w:t>小计</w:t>
            </w:r>
          </w:p>
        </w:tc>
        <w:tc>
          <w:tcPr>
            <w:tcW w:w="1615" w:type="dxa"/>
            <w:noWrap w:val="0"/>
            <w:vAlign w:val="center"/>
          </w:tcPr>
          <w:p>
            <w:pPr>
              <w:keepNext w:val="0"/>
              <w:keepLines w:val="0"/>
              <w:widowControl/>
              <w:suppressLineNumbers w:val="0"/>
              <w:jc w:val="both"/>
              <w:textAlignment w:val="center"/>
              <w:rPr>
                <w:rFonts w:hint="default" w:ascii="Times New Roman" w:hAnsi="Times New Roman" w:eastAsia="宋体"/>
                <w:b/>
                <w:bCs/>
                <w:sz w:val="24"/>
                <w:szCs w:val="24"/>
                <w:lang w:val="en-US" w:eastAsia="zh-CN"/>
              </w:rPr>
            </w:pPr>
            <w:r>
              <w:rPr>
                <w:rFonts w:hint="eastAsia" w:ascii="Times New Roman" w:hAnsi="Times New Roman" w:eastAsia="宋体" w:cs="宋体"/>
                <w:b/>
                <w:bCs/>
                <w:i w:val="0"/>
                <w:iCs w:val="0"/>
                <w:color w:val="000000"/>
                <w:kern w:val="0"/>
                <w:sz w:val="24"/>
                <w:szCs w:val="24"/>
                <w:u w:val="none"/>
                <w:lang w:val="en-US" w:eastAsia="zh-CN" w:bidi="ar"/>
              </w:rPr>
              <w:t>9.99</w:t>
            </w:r>
          </w:p>
        </w:tc>
        <w:tc>
          <w:tcPr>
            <w:tcW w:w="1918" w:type="dxa"/>
            <w:noWrap w:val="0"/>
            <w:vAlign w:val="top"/>
          </w:tcPr>
          <w:p>
            <w:pPr>
              <w:jc w:val="both"/>
              <w:rPr>
                <w:rFonts w:hint="eastAsia" w:ascii="Times New Roman"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079" w:type="dxa"/>
            <w:gridSpan w:val="3"/>
            <w:noWrap w:val="0"/>
            <w:vAlign w:val="center"/>
          </w:tcPr>
          <w:p>
            <w:pPr>
              <w:keepNext w:val="0"/>
              <w:keepLines w:val="0"/>
              <w:widowControl/>
              <w:suppressLineNumbers w:val="0"/>
              <w:jc w:val="center"/>
              <w:textAlignment w:val="top"/>
              <w:rPr>
                <w:rFonts w:hint="default" w:ascii="Times New Roman" w:hAnsi="Times New Roman" w:eastAsia="宋体" w:cs="宋体"/>
                <w:b/>
                <w:bCs/>
                <w:i w:val="0"/>
                <w:iCs w:val="0"/>
                <w:color w:val="000000"/>
                <w:kern w:val="0"/>
                <w:sz w:val="24"/>
                <w:szCs w:val="24"/>
                <w:u w:val="none"/>
                <w:lang w:val="en-US" w:eastAsia="zh-CN" w:bidi="ar"/>
              </w:rPr>
            </w:pPr>
            <w:r>
              <w:rPr>
                <w:rFonts w:hint="eastAsia" w:ascii="Times New Roman" w:hAnsi="Times New Roman" w:eastAsia="宋体" w:cs="宋体"/>
                <w:b/>
                <w:bCs/>
                <w:i w:val="0"/>
                <w:iCs w:val="0"/>
                <w:color w:val="000000"/>
                <w:kern w:val="0"/>
                <w:sz w:val="24"/>
                <w:szCs w:val="24"/>
                <w:u w:val="none"/>
                <w:lang w:val="en-US" w:eastAsia="zh-CN" w:bidi="ar"/>
              </w:rPr>
              <w:t>合计</w:t>
            </w:r>
          </w:p>
        </w:tc>
        <w:tc>
          <w:tcPr>
            <w:tcW w:w="1615" w:type="dxa"/>
            <w:noWrap w:val="0"/>
            <w:vAlign w:val="center"/>
          </w:tcPr>
          <w:p>
            <w:pPr>
              <w:keepNext w:val="0"/>
              <w:keepLines w:val="0"/>
              <w:widowControl/>
              <w:suppressLineNumbers w:val="0"/>
              <w:jc w:val="both"/>
              <w:textAlignment w:val="center"/>
              <w:rPr>
                <w:rFonts w:hint="eastAsia" w:ascii="Times New Roman" w:hAnsi="Times New Roman" w:eastAsia="宋体" w:cs="宋体"/>
                <w:b/>
                <w:bCs/>
                <w:i w:val="0"/>
                <w:iCs w:val="0"/>
                <w:color w:val="000000"/>
                <w:kern w:val="0"/>
                <w:sz w:val="24"/>
                <w:szCs w:val="24"/>
                <w:u w:val="none"/>
                <w:lang w:val="en-US" w:eastAsia="zh-CN" w:bidi="ar"/>
              </w:rPr>
            </w:pPr>
            <w:r>
              <w:rPr>
                <w:rFonts w:hint="eastAsia" w:ascii="Times New Roman" w:hAnsi="Times New Roman" w:eastAsia="宋体" w:cs="宋体"/>
                <w:b/>
                <w:bCs/>
                <w:i w:val="0"/>
                <w:iCs w:val="0"/>
                <w:color w:val="000000"/>
                <w:kern w:val="0"/>
                <w:sz w:val="24"/>
                <w:szCs w:val="24"/>
                <w:u w:val="none"/>
                <w:lang w:val="en-US" w:eastAsia="zh-CN" w:bidi="ar"/>
              </w:rPr>
              <w:t>23756.12</w:t>
            </w:r>
          </w:p>
        </w:tc>
        <w:tc>
          <w:tcPr>
            <w:tcW w:w="1918" w:type="dxa"/>
            <w:noWrap w:val="0"/>
            <w:vAlign w:val="top"/>
          </w:tcPr>
          <w:p>
            <w:pPr>
              <w:jc w:val="both"/>
              <w:rPr>
                <w:rFonts w:hint="eastAsia" w:ascii="Times New Roman" w:hAnsi="Times New Roman"/>
                <w:b/>
                <w:sz w:val="24"/>
                <w:szCs w:val="24"/>
              </w:rPr>
            </w:pPr>
          </w:p>
        </w:tc>
      </w:tr>
    </w:tbl>
    <w:p>
      <w:pPr>
        <w:numPr>
          <w:ilvl w:val="0"/>
          <w:numId w:val="0"/>
        </w:numPr>
        <w:ind w:leftChars="200"/>
        <w:rPr>
          <w:rFonts w:hint="eastAsia" w:ascii="Times New Roman" w:hAnsi="Times New Roman" w:eastAsia="仿宋_GB2312"/>
          <w:sz w:val="30"/>
          <w:szCs w:val="30"/>
        </w:rPr>
      </w:pPr>
    </w:p>
    <w:p>
      <w:pPr>
        <w:numPr>
          <w:ilvl w:val="0"/>
          <w:numId w:val="3"/>
        </w:numPr>
        <w:ind w:left="0" w:leftChars="0"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专项资金管理情况分析，主要包括管理制度、办法的制订及执行情况。</w:t>
      </w:r>
    </w:p>
    <w:p>
      <w:pPr>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 xml:space="preserve"> </w:t>
      </w:r>
      <w:r>
        <w:rPr>
          <w:rFonts w:hint="eastAsia" w:ascii="Times New Roman" w:hAnsi="Times New Roman" w:eastAsia="仿宋_GB2312"/>
          <w:sz w:val="30"/>
          <w:szCs w:val="30"/>
          <w:lang w:val="en-US" w:eastAsia="zh-CN"/>
        </w:rPr>
        <w:t>为规范项目专项资金管理，明确管理职责，建立科学的财政专项资金运行机制，提高财政资金的使用效率，根据《省级财政专项资金管理办法》和《长沙市城市管理专项资金管理办法》等法律法规，严格按照管理办法对专项资金的分配范围、申报和使用程序、项目资金监督管理的要求，规范专项资金的收支使用，保证专款专用，各项资金管理制度均得到了有效执行。</w:t>
      </w:r>
    </w:p>
    <w:p>
      <w:pPr>
        <w:numPr>
          <w:ilvl w:val="0"/>
          <w:numId w:val="4"/>
        </w:numPr>
        <w:ind w:firstLine="753" w:firstLineChars="250"/>
        <w:rPr>
          <w:rFonts w:hint="eastAsia" w:ascii="Times New Roman" w:hAnsi="Times New Roman" w:eastAsia="仿宋_GB2312"/>
          <w:b/>
          <w:sz w:val="30"/>
          <w:szCs w:val="30"/>
        </w:rPr>
      </w:pPr>
      <w:r>
        <w:rPr>
          <w:rFonts w:hint="eastAsia" w:ascii="Times New Roman" w:hAnsi="Times New Roman" w:eastAsia="仿宋_GB2312"/>
          <w:b/>
          <w:sz w:val="30"/>
          <w:szCs w:val="30"/>
        </w:rPr>
        <w:t xml:space="preserve">部门专项组织实施情况 </w:t>
      </w:r>
    </w:p>
    <w:p>
      <w:pPr>
        <w:numPr>
          <w:ilvl w:val="0"/>
          <w:numId w:val="0"/>
        </w:numPr>
        <w:ind w:firstLine="600" w:firstLineChars="200"/>
        <w:rPr>
          <w:rFonts w:hint="eastAsia" w:ascii="Times New Roman" w:hAnsi="Times New Roman" w:eastAsia="仿宋_GB2312"/>
          <w:b/>
          <w:sz w:val="30"/>
          <w:szCs w:val="30"/>
        </w:rPr>
      </w:pPr>
      <w:r>
        <w:rPr>
          <w:rFonts w:hint="eastAsia" w:ascii="Times New Roman" w:hAnsi="Times New Roman" w:eastAsia="仿宋_GB2312"/>
          <w:b w:val="0"/>
          <w:bCs/>
          <w:sz w:val="30"/>
          <w:szCs w:val="30"/>
          <w:lang w:val="en-US" w:eastAsia="zh-CN"/>
        </w:rPr>
        <w:t>（一）环卫维护项目</w:t>
      </w:r>
    </w:p>
    <w:p>
      <w:pPr>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lang w:val="en-US" w:eastAsia="zh-CN"/>
        </w:rPr>
        <w:t>1.</w:t>
      </w:r>
      <w:r>
        <w:rPr>
          <w:rFonts w:hint="eastAsia" w:ascii="Times New Roman" w:hAnsi="Times New Roman" w:eastAsia="仿宋_GB2312"/>
          <w:sz w:val="30"/>
          <w:szCs w:val="30"/>
        </w:rPr>
        <w:t xml:space="preserve">专项组织情况分析，主要包括项目招投标、调整、竣工验收等情况。 </w:t>
      </w:r>
    </w:p>
    <w:p>
      <w:pPr>
        <w:ind w:firstLine="600" w:firstLineChars="200"/>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我中心根据《中华人民共和国政府采购法》、《中华人民共和国招标投标法》以及《雨花区政府采购管理办法》等有关规定，结合中心实际情况，特制定《</w:t>
      </w:r>
      <w:bookmarkStart w:id="0" w:name="_Toc481487492"/>
      <w:bookmarkStart w:id="1" w:name="_Toc500881776"/>
      <w:r>
        <w:rPr>
          <w:rFonts w:hint="eastAsia" w:ascii="Times New Roman" w:hAnsi="Times New Roman" w:eastAsia="仿宋_GB2312"/>
          <w:sz w:val="30"/>
          <w:szCs w:val="30"/>
          <w:lang w:val="en-US" w:eastAsia="zh-CN"/>
        </w:rPr>
        <w:t>雨花区环卫维护中心政府采购内部控制制度</w:t>
      </w:r>
      <w:bookmarkEnd w:id="0"/>
      <w:bookmarkEnd w:id="1"/>
      <w:r>
        <w:rPr>
          <w:rFonts w:hint="eastAsia" w:ascii="Times New Roman" w:hAnsi="Times New Roman" w:eastAsia="仿宋_GB2312"/>
          <w:sz w:val="30"/>
          <w:szCs w:val="30"/>
          <w:lang w:val="en-US" w:eastAsia="zh-CN"/>
        </w:rPr>
        <w:t>》，并在项目招投标过程中严格执行招投标法规制度，公开招标选定服务单位,制定服务单位考核办法,签定服务合同,建立了专项督查考核队伍，通过数字化考核和外巡督查考核等形式督促服务单位保障作业服务质量。</w:t>
      </w:r>
    </w:p>
    <w:p>
      <w:pPr>
        <w:ind w:firstLine="600" w:firstLineChars="200"/>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环卫业务室是日常维护项目竣工验收的综合管理部门，安技室负责车辆采购的验收工作，基础设施室负责基础设施建设项目的验收工作。</w:t>
      </w:r>
    </w:p>
    <w:p>
      <w:pPr>
        <w:ind w:firstLine="600" w:firstLineChars="200"/>
        <w:rPr>
          <w:rFonts w:hint="default" w:ascii="Times New Roman" w:hAnsi="Times New Roman"/>
          <w:sz w:val="30"/>
          <w:szCs w:val="30"/>
          <w:lang w:val="en-US" w:eastAsia="zh-CN"/>
        </w:rPr>
      </w:pPr>
      <w:r>
        <w:rPr>
          <w:rFonts w:hint="eastAsia" w:ascii="Times New Roman" w:hAnsi="Times New Roman" w:eastAsia="仿宋_GB2312"/>
          <w:sz w:val="30"/>
          <w:szCs w:val="30"/>
          <w:lang w:val="en-US" w:eastAsia="zh-CN"/>
        </w:rPr>
        <w:t>竣工验收工作分为两步进行，先由环卫业务室组织13个环卫所开展内部验收工作，验收合格后，再请代理服务单位</w:t>
      </w:r>
      <w:bookmarkStart w:id="2" w:name="_GoBack"/>
      <w:bookmarkEnd w:id="2"/>
      <w:r>
        <w:rPr>
          <w:rFonts w:hint="eastAsia" w:ascii="Times New Roman" w:hAnsi="Times New Roman" w:eastAsia="仿宋_GB2312"/>
          <w:sz w:val="30"/>
          <w:szCs w:val="30"/>
          <w:lang w:val="en-US" w:eastAsia="zh-CN"/>
        </w:rPr>
        <w:t>组织专家开展外部验收工作，以保证项目质量，提升作业服务水平。我中心也对各项目专用材料费、化粪池清掏等均根据要求进行了政府集中招标采购，并及时进行验收，按照合同付款。本着材料节约的原则对材料使用情况进行台账登记及审核。</w:t>
      </w:r>
    </w:p>
    <w:p>
      <w:pPr>
        <w:numPr>
          <w:ilvl w:val="0"/>
          <w:numId w:val="0"/>
        </w:numPr>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lang w:val="en-US" w:eastAsia="zh-CN"/>
        </w:rPr>
        <w:t>2.</w:t>
      </w:r>
      <w:r>
        <w:rPr>
          <w:rFonts w:hint="eastAsia" w:ascii="Times New Roman" w:hAnsi="Times New Roman" w:eastAsia="仿宋_GB2312"/>
          <w:sz w:val="30"/>
          <w:szCs w:val="30"/>
        </w:rPr>
        <w:t>专项管理情况分析，主要包括项目管理制度建设、日常检查监督管理等情况。</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sz w:val="30"/>
          <w:szCs w:val="30"/>
        </w:rPr>
        <w:t xml:space="preserve"> </w:t>
      </w:r>
      <w:r>
        <w:rPr>
          <w:rFonts w:hint="eastAsia" w:ascii="Times New Roman" w:hAnsi="Times New Roman" w:eastAsia="仿宋_GB2312"/>
          <w:sz w:val="30"/>
          <w:szCs w:val="30"/>
          <w:lang w:val="en-US" w:eastAsia="zh-CN"/>
        </w:rPr>
        <w:t>依据市区局工作目标和要求，为了发挥业务竞赛激励机制和整改机制的作用，全面优化环卫维护作业方式，推进全中心业务水平的提升，</w:t>
      </w:r>
      <w:r>
        <w:rPr>
          <w:rFonts w:hint="eastAsia" w:ascii="Times New Roman" w:hAnsi="Times New Roman" w:eastAsia="仿宋_GB2312" w:cs="Times New Roman"/>
          <w:sz w:val="30"/>
          <w:szCs w:val="30"/>
          <w:lang w:val="en-US" w:eastAsia="zh-CN"/>
        </w:rPr>
        <w:t>本单位制定了《2021年雨花区环卫中心业务管理考核细则》、《雨花区环卫中心管理员业务检查日志考核规定》、《雨花区环卫中心一线清扫人员管理考核规定》、《雨花区环卫中心道路交通隔离设施清洗维护服务管理方案》、《跳马镇环卫保洁市场化运作考核办法》等制度进行日常业务的管理与监督。</w:t>
      </w:r>
    </w:p>
    <w:p>
      <w:pPr>
        <w:tabs>
          <w:tab w:val="left" w:pos="0"/>
          <w:tab w:val="left" w:pos="8820"/>
        </w:tabs>
        <w:ind w:firstLine="600" w:firstLineChars="200"/>
        <w:rPr>
          <w:rFonts w:hint="eastAsia" w:ascii="Times New Roman" w:hAnsi="Times New Roman" w:eastAsia="仿宋_GB2312" w:cstheme="minorBidi"/>
          <w:kern w:val="2"/>
          <w:sz w:val="30"/>
          <w:szCs w:val="30"/>
          <w:lang w:val="en-US" w:eastAsia="zh-CN" w:bidi="ar-SA"/>
        </w:rPr>
      </w:pPr>
      <w:r>
        <w:rPr>
          <w:rFonts w:hint="eastAsia" w:ascii="Times New Roman" w:hAnsi="Times New Roman" w:eastAsia="仿宋" w:cs="仿宋"/>
          <w:color w:val="auto"/>
          <w:sz w:val="30"/>
          <w:szCs w:val="30"/>
          <w:lang w:eastAsia="zh-CN"/>
        </w:rPr>
        <w:t>环卫业务室作为牵头部门，负责道路、站厕、通道、交通隔离栏的督查、考核等管理工作。</w:t>
      </w:r>
      <w:r>
        <w:rPr>
          <w:rFonts w:hint="eastAsia" w:ascii="Times New Roman" w:hAnsi="Times New Roman" w:eastAsia="仿宋_GB2312" w:cstheme="minorBidi"/>
          <w:kern w:val="2"/>
          <w:sz w:val="30"/>
          <w:szCs w:val="30"/>
          <w:lang w:val="en-US" w:eastAsia="zh-CN" w:bidi="ar-SA"/>
        </w:rPr>
        <w:t>各环卫所负责具体实施辖区内主次干道、公共部位的洗扫保洁、环卫基础设施维护。各环卫所执行“一把手”负责制和问责制，环卫所长为第一责任人。</w:t>
      </w:r>
    </w:p>
    <w:p>
      <w:pPr>
        <w:tabs>
          <w:tab w:val="left" w:pos="0"/>
          <w:tab w:val="left" w:pos="8820"/>
        </w:tabs>
        <w:ind w:firstLine="600" w:firstLineChars="200"/>
        <w:rPr>
          <w:rFonts w:hint="eastAsia" w:ascii="Times New Roman" w:hAnsi="Times New Roman" w:eastAsia="仿宋_GB2312" w:cstheme="minorBidi"/>
          <w:kern w:val="2"/>
          <w:sz w:val="30"/>
          <w:szCs w:val="30"/>
          <w:lang w:val="en-US" w:eastAsia="zh-CN" w:bidi="ar-SA"/>
        </w:rPr>
      </w:pPr>
      <w:r>
        <w:rPr>
          <w:rFonts w:hint="eastAsia" w:ascii="Times New Roman" w:hAnsi="Times New Roman" w:eastAsia="仿宋_GB2312"/>
          <w:sz w:val="30"/>
          <w:szCs w:val="30"/>
          <w:lang w:val="en-US" w:eastAsia="zh-CN"/>
        </w:rPr>
        <w:t>业务督查人员每日对13个环卫所的环卫作业和环卫设施维护情况进行巡查考核，并整改回查，采取“日检查、周通报、月讲评”的考核机制，将考核结果纳入绩效考评，奖勤罚懒，以促使业务管理水平不断提升，环境卫生水平进一步提质。根据《雨花区环卫局垃圾运输规范管理方案》，严格对各站垃圾运输车辆的车貌、运力、运距进行监督、考察和审核，定期核定各部门运输车辆的每月运输任务。其中针对二环线保洁维护，雨花区市容环境卫生维护中心对环线的环境卫生进行统一的管理</w:t>
      </w:r>
      <w:r>
        <w:rPr>
          <w:rFonts w:hint="eastAsia" w:ascii="Times New Roman" w:hAnsi="Times New Roman" w:eastAsia="仿宋_GB2312"/>
          <w:sz w:val="30"/>
          <w:szCs w:val="30"/>
          <w:highlight w:val="none"/>
          <w:lang w:val="en-US" w:eastAsia="zh-CN"/>
        </w:rPr>
        <w:t>和监督考核，涵盖5个环卫所作为具体的实施部门。新增项目由我中</w:t>
      </w:r>
      <w:r>
        <w:rPr>
          <w:rFonts w:hint="eastAsia" w:ascii="Times New Roman" w:hAnsi="Times New Roman" w:eastAsia="仿宋_GB2312"/>
          <w:sz w:val="30"/>
          <w:szCs w:val="30"/>
          <w:lang w:val="en-US" w:eastAsia="zh-CN"/>
        </w:rPr>
        <w:t>心完成验收等工作。采用快车道以机械洗扫保洁为主，匝道配合人工清扫保洁的方式进行维护作业。同时，对全区交通隔离栏进行清洗维护。</w:t>
      </w:r>
    </w:p>
    <w:p>
      <w:pPr>
        <w:numPr>
          <w:ilvl w:val="0"/>
          <w:numId w:val="0"/>
        </w:numPr>
        <w:ind w:firstLine="600" w:firstLineChars="200"/>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（二）其他资本性支出</w:t>
      </w:r>
    </w:p>
    <w:p>
      <w:pPr>
        <w:numPr>
          <w:ilvl w:val="0"/>
          <w:numId w:val="0"/>
        </w:numPr>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lang w:val="en-US" w:eastAsia="zh-CN"/>
        </w:rPr>
        <w:t>1.</w:t>
      </w:r>
      <w:r>
        <w:rPr>
          <w:rFonts w:hint="eastAsia" w:ascii="Times New Roman" w:hAnsi="Times New Roman" w:eastAsia="仿宋_GB2312"/>
          <w:sz w:val="30"/>
          <w:szCs w:val="30"/>
        </w:rPr>
        <w:t xml:space="preserve">专项组织情况分析，主要包括项目招投标、调整、竣工验收等情况。 </w:t>
      </w:r>
    </w:p>
    <w:p>
      <w:pPr>
        <w:ind w:firstLine="600" w:firstLineChars="200"/>
        <w:rPr>
          <w:rFonts w:hint="eastAsia" w:ascii="Times New Roman" w:hAnsi="Times New Roman"/>
          <w:sz w:val="30"/>
          <w:szCs w:val="30"/>
        </w:rPr>
      </w:pPr>
      <w:r>
        <w:rPr>
          <w:rFonts w:hint="eastAsia" w:ascii="Times New Roman" w:hAnsi="Times New Roman" w:eastAsia="仿宋_GB2312"/>
          <w:sz w:val="30"/>
          <w:szCs w:val="30"/>
          <w:lang w:val="en-US" w:eastAsia="zh-CN"/>
        </w:rPr>
        <w:t>其他资本性支出包括房屋建筑物购置、办公设备购置、专用设备购置、交通工具购置、基础设施建设、大型修缮、其他资本性支出。办公设备购置由办公室负责，专用设备购置、基础设施建设、大型修缮由</w:t>
      </w:r>
      <w:r>
        <w:rPr>
          <w:rFonts w:hint="eastAsia" w:ascii="Times New Roman" w:hAnsi="Times New Roman" w:eastAsia="仿宋_GB2312"/>
          <w:sz w:val="30"/>
          <w:szCs w:val="30"/>
          <w:highlight w:val="none"/>
          <w:lang w:val="en-US" w:eastAsia="zh-CN"/>
        </w:rPr>
        <w:t>基础设施室</w:t>
      </w:r>
      <w:r>
        <w:rPr>
          <w:rFonts w:hint="eastAsia" w:ascii="Times New Roman" w:hAnsi="Times New Roman" w:eastAsia="仿宋_GB2312"/>
          <w:sz w:val="30"/>
          <w:szCs w:val="30"/>
          <w:lang w:val="en-US" w:eastAsia="zh-CN"/>
        </w:rPr>
        <w:t>负责，业务车辆购置由安技室负责。资本性支出项目均及时完成了验收工作。</w:t>
      </w:r>
    </w:p>
    <w:p>
      <w:pPr>
        <w:numPr>
          <w:ilvl w:val="0"/>
          <w:numId w:val="0"/>
        </w:numPr>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lang w:val="en-US" w:eastAsia="zh-CN"/>
        </w:rPr>
        <w:t>2.</w:t>
      </w:r>
      <w:r>
        <w:rPr>
          <w:rFonts w:hint="eastAsia" w:ascii="Times New Roman" w:hAnsi="Times New Roman" w:eastAsia="仿宋_GB2312"/>
          <w:sz w:val="30"/>
          <w:szCs w:val="30"/>
        </w:rPr>
        <w:t>项目管理情况</w:t>
      </w:r>
    </w:p>
    <w:p>
      <w:pPr>
        <w:ind w:firstLine="600" w:firstLineChars="200"/>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highlight w:val="none"/>
          <w:lang w:val="en-US" w:eastAsia="zh-CN"/>
        </w:rPr>
        <w:t>设备及业务车辆购置均按照政府采购相关规定执行，要求政府采购的均进行了政府集中招标采购。项目建设事项由发改委申请立项，再通过公共交易中心抽签施工队伍，施工过程中由基础设施室进行管理与沟</w:t>
      </w:r>
      <w:r>
        <w:rPr>
          <w:rFonts w:hint="eastAsia" w:ascii="Times New Roman" w:hAnsi="Times New Roman" w:eastAsia="仿宋_GB2312"/>
          <w:sz w:val="30"/>
          <w:szCs w:val="30"/>
          <w:lang w:val="en-US" w:eastAsia="zh-CN"/>
        </w:rPr>
        <w:t>通。在工程项目建设中严格按照环卫基建管理制度进行建设，工程施工中出现需要修改项目的问题积极与领导沟通，第一时间解决问题。成立巡查小组，每周对所有项目进行巡查，发现问题立马责令整改，每月对项目工程进度总结，实时了解工程情况，分定期召开安全会议，避免安全事故的发生。</w:t>
      </w:r>
    </w:p>
    <w:p>
      <w:pPr>
        <w:numPr>
          <w:ilvl w:val="0"/>
          <w:numId w:val="5"/>
        </w:numPr>
        <w:ind w:firstLine="753" w:firstLineChars="250"/>
        <w:rPr>
          <w:rFonts w:hint="eastAsia" w:ascii="Times New Roman" w:hAnsi="Times New Roman" w:eastAsia="仿宋_GB2312"/>
          <w:b/>
          <w:sz w:val="30"/>
          <w:szCs w:val="30"/>
        </w:rPr>
      </w:pPr>
      <w:r>
        <w:rPr>
          <w:rFonts w:hint="eastAsia" w:ascii="Times New Roman" w:hAnsi="Times New Roman" w:eastAsia="仿宋_GB2312"/>
          <w:b/>
          <w:sz w:val="30"/>
          <w:szCs w:val="30"/>
        </w:rPr>
        <w:t>资产管理情况 反映部门资产的配置、管理、处置等综合情况。包括制度建设、管理措施、配置处置的程序等。</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rPr>
        <w:t xml:space="preserve"> </w:t>
      </w:r>
      <w:r>
        <w:rPr>
          <w:rFonts w:hint="eastAsia" w:ascii="Times New Roman" w:hAnsi="Times New Roman" w:eastAsia="仿宋_GB2312"/>
          <w:sz w:val="30"/>
          <w:szCs w:val="30"/>
          <w:lang w:val="en-US" w:eastAsia="zh-CN"/>
        </w:rPr>
        <w:t>为了规范和加强国有资产配置、使用和处置管理，优化资产结构，提高资产使用效益，推进资产管理与预算管理有机结合，本单位严格按照法定程序和权限配置、使用、处置资产制度执行。并依据</w:t>
      </w:r>
      <w:r>
        <w:rPr>
          <w:rFonts w:hint="eastAsia" w:ascii="Times New Roman" w:hAnsi="Times New Roman" w:eastAsia="仿宋_GB2312"/>
          <w:sz w:val="30"/>
          <w:szCs w:val="30"/>
          <w:highlight w:val="none"/>
          <w:lang w:val="en-US" w:eastAsia="zh-CN"/>
        </w:rPr>
        <w:t>《行政事业单位国有资产管理办法》、《长沙市行政事业单位资产管理实施办法》（长政办发〔2011〕1号）以及</w:t>
      </w:r>
      <w:r>
        <w:rPr>
          <w:rFonts w:hint="eastAsia" w:ascii="Times New Roman" w:hAnsi="Times New Roman" w:eastAsia="仿宋" w:cs="仿宋"/>
          <w:spacing w:val="2"/>
          <w:sz w:val="30"/>
          <w:szCs w:val="30"/>
          <w:highlight w:val="none"/>
        </w:rPr>
        <w:t>《关</w:t>
      </w:r>
      <w:r>
        <w:rPr>
          <w:rFonts w:hint="eastAsia" w:ascii="Times New Roman" w:hAnsi="Times New Roman" w:eastAsia="仿宋" w:cs="仿宋"/>
          <w:spacing w:val="2"/>
          <w:sz w:val="30"/>
          <w:szCs w:val="30"/>
        </w:rPr>
        <w:t>于印发&lt;雨花区行政事业单位国有资产管理实施细则&gt;、&lt;雨花区行政事业单位国有资产配置管理规定&gt;、&lt;雨花区行政事业单位通用资产配置标准&gt;的通知》（雨财发〔2019〕39号）</w:t>
      </w:r>
      <w:r>
        <w:rPr>
          <w:rFonts w:hint="eastAsia" w:ascii="Times New Roman" w:hAnsi="Times New Roman" w:eastAsia="仿宋_GB2312"/>
          <w:sz w:val="30"/>
          <w:szCs w:val="30"/>
          <w:highlight w:val="none"/>
          <w:lang w:val="en-US" w:eastAsia="zh-CN"/>
        </w:rPr>
        <w:t>制定了《雨花区环卫中心固定资产管理制度》，连同《雨花区环卫中心财务管理制度》对固定</w:t>
      </w:r>
      <w:r>
        <w:rPr>
          <w:rFonts w:hint="eastAsia" w:ascii="Times New Roman" w:hAnsi="Times New Roman" w:eastAsia="仿宋_GB2312"/>
          <w:sz w:val="30"/>
          <w:szCs w:val="30"/>
          <w:lang w:val="en-US" w:eastAsia="zh-CN"/>
        </w:rPr>
        <w:t>资产的范围、使用年限以及管理、核算、购置、验收、保管、使用、清查和追溯等都明确有严格的规定、程序和管理。</w:t>
      </w:r>
    </w:p>
    <w:p>
      <w:pPr>
        <w:numPr>
          <w:ilvl w:val="0"/>
          <w:numId w:val="5"/>
        </w:numPr>
        <w:ind w:left="0" w:leftChars="0" w:firstLine="753" w:firstLineChars="250"/>
        <w:rPr>
          <w:rFonts w:hint="eastAsia" w:ascii="Times New Roman" w:hAnsi="Times New Roman" w:eastAsia="仿宋_GB2312"/>
          <w:b/>
          <w:sz w:val="30"/>
          <w:szCs w:val="30"/>
        </w:rPr>
      </w:pPr>
      <w:r>
        <w:rPr>
          <w:rFonts w:hint="eastAsia" w:ascii="Times New Roman" w:hAnsi="Times New Roman" w:eastAsia="仿宋_GB2312"/>
          <w:b/>
          <w:sz w:val="30"/>
          <w:szCs w:val="30"/>
        </w:rPr>
        <w:t>部门整体支出绩效情况 反映部门履职及履职效益情况。</w:t>
      </w:r>
    </w:p>
    <w:p>
      <w:pPr>
        <w:numPr>
          <w:ilvl w:val="0"/>
          <w:numId w:val="0"/>
        </w:numPr>
        <w:ind w:firstLine="602"/>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雨花区环卫维护中心2021年度大力实施环卫维护项目建设，加大了对环卫业务的日常维护、交通隔离栏清洗保洁维护等力度，效果明显。通过新建、续建和改造站厕，安装除臭设施、改造垃圾运输车工作，进一步提升了环卫基础设施整体功能和水平。为实现“品质雨花”和建设人民满意的文明城市做出了贡献。项目产出及效益情况分析如下：</w:t>
      </w:r>
    </w:p>
    <w:p>
      <w:pPr>
        <w:numPr>
          <w:ilvl w:val="0"/>
          <w:numId w:val="0"/>
        </w:numPr>
        <w:ind w:firstLine="602"/>
        <w:rPr>
          <w:rFonts w:hint="default"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1、营造了良好的经济发展和生活环境</w:t>
      </w:r>
    </w:p>
    <w:p>
      <w:pPr>
        <w:numPr>
          <w:ilvl w:val="0"/>
          <w:numId w:val="0"/>
        </w:numPr>
        <w:ind w:firstLine="602"/>
        <w:rPr>
          <w:rFonts w:hint="eastAsia" w:ascii="Times New Roman" w:hAnsi="Times New Roman" w:eastAsia="仿宋"/>
          <w:color w:val="auto"/>
          <w:sz w:val="30"/>
          <w:szCs w:val="30"/>
          <w:highlight w:val="none"/>
        </w:rPr>
      </w:pPr>
      <w:r>
        <w:rPr>
          <w:rFonts w:hint="eastAsia" w:ascii="Times New Roman" w:hAnsi="Times New Roman" w:eastAsia="仿宋_GB2312"/>
          <w:sz w:val="30"/>
          <w:szCs w:val="30"/>
          <w:lang w:val="en-US" w:eastAsia="zh-CN"/>
        </w:rPr>
        <w:t>2021年，我中心对全区环卫工作机制进一步优化，环卫基础设施</w:t>
      </w:r>
      <w:r>
        <w:rPr>
          <w:rFonts w:hint="eastAsia" w:ascii="Times New Roman" w:hAnsi="Times New Roman" w:eastAsia="仿宋_GB2312"/>
          <w:sz w:val="30"/>
          <w:szCs w:val="30"/>
          <w:highlight w:val="none"/>
          <w:lang w:val="en-US" w:eastAsia="zh-CN"/>
        </w:rPr>
        <w:t>进一步完善，全区主次干道洁净度明显提高。</w:t>
      </w:r>
      <w:r>
        <w:rPr>
          <w:rFonts w:hint="eastAsia" w:ascii="Times New Roman" w:hAnsi="Times New Roman" w:eastAsia="仿宋"/>
          <w:color w:val="auto"/>
          <w:sz w:val="30"/>
          <w:szCs w:val="30"/>
          <w:highlight w:val="none"/>
        </w:rPr>
        <w:t>通过实施网格化常态管理，对辖区内的道路、站厕、绿化带、人行通道、人行天桥进行全面清扫和维护，完成了</w:t>
      </w:r>
      <w:r>
        <w:rPr>
          <w:rFonts w:hint="eastAsia" w:ascii="Times New Roman" w:hAnsi="Times New Roman" w:eastAsia="仿宋"/>
          <w:color w:val="auto"/>
          <w:sz w:val="30"/>
          <w:szCs w:val="30"/>
          <w:highlight w:val="none"/>
          <w:lang w:val="en-US" w:eastAsia="zh-CN"/>
        </w:rPr>
        <w:t>984.13万</w:t>
      </w:r>
      <w:r>
        <w:rPr>
          <w:rFonts w:hint="eastAsia" w:ascii="Times New Roman" w:hAnsi="Times New Roman" w:eastAsia="仿宋"/>
          <w:color w:val="auto"/>
          <w:sz w:val="30"/>
          <w:szCs w:val="30"/>
          <w:highlight w:val="none"/>
        </w:rPr>
        <w:t>平方米的道路清扫，</w:t>
      </w:r>
      <w:r>
        <w:rPr>
          <w:rFonts w:hint="eastAsia" w:ascii="Times New Roman" w:hAnsi="Times New Roman" w:eastAsia="仿宋"/>
          <w:color w:val="auto"/>
          <w:sz w:val="30"/>
          <w:szCs w:val="30"/>
          <w:highlight w:val="none"/>
          <w:lang w:val="en-US" w:eastAsia="zh-CN"/>
        </w:rPr>
        <w:t>380万平方米的跳马镇区域清扫保洁，113</w:t>
      </w:r>
      <w:r>
        <w:rPr>
          <w:rFonts w:hint="eastAsia" w:ascii="Times New Roman" w:hAnsi="Times New Roman" w:eastAsia="仿宋"/>
          <w:color w:val="auto"/>
          <w:sz w:val="30"/>
          <w:szCs w:val="30"/>
          <w:highlight w:val="none"/>
        </w:rPr>
        <w:t>座站厕清扫和</w:t>
      </w:r>
      <w:r>
        <w:rPr>
          <w:rFonts w:hint="eastAsia" w:ascii="Times New Roman" w:hAnsi="Times New Roman" w:eastAsia="仿宋"/>
          <w:color w:val="auto"/>
          <w:sz w:val="30"/>
          <w:szCs w:val="30"/>
          <w:highlight w:val="none"/>
          <w:lang w:val="en-US" w:eastAsia="zh-CN"/>
        </w:rPr>
        <w:t>38</w:t>
      </w:r>
      <w:r>
        <w:rPr>
          <w:rFonts w:hint="eastAsia" w:ascii="Times New Roman" w:hAnsi="Times New Roman" w:eastAsia="仿宋"/>
          <w:color w:val="auto"/>
          <w:sz w:val="30"/>
          <w:szCs w:val="30"/>
          <w:highlight w:val="none"/>
        </w:rPr>
        <w:t>座人行通道清</w:t>
      </w:r>
      <w:r>
        <w:rPr>
          <w:rFonts w:hint="eastAsia" w:ascii="Times New Roman" w:hAnsi="Times New Roman" w:eastAsia="仿宋"/>
          <w:color w:val="auto"/>
          <w:sz w:val="30"/>
          <w:szCs w:val="30"/>
          <w:highlight w:val="none"/>
          <w:lang w:val="en-US" w:eastAsia="zh-CN"/>
        </w:rPr>
        <w:t>扫以及</w:t>
      </w:r>
      <w:r>
        <w:rPr>
          <w:rFonts w:hint="eastAsia" w:ascii="Times New Roman" w:hAnsi="Times New Roman" w:eastAsia="仿宋_GB2312" w:cs="宋体"/>
          <w:color w:val="000000"/>
          <w:kern w:val="0"/>
          <w:sz w:val="30"/>
          <w:szCs w:val="30"/>
          <w:lang w:eastAsia="zh-CN"/>
        </w:rPr>
        <w:t>果皮筒等日常维护</w:t>
      </w:r>
      <w:r>
        <w:rPr>
          <w:rFonts w:hint="eastAsia" w:ascii="Times New Roman" w:hAnsi="Times New Roman" w:eastAsia="仿宋"/>
          <w:color w:val="auto"/>
          <w:sz w:val="30"/>
          <w:szCs w:val="30"/>
          <w:highlight w:val="none"/>
          <w:lang w:eastAsia="zh-CN"/>
        </w:rPr>
        <w:t>，</w:t>
      </w:r>
      <w:r>
        <w:rPr>
          <w:rFonts w:hint="eastAsia" w:ascii="Times New Roman" w:hAnsi="Times New Roman" w:eastAsia="仿宋" w:cs="仿宋"/>
          <w:color w:val="auto"/>
          <w:sz w:val="30"/>
          <w:szCs w:val="30"/>
          <w:highlight w:val="none"/>
        </w:rPr>
        <w:t>清除粘贴式牛皮癣</w:t>
      </w:r>
      <w:r>
        <w:rPr>
          <w:rFonts w:hint="eastAsia" w:ascii="Times New Roman" w:hAnsi="Times New Roman" w:eastAsia="仿宋"/>
          <w:color w:val="auto"/>
          <w:sz w:val="30"/>
          <w:szCs w:val="30"/>
          <w:highlight w:val="none"/>
        </w:rPr>
        <w:t>260</w:t>
      </w:r>
      <w:r>
        <w:rPr>
          <w:rFonts w:hint="eastAsia" w:ascii="Times New Roman" w:hAnsi="Times New Roman" w:eastAsia="仿宋" w:cs="仿宋"/>
          <w:color w:val="auto"/>
          <w:sz w:val="30"/>
          <w:szCs w:val="30"/>
          <w:highlight w:val="none"/>
        </w:rPr>
        <w:t>处、牛皮癣残迹</w:t>
      </w:r>
      <w:r>
        <w:rPr>
          <w:rFonts w:hint="eastAsia" w:ascii="Times New Roman" w:hAnsi="Times New Roman" w:eastAsia="仿宋"/>
          <w:color w:val="auto"/>
          <w:sz w:val="30"/>
          <w:szCs w:val="30"/>
          <w:highlight w:val="none"/>
        </w:rPr>
        <w:t>517</w:t>
      </w:r>
      <w:r>
        <w:rPr>
          <w:rFonts w:hint="eastAsia" w:ascii="Times New Roman" w:hAnsi="Times New Roman" w:eastAsia="仿宋" w:cs="仿宋"/>
          <w:color w:val="auto"/>
          <w:sz w:val="30"/>
          <w:szCs w:val="30"/>
          <w:highlight w:val="none"/>
        </w:rPr>
        <w:t>处，清除覆盖涂鸦式牛皮癣</w:t>
      </w:r>
      <w:r>
        <w:rPr>
          <w:rFonts w:hint="eastAsia" w:ascii="Times New Roman" w:hAnsi="Times New Roman" w:eastAsia="仿宋"/>
          <w:color w:val="auto"/>
          <w:sz w:val="30"/>
          <w:szCs w:val="30"/>
          <w:highlight w:val="none"/>
        </w:rPr>
        <w:t>169</w:t>
      </w:r>
      <w:r>
        <w:rPr>
          <w:rFonts w:hint="eastAsia" w:ascii="Times New Roman" w:hAnsi="Times New Roman" w:eastAsia="仿宋" w:cs="仿宋"/>
          <w:color w:val="auto"/>
          <w:sz w:val="30"/>
          <w:szCs w:val="30"/>
          <w:highlight w:val="none"/>
        </w:rPr>
        <w:t>处</w:t>
      </w:r>
      <w:r>
        <w:rPr>
          <w:rFonts w:hint="default" w:ascii="Times New Roman" w:hAnsi="Times New Roman" w:eastAsia="仿宋" w:cs="仿宋"/>
          <w:color w:val="auto"/>
          <w:sz w:val="30"/>
          <w:szCs w:val="30"/>
          <w:highlight w:val="none"/>
        </w:rPr>
        <w:t>，</w:t>
      </w:r>
      <w:r>
        <w:rPr>
          <w:rFonts w:hint="eastAsia" w:ascii="Times New Roman" w:hAnsi="Times New Roman" w:eastAsia="仿宋"/>
          <w:color w:val="auto"/>
          <w:sz w:val="30"/>
          <w:szCs w:val="30"/>
          <w:highlight w:val="none"/>
        </w:rPr>
        <w:t>营造出了一个清洁、整齐、优美的人居环境，为城市穿上了一件美观大方的“外衣”，提高了城市形象和城市品位，极大的满足了广大群众对改善人居环境质量的美好愿望。</w:t>
      </w:r>
    </w:p>
    <w:p>
      <w:pPr>
        <w:ind w:firstLine="600" w:firstLineChars="200"/>
        <w:rPr>
          <w:rFonts w:hint="eastAsia" w:ascii="Times New Roman" w:hAnsi="Times New Roman" w:eastAsia="仿宋"/>
          <w:color w:val="auto"/>
          <w:sz w:val="30"/>
          <w:szCs w:val="30"/>
          <w:highlight w:val="none"/>
        </w:rPr>
      </w:pPr>
      <w:r>
        <w:rPr>
          <w:rFonts w:hint="eastAsia" w:ascii="Times New Roman" w:hAnsi="Times New Roman" w:eastAsia="仿宋"/>
          <w:color w:val="auto"/>
          <w:sz w:val="30"/>
          <w:szCs w:val="30"/>
          <w:highlight w:val="none"/>
        </w:rPr>
        <w:t>2、减少和杜绝了环境污染与疾病传播</w:t>
      </w:r>
    </w:p>
    <w:p>
      <w:pPr>
        <w:ind w:firstLine="600" w:firstLineChars="200"/>
        <w:rPr>
          <w:rFonts w:hint="eastAsia" w:ascii="Times New Roman" w:hAnsi="Times New Roman" w:eastAsia="仿宋"/>
          <w:color w:val="auto"/>
          <w:sz w:val="30"/>
          <w:szCs w:val="30"/>
          <w:highlight w:val="none"/>
        </w:rPr>
      </w:pPr>
      <w:r>
        <w:rPr>
          <w:rFonts w:hint="eastAsia" w:ascii="Times New Roman" w:hAnsi="Times New Roman" w:eastAsia="仿宋"/>
          <w:color w:val="auto"/>
          <w:sz w:val="30"/>
          <w:szCs w:val="30"/>
          <w:highlight w:val="none"/>
          <w:lang w:val="en-US" w:eastAsia="zh-CN"/>
        </w:rPr>
        <w:t>我中心</w:t>
      </w:r>
      <w:r>
        <w:rPr>
          <w:rFonts w:hint="eastAsia" w:ascii="Times New Roman" w:hAnsi="Times New Roman" w:eastAsia="仿宋"/>
          <w:color w:val="auto"/>
          <w:sz w:val="30"/>
          <w:szCs w:val="30"/>
          <w:highlight w:val="none"/>
        </w:rPr>
        <w:t>定期开启除臭设施对垃圾站进行除臭消毒，定期对垃圾箱、下水道等蚊蝇孳生地实施药物消杀，以环卫所为单位，常态化开展</w:t>
      </w:r>
      <w:r>
        <w:rPr>
          <w:rFonts w:hint="eastAsia" w:ascii="Times New Roman" w:hAnsi="Times New Roman" w:eastAsia="仿宋"/>
          <w:color w:val="auto"/>
          <w:sz w:val="30"/>
          <w:szCs w:val="30"/>
          <w:highlight w:val="none"/>
          <w:lang w:eastAsia="zh-CN"/>
        </w:rPr>
        <w:t>周五大扫除、</w:t>
      </w:r>
      <w:r>
        <w:rPr>
          <w:rFonts w:hint="eastAsia" w:ascii="Times New Roman" w:hAnsi="Times New Roman" w:eastAsia="仿宋"/>
          <w:color w:val="auto"/>
          <w:sz w:val="30"/>
          <w:szCs w:val="30"/>
          <w:highlight w:val="none"/>
        </w:rPr>
        <w:t>19:00-22:30夜间大清洗、22:30-6:30全覆盖清洗，辖区内环境卫生管理不断加强，极大的控制了蚊蝇及其他疾病传播源，确保了公共卫生安全，切实保障了广大人民群众身心健康。</w:t>
      </w:r>
    </w:p>
    <w:p>
      <w:pPr>
        <w:ind w:firstLine="600" w:firstLineChars="200"/>
        <w:rPr>
          <w:rFonts w:hint="eastAsia" w:ascii="Times New Roman" w:hAnsi="Times New Roman" w:eastAsia="仿宋"/>
          <w:color w:val="auto"/>
          <w:sz w:val="30"/>
          <w:szCs w:val="30"/>
          <w:highlight w:val="none"/>
        </w:rPr>
      </w:pPr>
      <w:r>
        <w:rPr>
          <w:rFonts w:hint="eastAsia" w:ascii="Times New Roman" w:hAnsi="Times New Roman" w:eastAsia="仿宋"/>
          <w:color w:val="auto"/>
          <w:sz w:val="30"/>
          <w:szCs w:val="30"/>
          <w:highlight w:val="none"/>
        </w:rPr>
        <w:t>3、实现数字案卷处置结案率和按期结案率100%</w:t>
      </w:r>
    </w:p>
    <w:p>
      <w:pPr>
        <w:ind w:right="-210" w:rightChars="-100" w:firstLine="600" w:firstLineChars="200"/>
        <w:rPr>
          <w:rFonts w:hint="eastAsia" w:ascii="Times New Roman" w:hAnsi="Times New Roman"/>
          <w:sz w:val="30"/>
          <w:szCs w:val="30"/>
          <w:lang w:val="en-US" w:eastAsia="zh-CN"/>
        </w:rPr>
      </w:pPr>
      <w:r>
        <w:rPr>
          <w:rFonts w:hint="eastAsia" w:ascii="Times New Roman" w:hAnsi="Times New Roman" w:eastAsia="仿宋" w:cs="仿宋"/>
          <w:color w:val="auto"/>
          <w:sz w:val="30"/>
          <w:szCs w:val="30"/>
          <w:lang w:val="en-US" w:eastAsia="zh-CN"/>
        </w:rPr>
        <w:t>2021年，共受理市数字化案卷12303条，其中产生重复案卷9条，较2020年下降4.5条，长效管控有提升；区数字化案卷1050条、12345案卷711件，产生不满意工单3条较2020年持平；在</w:t>
      </w:r>
      <w:r>
        <w:rPr>
          <w:rFonts w:hint="eastAsia" w:ascii="Times New Roman" w:hAnsi="Times New Roman" w:eastAsia="仿宋" w:cs="仿宋"/>
          <w:color w:val="auto"/>
          <w:sz w:val="30"/>
          <w:szCs w:val="30"/>
        </w:rPr>
        <w:t>日常工作检查中出现的</w:t>
      </w:r>
      <w:r>
        <w:rPr>
          <w:rFonts w:hint="eastAsia" w:ascii="Times New Roman" w:hAnsi="Times New Roman" w:eastAsia="仿宋" w:cs="仿宋"/>
          <w:color w:val="auto"/>
          <w:sz w:val="30"/>
          <w:szCs w:val="30"/>
          <w:lang w:val="en-US" w:eastAsia="zh-CN"/>
        </w:rPr>
        <w:t>2653</w:t>
      </w:r>
      <w:r>
        <w:rPr>
          <w:rFonts w:hint="eastAsia" w:ascii="Times New Roman" w:hAnsi="Times New Roman" w:eastAsia="仿宋" w:cs="仿宋"/>
          <w:color w:val="auto"/>
          <w:sz w:val="30"/>
          <w:szCs w:val="30"/>
        </w:rPr>
        <w:t>例不规范作业行为都得以及时整改到位，得到了大部分市民群众的肯定，市民满意度</w:t>
      </w:r>
      <w:r>
        <w:rPr>
          <w:rFonts w:hint="eastAsia" w:ascii="Times New Roman" w:hAnsi="Times New Roman" w:eastAsia="仿宋" w:cs="仿宋"/>
          <w:color w:val="auto"/>
          <w:sz w:val="30"/>
          <w:szCs w:val="30"/>
          <w:lang w:val="en-US" w:eastAsia="zh-CN"/>
        </w:rPr>
        <w:t>99.5</w:t>
      </w:r>
      <w:r>
        <w:rPr>
          <w:rFonts w:hint="eastAsia" w:ascii="Times New Roman" w:hAnsi="Times New Roman" w:eastAsia="仿宋" w:cs="仿宋"/>
          <w:color w:val="auto"/>
          <w:sz w:val="30"/>
          <w:szCs w:val="30"/>
        </w:rPr>
        <w:t>%。</w:t>
      </w:r>
    </w:p>
    <w:p>
      <w:pPr>
        <w:numPr>
          <w:ilvl w:val="0"/>
          <w:numId w:val="5"/>
        </w:numPr>
        <w:ind w:left="0" w:leftChars="0" w:firstLine="753" w:firstLineChars="250"/>
        <w:rPr>
          <w:rFonts w:hint="eastAsia" w:ascii="Times New Roman" w:hAnsi="Times New Roman" w:eastAsia="仿宋_GB2312"/>
          <w:b/>
          <w:sz w:val="30"/>
          <w:szCs w:val="30"/>
        </w:rPr>
      </w:pPr>
      <w:r>
        <w:rPr>
          <w:rFonts w:hint="eastAsia" w:ascii="Times New Roman" w:hAnsi="Times New Roman" w:eastAsia="仿宋_GB2312"/>
          <w:b/>
          <w:sz w:val="30"/>
          <w:szCs w:val="30"/>
        </w:rPr>
        <w:t>存在的主要问题 主要阐述资金安排、使用，资产管理过程中存在的问题。</w:t>
      </w:r>
    </w:p>
    <w:p>
      <w:pPr>
        <w:pStyle w:val="5"/>
        <w:spacing w:before="0" w:beforeAutospacing="0" w:after="0" w:afterAutospacing="0"/>
        <w:ind w:firstLine="602" w:firstLineChars="200"/>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b/>
          <w:sz w:val="30"/>
          <w:szCs w:val="30"/>
        </w:rPr>
        <w:t xml:space="preserve"> </w:t>
      </w:r>
      <w:r>
        <w:rPr>
          <w:rFonts w:hint="eastAsia" w:ascii="Times New Roman" w:hAnsi="Times New Roman" w:eastAsia="仿宋_GB2312" w:cs="Times New Roman"/>
          <w:kern w:val="2"/>
          <w:sz w:val="30"/>
          <w:szCs w:val="30"/>
          <w:lang w:val="en-US" w:eastAsia="zh-CN" w:bidi="ar-SA"/>
        </w:rPr>
        <w:t>1、环卫经费投入不足。城市管理经费投入不足，基础设施建设缺乏，人员经费运作困难，队伍稳定性不高。</w:t>
      </w:r>
    </w:p>
    <w:p>
      <w:pPr>
        <w:pStyle w:val="5"/>
        <w:spacing w:before="0" w:beforeAutospacing="0" w:after="0" w:afterAutospacing="0"/>
        <w:ind w:firstLine="600" w:firstLineChars="200"/>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2、城市管理制度不严，监督不到位。一些流动摊担点、临街夜市点、洗车点、自发市场，生意收摊后，污水、垃圾满地，每天重复污染，既加重了环卫工作的压力，又损害了城市形象。</w:t>
      </w:r>
    </w:p>
    <w:p>
      <w:pPr>
        <w:ind w:firstLine="600" w:firstLineChars="200"/>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3、市民整体素质有待提高。市民参与城市管理的意识不强，市民环境爱护意识淡薄，一些市民贪图方便，随地吐口香糖、垃圾乱堆乱放，随手扔垃圾的行为时有发生。</w:t>
      </w:r>
    </w:p>
    <w:p>
      <w:pPr>
        <w:pStyle w:val="5"/>
        <w:spacing w:before="0" w:beforeAutospacing="0" w:after="0" w:afterAutospacing="0"/>
        <w:ind w:firstLine="600" w:firstLineChars="200"/>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4、设施不完善。人行道的基础设施老化破损，加大了清扫保洁难度。桥梁及部分道路无下水或泄水板堵塞，一旦下雨易大面积积水，清理难度大。</w:t>
      </w:r>
    </w:p>
    <w:p>
      <w:pPr>
        <w:ind w:firstLine="600" w:firstLineChars="200"/>
        <w:rPr>
          <w:rFonts w:hint="eastAsia" w:ascii="Times New Roman" w:hAnsi="Times New Roman" w:eastAsia="仿宋_GB2312" w:cs="Times New Roman"/>
          <w:color w:val="000000"/>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5、垃圾站数量严重不足、设施老化、</w:t>
      </w:r>
      <w:r>
        <w:rPr>
          <w:rFonts w:hint="eastAsia" w:ascii="Times New Roman" w:hAnsi="Times New Roman" w:eastAsia="仿宋_GB2312" w:cs="Times New Roman"/>
          <w:color w:val="000000"/>
          <w:kern w:val="2"/>
          <w:sz w:val="30"/>
          <w:szCs w:val="30"/>
          <w:lang w:val="en-US" w:eastAsia="zh-CN" w:bidi="ar-SA"/>
        </w:rPr>
        <w:t>布局不合理，且垃圾车运力不足，老旧站厕模式效率低下，容积小，垃圾站的服务半径过大，远远无法满足需求，垃圾站超负荷运行，对周围环境产生了一定的影响。</w:t>
      </w:r>
    </w:p>
    <w:p>
      <w:pPr>
        <w:ind w:firstLine="600" w:firstLineChars="200"/>
        <w:rPr>
          <w:rFonts w:hint="eastAsia" w:ascii="Times New Roman" w:hAnsi="Times New Roman" w:cs="Times New Roman"/>
          <w:color w:val="auto"/>
          <w:kern w:val="2"/>
          <w:sz w:val="30"/>
          <w:szCs w:val="30"/>
        </w:rPr>
      </w:pPr>
      <w:r>
        <w:rPr>
          <w:rFonts w:hint="eastAsia" w:ascii="Times New Roman" w:hAnsi="Times New Roman" w:eastAsia="仿宋_GB2312" w:cs="Times New Roman"/>
          <w:color w:val="000000"/>
          <w:kern w:val="2"/>
          <w:sz w:val="30"/>
          <w:szCs w:val="30"/>
          <w:lang w:val="en-US" w:eastAsia="zh-CN" w:bidi="ar-SA"/>
        </w:rPr>
        <w:t>6、目前我区范围内的环线设施不全，立交桥面无下水，环线路面下水堵塞，导致水车清洗作业积水现象严重，人工清洗难度大。环线设施损坏率高，车辆抛物现象频繁，保洁难度大，安全隐患大，清扫员劳动强度大，相关工作的开展难以到位。</w:t>
      </w:r>
    </w:p>
    <w:p>
      <w:pPr>
        <w:ind w:firstLine="602" w:firstLineChars="200"/>
        <w:rPr>
          <w:rFonts w:hint="eastAsia" w:ascii="Times New Roman" w:hAnsi="Times New Roman" w:eastAsia="仿宋_GB2312"/>
          <w:b/>
          <w:strike w:val="0"/>
          <w:dstrike w:val="0"/>
          <w:sz w:val="30"/>
          <w:szCs w:val="30"/>
        </w:rPr>
      </w:pPr>
      <w:r>
        <w:rPr>
          <w:rFonts w:hint="eastAsia" w:ascii="Times New Roman" w:hAnsi="Times New Roman" w:eastAsia="仿宋_GB2312"/>
          <w:b/>
          <w:sz w:val="30"/>
          <w:szCs w:val="30"/>
        </w:rPr>
        <w:t xml:space="preserve">七、改进措施和有关建议 </w:t>
      </w:r>
      <w:r>
        <w:rPr>
          <w:rFonts w:hint="eastAsia" w:ascii="Times New Roman" w:hAnsi="Times New Roman" w:eastAsia="仿宋_GB2312"/>
          <w:b/>
          <w:strike w:val="0"/>
          <w:dstrike w:val="0"/>
          <w:sz w:val="30"/>
          <w:szCs w:val="30"/>
        </w:rPr>
        <w:t>对存在的问题提出切实可行的改进措施和有关建议等。</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00" w:firstLineChars="200"/>
        <w:textAlignment w:val="auto"/>
        <w:rPr>
          <w:rFonts w:hint="eastAsia" w:ascii="Times New Roman" w:hAnsi="Times New Roman" w:eastAsia="仿宋_GB2312" w:cs="Times New Roman"/>
          <w:color w:val="000000"/>
          <w:kern w:val="2"/>
          <w:sz w:val="30"/>
          <w:szCs w:val="30"/>
          <w:lang w:val="en-US" w:eastAsia="zh-CN" w:bidi="ar-SA"/>
        </w:rPr>
      </w:pPr>
      <w:r>
        <w:rPr>
          <w:rFonts w:hint="eastAsia" w:ascii="Times New Roman" w:hAnsi="Times New Roman" w:eastAsia="仿宋_GB2312" w:cs="Times New Roman"/>
          <w:color w:val="000000"/>
          <w:kern w:val="2"/>
          <w:sz w:val="30"/>
          <w:szCs w:val="30"/>
          <w:lang w:val="en-US" w:eastAsia="zh-CN" w:bidi="ar-SA"/>
        </w:rPr>
        <w:t>1、统筹规划、合理布局。应明确在城市规范中，预测城市生活垃圾产量，确定生活垃圾的收集、转运、处理的方式，提出各类环卫设施的设置类型和标准，对垃圾收运设施的数量和分布进行合理布局。</w:t>
      </w:r>
    </w:p>
    <w:p>
      <w:pPr>
        <w:keepNext w:val="0"/>
        <w:keepLines w:val="0"/>
        <w:pageBreakBefore w:val="0"/>
        <w:widowControl w:val="0"/>
        <w:kinsoku/>
        <w:wordWrap/>
        <w:overflowPunct/>
        <w:topLinePunct w:val="0"/>
        <w:autoSpaceDE/>
        <w:autoSpaceDN/>
        <w:bidi w:val="0"/>
        <w:adjustRightInd/>
        <w:snapToGrid/>
        <w:ind w:leftChars="0" w:firstLine="600" w:firstLineChars="200"/>
        <w:textAlignment w:val="auto"/>
        <w:rPr>
          <w:rFonts w:hint="eastAsia" w:ascii="Times New Roman" w:hAnsi="Times New Roman" w:eastAsia="仿宋_GB2312" w:cs="Times New Roman"/>
          <w:color w:val="000000"/>
          <w:kern w:val="2"/>
          <w:sz w:val="30"/>
          <w:szCs w:val="30"/>
          <w:lang w:val="en-US" w:eastAsia="zh-CN" w:bidi="ar-SA"/>
        </w:rPr>
      </w:pPr>
      <w:r>
        <w:rPr>
          <w:rFonts w:hint="eastAsia" w:ascii="Times New Roman" w:hAnsi="Times New Roman" w:eastAsia="仿宋_GB2312" w:cs="Times New Roman"/>
          <w:color w:val="000000"/>
          <w:kern w:val="2"/>
          <w:sz w:val="30"/>
          <w:szCs w:val="30"/>
          <w:lang w:val="en-US" w:eastAsia="zh-CN" w:bidi="ar-SA"/>
        </w:rPr>
        <w:t>2、加大监管力度。切实加强市容环卫和环境保护部门生活垃圾处理监管队伍建设，加强对地方政府生活垃圾处理工作以及设施建设和运营的监管。</w:t>
      </w:r>
    </w:p>
    <w:p>
      <w:pPr>
        <w:keepNext w:val="0"/>
        <w:keepLines w:val="0"/>
        <w:pageBreakBefore w:val="0"/>
        <w:widowControl w:val="0"/>
        <w:kinsoku/>
        <w:wordWrap/>
        <w:overflowPunct/>
        <w:topLinePunct w:val="0"/>
        <w:autoSpaceDE/>
        <w:autoSpaceDN/>
        <w:bidi w:val="0"/>
        <w:adjustRightInd/>
        <w:snapToGrid/>
        <w:ind w:leftChars="0" w:firstLine="600" w:firstLineChars="200"/>
        <w:textAlignment w:val="auto"/>
        <w:rPr>
          <w:rFonts w:hint="eastAsia" w:ascii="Times New Roman" w:hAnsi="Times New Roman" w:eastAsia="仿宋_GB2312" w:cs="Times New Roman"/>
          <w:color w:val="000000"/>
          <w:kern w:val="2"/>
          <w:sz w:val="30"/>
          <w:szCs w:val="30"/>
          <w:lang w:val="en-US" w:eastAsia="zh-CN" w:bidi="ar-SA"/>
        </w:rPr>
      </w:pPr>
      <w:r>
        <w:rPr>
          <w:rFonts w:hint="eastAsia" w:ascii="Times New Roman" w:hAnsi="Times New Roman" w:eastAsia="仿宋_GB2312" w:cs="Times New Roman"/>
          <w:color w:val="000000"/>
          <w:kern w:val="2"/>
          <w:sz w:val="30"/>
          <w:szCs w:val="30"/>
          <w:lang w:val="en-US" w:eastAsia="zh-CN" w:bidi="ar-SA"/>
        </w:rPr>
        <w:t>3、建议由市城管局牵头，对于相关市政设施进行配套完善，对破损设施及时增补更换，同时，加大爱护环境卫生宣传，提升驾驶员环境保护意识。</w:t>
      </w:r>
    </w:p>
    <w:p>
      <w:pPr>
        <w:keepNext w:val="0"/>
        <w:keepLines w:val="0"/>
        <w:pageBreakBefore w:val="0"/>
        <w:widowControl w:val="0"/>
        <w:kinsoku/>
        <w:wordWrap/>
        <w:overflowPunct/>
        <w:topLinePunct w:val="0"/>
        <w:autoSpaceDE/>
        <w:autoSpaceDN/>
        <w:bidi w:val="0"/>
        <w:adjustRightInd/>
        <w:snapToGrid/>
        <w:ind w:leftChars="0" w:firstLine="600" w:firstLineChars="200"/>
        <w:textAlignment w:val="auto"/>
        <w:rPr>
          <w:rFonts w:hint="eastAsia" w:ascii="Times New Roman" w:hAnsi="Times New Roman" w:eastAsia="仿宋_GB2312" w:cs="Times New Roman"/>
          <w:color w:val="000000"/>
          <w:kern w:val="2"/>
          <w:sz w:val="30"/>
          <w:szCs w:val="30"/>
          <w:lang w:val="en-US" w:eastAsia="zh-CN" w:bidi="ar-SA"/>
        </w:rPr>
      </w:pPr>
      <w:r>
        <w:rPr>
          <w:rFonts w:hint="eastAsia" w:ascii="Times New Roman" w:hAnsi="Times New Roman" w:eastAsia="仿宋_GB2312" w:cs="Times New Roman"/>
          <w:color w:val="000000"/>
          <w:kern w:val="2"/>
          <w:sz w:val="30"/>
          <w:szCs w:val="30"/>
          <w:lang w:val="en-US" w:eastAsia="zh-CN" w:bidi="ar-SA"/>
        </w:rPr>
        <w:t>4、建议区委、区政府统筹相关部门，加强部门之间的紧密配合，形成工作合力。</w:t>
      </w:r>
    </w:p>
    <w:p>
      <w:pPr>
        <w:keepNext w:val="0"/>
        <w:keepLines w:val="0"/>
        <w:pageBreakBefore w:val="0"/>
        <w:widowControl w:val="0"/>
        <w:kinsoku/>
        <w:wordWrap/>
        <w:overflowPunct/>
        <w:topLinePunct w:val="0"/>
        <w:autoSpaceDE/>
        <w:autoSpaceDN/>
        <w:bidi w:val="0"/>
        <w:adjustRightInd/>
        <w:snapToGrid/>
        <w:ind w:leftChars="0" w:firstLine="600" w:firstLineChars="200"/>
        <w:textAlignment w:val="auto"/>
        <w:rPr>
          <w:rFonts w:hint="eastAsia" w:ascii="Times New Roman" w:hAnsi="Times New Roman"/>
          <w:sz w:val="30"/>
          <w:szCs w:val="30"/>
        </w:rPr>
      </w:pPr>
      <w:r>
        <w:rPr>
          <w:rFonts w:hint="eastAsia" w:ascii="Times New Roman" w:hAnsi="Times New Roman" w:eastAsia="仿宋_GB2312" w:cs="Times New Roman"/>
          <w:color w:val="000000"/>
          <w:kern w:val="2"/>
          <w:sz w:val="30"/>
          <w:szCs w:val="30"/>
          <w:lang w:val="en-US" w:eastAsia="zh-CN" w:bidi="ar-SA"/>
        </w:rPr>
        <w:t>5、请求区委、区政府给予经费保障，加大投入，特别是在环境整治任务、站厕设施建设配套、作业人员队伍建设等方面加大投入力度，确保各项任务得以顺利实施。</w:t>
      </w:r>
    </w:p>
    <w:p>
      <w:pPr>
        <w:rPr>
          <w:rFonts w:hint="eastAsia" w:ascii="宋体" w:hAnsi="宋体" w:eastAsia="宋体" w:cs="宋体"/>
          <w:b/>
          <w:bCs/>
          <w:sz w:val="44"/>
          <w:szCs w:val="44"/>
        </w:rPr>
      </w:pPr>
    </w:p>
    <w:p>
      <w:pPr>
        <w:rPr>
          <w:rFonts w:hint="eastAsia"/>
        </w:rPr>
      </w:pPr>
    </w:p>
    <w:sectPr>
      <w:footerReference r:id="rId6" w:type="default"/>
      <w:pgSz w:w="11906" w:h="16838"/>
      <w:pgMar w:top="1701" w:right="1417" w:bottom="1701" w:left="141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separate"/>
    </w:r>
    <w:r>
      <w:rPr>
        <w:rStyle w:val="8"/>
      </w:rPr>
      <w:t>9</w:t>
    </w:r>
    <w:r>
      <w:fldChar w:fldCharType="end"/>
    </w:r>
  </w:p>
  <w:p>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separate"/>
    </w:r>
    <w:r>
      <w:rPr>
        <w:rStyle w:val="8"/>
      </w:rPr>
      <w:t>- 15 -</w: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pPr>
    <w:r>
      <w:rPr>
        <w:sz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8"/>
                            </w:rPr>
                          </w:pPr>
                          <w:r>
                            <w:fldChar w:fldCharType="begin"/>
                          </w:r>
                          <w:r>
                            <w:rPr>
                              <w:rStyle w:val="8"/>
                            </w:rPr>
                            <w:instrText xml:space="preserve">PAGE  </w:instrText>
                          </w:r>
                          <w:r>
                            <w:fldChar w:fldCharType="separate"/>
                          </w:r>
                          <w:r>
                            <w:rPr>
                              <w:rStyle w:val="8"/>
                            </w:rP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Style w:val="8"/>
                      </w:rPr>
                    </w:pPr>
                    <w:r>
                      <w:fldChar w:fldCharType="begin"/>
                    </w:r>
                    <w:r>
                      <w:rPr>
                        <w:rStyle w:val="8"/>
                      </w:rPr>
                      <w:instrText xml:space="preserve">PAGE  </w:instrText>
                    </w:r>
                    <w:r>
                      <w:fldChar w:fldCharType="separate"/>
                    </w:r>
                    <w:r>
                      <w:rPr>
                        <w:rStyle w:val="8"/>
                      </w:rPr>
                      <w:t>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5C86B1"/>
    <w:multiLevelType w:val="singleLevel"/>
    <w:tmpl w:val="9A5C86B1"/>
    <w:lvl w:ilvl="0" w:tentative="0">
      <w:start w:val="2"/>
      <w:numFmt w:val="decimal"/>
      <w:suff w:val="nothing"/>
      <w:lvlText w:val="%1、"/>
      <w:lvlJc w:val="left"/>
    </w:lvl>
  </w:abstractNum>
  <w:abstractNum w:abstractNumId="1">
    <w:nsid w:val="C3CCEA9B"/>
    <w:multiLevelType w:val="singleLevel"/>
    <w:tmpl w:val="C3CCEA9B"/>
    <w:lvl w:ilvl="0" w:tentative="0">
      <w:start w:val="2"/>
      <w:numFmt w:val="chineseCounting"/>
      <w:suff w:val="nothing"/>
      <w:lvlText w:val="（%1）"/>
      <w:lvlJc w:val="left"/>
      <w:rPr>
        <w:rFonts w:hint="eastAsia"/>
      </w:rPr>
    </w:lvl>
  </w:abstractNum>
  <w:abstractNum w:abstractNumId="2">
    <w:nsid w:val="DCB65C7D"/>
    <w:multiLevelType w:val="singleLevel"/>
    <w:tmpl w:val="DCB65C7D"/>
    <w:lvl w:ilvl="0" w:tentative="0">
      <w:start w:val="3"/>
      <w:numFmt w:val="chineseCounting"/>
      <w:suff w:val="nothing"/>
      <w:lvlText w:val="%1、"/>
      <w:lvlJc w:val="left"/>
      <w:rPr>
        <w:rFonts w:hint="eastAsia"/>
      </w:rPr>
    </w:lvl>
  </w:abstractNum>
  <w:abstractNum w:abstractNumId="3">
    <w:nsid w:val="559B398F"/>
    <w:multiLevelType w:val="singleLevel"/>
    <w:tmpl w:val="559B398F"/>
    <w:lvl w:ilvl="0" w:tentative="0">
      <w:start w:val="4"/>
      <w:numFmt w:val="chineseCounting"/>
      <w:suff w:val="nothing"/>
      <w:lvlText w:val="%1、"/>
      <w:lvlJc w:val="left"/>
      <w:rPr>
        <w:rFonts w:hint="eastAsia"/>
      </w:rPr>
    </w:lvl>
  </w:abstractNum>
  <w:abstractNum w:abstractNumId="4">
    <w:nsid w:val="6867DAE9"/>
    <w:multiLevelType w:val="singleLevel"/>
    <w:tmpl w:val="6867DAE9"/>
    <w:lvl w:ilvl="0" w:tentative="0">
      <w:start w:val="2"/>
      <w:numFmt w:val="decimal"/>
      <w:suff w:val="nothing"/>
      <w:lvlText w:val="%1、"/>
      <w:lvlJc w:val="left"/>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78416773"/>
    <w:rsid w:val="062E5CEA"/>
    <w:rsid w:val="0F164166"/>
    <w:rsid w:val="10D70486"/>
    <w:rsid w:val="1611699A"/>
    <w:rsid w:val="181A1849"/>
    <w:rsid w:val="1B0812E0"/>
    <w:rsid w:val="1DD27695"/>
    <w:rsid w:val="24EF79A1"/>
    <w:rsid w:val="2E3D09BF"/>
    <w:rsid w:val="2E6A758E"/>
    <w:rsid w:val="2FD74715"/>
    <w:rsid w:val="305A44CB"/>
    <w:rsid w:val="37500DDE"/>
    <w:rsid w:val="37E2157E"/>
    <w:rsid w:val="3B1F2BD4"/>
    <w:rsid w:val="3EC26DD3"/>
    <w:rsid w:val="43704DBC"/>
    <w:rsid w:val="4C3F7528"/>
    <w:rsid w:val="4EA30F3C"/>
    <w:rsid w:val="52276B09"/>
    <w:rsid w:val="57B048A0"/>
    <w:rsid w:val="59A17159"/>
    <w:rsid w:val="5AAD17F3"/>
    <w:rsid w:val="5F1574CB"/>
    <w:rsid w:val="694A3782"/>
    <w:rsid w:val="6AD64AB4"/>
    <w:rsid w:val="78416773"/>
    <w:rsid w:val="79F45819"/>
    <w:rsid w:val="7C0F3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semiHidden/>
    <w:unhideWhenUsed/>
    <w:qFormat/>
    <w:uiPriority w:val="99"/>
    <w:pPr>
      <w:spacing w:line="240" w:lineRule="exact"/>
      <w:jc w:val="center"/>
    </w:pPr>
    <w:rPr>
      <w:rFonts w:ascii="仿宋_GB2312" w:eastAsia="仿宋_GB2312"/>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7586</Words>
  <Characters>8344</Characters>
  <Lines>0</Lines>
  <Paragraphs>0</Paragraphs>
  <TotalTime>2</TotalTime>
  <ScaleCrop>false</ScaleCrop>
  <LinksUpToDate>false</LinksUpToDate>
  <CharactersWithSpaces>8923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2020-06-05T01:43:00Z</dcterms:created>
  <dc:creator>雨花环卫</dc:creator>
  <cp:lastModifiedBy>Administrator</cp:lastModifiedBy>
  <cp:lastPrinted>2022-04-08T09:59:00Z</cp:lastPrinted>
  <dcterms:modified xsi:type="dcterms:W3CDTF">2022-09-30T09:39:39Z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49BA2BAE9D274493A3C97D78D674B795</vt:lpwstr>
  </property>
</Properties>
</file>