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长沙市雨花区审计局</w:t>
      </w:r>
    </w:p>
    <w:tbl>
      <w:tblPr>
        <w:tblStyle w:val="8"/>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0.136</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0.6</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0.136</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0.6</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270.23</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327.5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443.28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270.23</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327.5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443.28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44.89</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53.55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51.3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color w:val="000000"/>
                <w:kern w:val="0"/>
                <w:sz w:val="24"/>
              </w:rPr>
              <w:t>10.78</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18.22</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20.84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r>
              <w:rPr>
                <w:rFonts w:ascii="宋体" w:hAnsi="宋体" w:cs="宋体"/>
                <w:kern w:val="0"/>
                <w:sz w:val="24"/>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kern w:val="0"/>
                <w:sz w:val="24"/>
              </w:rPr>
            </w:pP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　</w:t>
            </w:r>
          </w:p>
        </w:tc>
        <w:tc>
          <w:tcPr>
            <w:tcW w:w="805"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1296"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1089"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949"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c>
          <w:tcPr>
            <w:tcW w:w="978" w:type="dxa"/>
            <w:tcBorders>
              <w:top w:val="nil"/>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ascii="宋体" w:hAnsi="宋体" w:cs="宋体"/>
                <w:kern w:val="0"/>
                <w:sz w:val="24"/>
              </w:rPr>
              <w:t>　2020年无三公经费支出</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p>
    <w:p>
      <w:pPr>
        <w:widowControl/>
        <w:jc w:val="left"/>
        <w:rPr>
          <w:rFonts w:eastAsia="黑体"/>
          <w:kern w:val="0"/>
          <w:sz w:val="32"/>
          <w:szCs w:val="32"/>
        </w:rPr>
      </w:pPr>
      <w:r>
        <w:rPr>
          <w:rFonts w:eastAsia="黑体"/>
          <w:kern w:val="0"/>
          <w:sz w:val="32"/>
          <w:szCs w:val="32"/>
        </w:rPr>
        <w:br w:type="page"/>
      </w:r>
    </w:p>
    <w:p>
      <w:pPr>
        <w:spacing w:line="600" w:lineRule="exact"/>
        <w:rPr>
          <w:rFonts w:eastAsia="方正小标宋_GBK"/>
          <w:kern w:val="0"/>
          <w:sz w:val="36"/>
          <w:szCs w:val="36"/>
        </w:rPr>
      </w:pP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624"/>
        <w:gridCol w:w="1034"/>
        <w:gridCol w:w="567"/>
        <w:gridCol w:w="3292"/>
        <w:gridCol w:w="2937"/>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625" w:type="dxa"/>
            <w:noWrap/>
            <w:tcMar>
              <w:top w:w="15" w:type="dxa"/>
              <w:left w:w="15" w:type="dxa"/>
              <w:right w:w="15" w:type="dxa"/>
            </w:tcMar>
            <w:vAlign w:val="center"/>
          </w:tcPr>
          <w:p>
            <w:pPr>
              <w:jc w:val="center"/>
            </w:pPr>
            <w:r>
              <w:t>一级</w:t>
            </w:r>
            <w:r>
              <w:br w:type="textWrapping"/>
            </w:r>
            <w:r>
              <w:t>指标</w:t>
            </w:r>
          </w:p>
        </w:tc>
        <w:tc>
          <w:tcPr>
            <w:tcW w:w="624" w:type="dxa"/>
            <w:noWrap/>
            <w:tcMar>
              <w:top w:w="15" w:type="dxa"/>
              <w:left w:w="15" w:type="dxa"/>
              <w:right w:w="15" w:type="dxa"/>
            </w:tcMar>
            <w:vAlign w:val="center"/>
          </w:tcPr>
          <w:p>
            <w:pPr>
              <w:jc w:val="center"/>
            </w:pPr>
            <w:r>
              <w:t>二级</w:t>
            </w:r>
            <w:r>
              <w:br w:type="textWrapping"/>
            </w:r>
            <w:r>
              <w:t>指标</w:t>
            </w:r>
          </w:p>
        </w:tc>
        <w:tc>
          <w:tcPr>
            <w:tcW w:w="1034" w:type="dxa"/>
            <w:noWrap/>
            <w:tcMar>
              <w:top w:w="15" w:type="dxa"/>
              <w:left w:w="15" w:type="dxa"/>
              <w:right w:w="15" w:type="dxa"/>
            </w:tcMar>
            <w:vAlign w:val="center"/>
          </w:tcPr>
          <w:p>
            <w:pPr>
              <w:jc w:val="center"/>
            </w:pPr>
            <w:r>
              <w:t>三级</w:t>
            </w:r>
          </w:p>
          <w:p>
            <w:pPr>
              <w:jc w:val="center"/>
            </w:pPr>
            <w:r>
              <w:t>指标</w:t>
            </w:r>
          </w:p>
        </w:tc>
        <w:tc>
          <w:tcPr>
            <w:tcW w:w="567" w:type="dxa"/>
            <w:noWrap/>
            <w:tcMar>
              <w:top w:w="15" w:type="dxa"/>
              <w:left w:w="15" w:type="dxa"/>
              <w:right w:w="15" w:type="dxa"/>
            </w:tcMar>
            <w:vAlign w:val="center"/>
          </w:tcPr>
          <w:p>
            <w:pPr>
              <w:jc w:val="center"/>
            </w:pPr>
            <w:r>
              <w:t>分值</w:t>
            </w:r>
          </w:p>
        </w:tc>
        <w:tc>
          <w:tcPr>
            <w:tcW w:w="3292" w:type="dxa"/>
            <w:noWrap/>
            <w:tcMar>
              <w:top w:w="15" w:type="dxa"/>
              <w:left w:w="15" w:type="dxa"/>
              <w:right w:w="15" w:type="dxa"/>
            </w:tcMar>
            <w:vAlign w:val="center"/>
          </w:tcPr>
          <w:p>
            <w:pPr>
              <w:jc w:val="center"/>
            </w:pPr>
            <w:r>
              <w:t>评分要点</w:t>
            </w:r>
          </w:p>
        </w:tc>
        <w:tc>
          <w:tcPr>
            <w:tcW w:w="2937" w:type="dxa"/>
            <w:noWrap/>
            <w:tcMar>
              <w:top w:w="15" w:type="dxa"/>
              <w:left w:w="15" w:type="dxa"/>
              <w:right w:w="15" w:type="dxa"/>
            </w:tcMar>
            <w:vAlign w:val="center"/>
          </w:tcPr>
          <w:p>
            <w:pPr>
              <w:jc w:val="center"/>
            </w:pPr>
            <w:r>
              <w:t>评分标准</w:t>
            </w:r>
          </w:p>
        </w:tc>
        <w:tc>
          <w:tcPr>
            <w:tcW w:w="589" w:type="dxa"/>
            <w:noWrap/>
            <w:tcMar>
              <w:top w:w="15" w:type="dxa"/>
              <w:left w:w="15" w:type="dxa"/>
              <w:right w:w="15" w:type="dxa"/>
            </w:tcMar>
            <w:vAlign w:val="center"/>
          </w:tcPr>
          <w:p>
            <w:pPr>
              <w:jc w:val="center"/>
            </w:pPr>
            <w:r>
              <w:rPr>
                <w:rFonts w:hint="eastAsia"/>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625" w:type="dxa"/>
            <w:vMerge w:val="restart"/>
            <w:noWrap/>
            <w:tcMar>
              <w:top w:w="15" w:type="dxa"/>
              <w:left w:w="15" w:type="dxa"/>
              <w:right w:w="15" w:type="dxa"/>
            </w:tcMar>
            <w:vAlign w:val="center"/>
          </w:tcPr>
          <w:p>
            <w:pPr>
              <w:jc w:val="left"/>
            </w:pPr>
            <w:r>
              <w:t>投入</w:t>
            </w:r>
            <w:r>
              <w:br w:type="textWrapping"/>
            </w:r>
            <w:r>
              <w:t>（10分）</w:t>
            </w:r>
          </w:p>
        </w:tc>
        <w:tc>
          <w:tcPr>
            <w:tcW w:w="624" w:type="dxa"/>
            <w:vMerge w:val="restart"/>
            <w:noWrap/>
            <w:tcMar>
              <w:top w:w="15" w:type="dxa"/>
              <w:left w:w="15" w:type="dxa"/>
              <w:right w:w="15" w:type="dxa"/>
            </w:tcMar>
            <w:vAlign w:val="center"/>
          </w:tcPr>
          <w:p>
            <w:pPr>
              <w:jc w:val="left"/>
            </w:pPr>
            <w:r>
              <w:t>目标</w:t>
            </w:r>
            <w:r>
              <w:br w:type="textWrapping"/>
            </w:r>
            <w:r>
              <w:t>设定</w:t>
            </w:r>
            <w:r>
              <w:br w:type="textWrapping"/>
            </w:r>
            <w:r>
              <w:t>（6分）</w:t>
            </w:r>
          </w:p>
        </w:tc>
        <w:tc>
          <w:tcPr>
            <w:tcW w:w="1034" w:type="dxa"/>
            <w:noWrap/>
            <w:tcMar>
              <w:top w:w="15" w:type="dxa"/>
              <w:left w:w="15" w:type="dxa"/>
              <w:right w:w="15" w:type="dxa"/>
            </w:tcMar>
            <w:vAlign w:val="center"/>
          </w:tcPr>
          <w:p>
            <w:pPr>
              <w:jc w:val="left"/>
            </w:pPr>
            <w:r>
              <w:t>绩效目标</w:t>
            </w:r>
            <w:r>
              <w:br w:type="textWrapping"/>
            </w:r>
            <w:r>
              <w:t>合理性</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rPr>
                <w:rFonts w:hint="eastAsia"/>
              </w:rPr>
              <w:t>①</w:t>
            </w:r>
            <w:r>
              <w:t>是否符合国家法律法规、国民经济和社会发展总体规划；</w:t>
            </w:r>
            <w:r>
              <w:br w:type="textWrapping"/>
            </w:r>
            <w:r>
              <w:rPr>
                <w:rFonts w:hint="eastAsia"/>
              </w:rPr>
              <w:t>②</w:t>
            </w:r>
            <w:r>
              <w:t>是否符合部门“三定”方案确定的职责；</w:t>
            </w:r>
            <w:r>
              <w:br w:type="textWrapping"/>
            </w:r>
            <w:r>
              <w:rPr>
                <w:rFonts w:hint="eastAsia"/>
              </w:rPr>
              <w:t>③</w:t>
            </w:r>
            <w:r>
              <w:t>是否符合部门制定的发展实施规划。</w:t>
            </w:r>
          </w:p>
        </w:tc>
        <w:tc>
          <w:tcPr>
            <w:tcW w:w="2937" w:type="dxa"/>
            <w:noWrap/>
            <w:tcMar>
              <w:top w:w="15" w:type="dxa"/>
              <w:left w:w="15" w:type="dxa"/>
              <w:right w:w="15" w:type="dxa"/>
            </w:tcMar>
            <w:vAlign w:val="center"/>
          </w:tcPr>
          <w:p>
            <w:pPr>
              <w:jc w:val="left"/>
            </w:pPr>
            <w:r>
              <w:rPr>
                <w:rFonts w:hint="eastAsia"/>
              </w:rPr>
              <w:t>①</w:t>
            </w:r>
            <w:r>
              <w:t>符合国家相关法律法规，本市国民经济和社会发展规划，计0.5分，否则不得分；</w:t>
            </w:r>
            <w:r>
              <w:br w:type="textWrapping"/>
            </w:r>
            <w:r>
              <w:rPr>
                <w:rFonts w:hint="eastAsia"/>
              </w:rPr>
              <w:t>②</w:t>
            </w:r>
            <w:r>
              <w:t>与部门（单位）职责密切相关，计0.5分，否则不得分；</w:t>
            </w:r>
            <w:r>
              <w:br w:type="textWrapping"/>
            </w:r>
            <w:r>
              <w:rPr>
                <w:rFonts w:hint="eastAsia"/>
              </w:rPr>
              <w:t>③</w:t>
            </w:r>
            <w:r>
              <w:t>符合部门制定的发展实施规划，计1分，否则不得分。</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绩效指标</w:t>
            </w:r>
            <w:r>
              <w:br w:type="textWrapping"/>
            </w:r>
            <w:r>
              <w:t>明确性</w:t>
            </w:r>
          </w:p>
        </w:tc>
        <w:tc>
          <w:tcPr>
            <w:tcW w:w="567" w:type="dxa"/>
            <w:noWrap/>
            <w:tcMar>
              <w:top w:w="15" w:type="dxa"/>
              <w:left w:w="15" w:type="dxa"/>
              <w:right w:w="15" w:type="dxa"/>
            </w:tcMar>
            <w:vAlign w:val="center"/>
          </w:tcPr>
          <w:p>
            <w:pPr>
              <w:jc w:val="center"/>
            </w:pPr>
            <w:r>
              <w:t>4</w:t>
            </w:r>
          </w:p>
        </w:tc>
        <w:tc>
          <w:tcPr>
            <w:tcW w:w="3292" w:type="dxa"/>
            <w:noWrap/>
            <w:tcMar>
              <w:top w:w="15" w:type="dxa"/>
              <w:left w:w="15" w:type="dxa"/>
              <w:right w:w="15" w:type="dxa"/>
            </w:tcMar>
            <w:vAlign w:val="center"/>
          </w:tcPr>
          <w:p>
            <w:pPr>
              <w:jc w:val="left"/>
            </w:pPr>
            <w:r>
              <w:rPr>
                <w:rFonts w:hint="eastAsia"/>
              </w:rPr>
              <w:t>①</w:t>
            </w:r>
            <w:r>
              <w:t>是否将部门整体的绩效目标细化分解为具体的工作任务；</w:t>
            </w:r>
            <w:r>
              <w:br w:type="textWrapping"/>
            </w:r>
            <w:r>
              <w:rPr>
                <w:rFonts w:hint="eastAsia"/>
              </w:rPr>
              <w:t>②</w:t>
            </w:r>
            <w:r>
              <w:t>是否通过清晰、可衡量的指标值予以体现。</w:t>
            </w:r>
            <w:r>
              <w:br w:type="textWrapping"/>
            </w:r>
            <w:r>
              <w:rPr>
                <w:rFonts w:hint="eastAsia"/>
              </w:rPr>
              <w:t>③</w:t>
            </w:r>
            <w:r>
              <w:t>是否与部门年度的任务数或计划数相对应；</w:t>
            </w:r>
            <w:r>
              <w:br w:type="textWrapping"/>
            </w:r>
            <w:r>
              <w:rPr>
                <w:rFonts w:hint="eastAsia"/>
              </w:rPr>
              <w:t>④</w:t>
            </w:r>
            <w:r>
              <w:t>是否与本年度部门预算资金相匹配。</w:t>
            </w:r>
          </w:p>
        </w:tc>
        <w:tc>
          <w:tcPr>
            <w:tcW w:w="2937" w:type="dxa"/>
            <w:noWrap/>
            <w:tcMar>
              <w:top w:w="15" w:type="dxa"/>
              <w:left w:w="15" w:type="dxa"/>
              <w:right w:w="15" w:type="dxa"/>
            </w:tcMar>
            <w:vAlign w:val="center"/>
          </w:tcPr>
          <w:p>
            <w:pPr>
              <w:jc w:val="left"/>
            </w:pPr>
            <w:r>
              <w:rPr>
                <w:rFonts w:hint="eastAsia"/>
              </w:rPr>
              <w:t>①</w:t>
            </w:r>
            <w:r>
              <w:t>有目标，计1分，否则不得分；</w:t>
            </w:r>
            <w:r>
              <w:br w:type="textWrapping"/>
            </w:r>
            <w:r>
              <w:rPr>
                <w:rFonts w:hint="eastAsia"/>
              </w:rPr>
              <w:t>②</w:t>
            </w:r>
            <w:r>
              <w:t>目标明确，细化量化良好，个性指标中量化指标超过3个，计1分，量化指标为2个，计0.5分，2个以下不得分；</w:t>
            </w:r>
            <w:r>
              <w:br w:type="textWrapping"/>
            </w:r>
            <w:r>
              <w:rPr>
                <w:rFonts w:hint="eastAsia"/>
              </w:rPr>
              <w:t>③</w:t>
            </w:r>
            <w:r>
              <w:t>与年度任务数或计划数相对应，计1分，低于2个，计0.5分，低于4个不得分；</w:t>
            </w:r>
            <w:r>
              <w:br w:type="textWrapping"/>
            </w:r>
            <w:r>
              <w:rPr>
                <w:rFonts w:hint="eastAsia"/>
              </w:rPr>
              <w:t>④</w:t>
            </w:r>
            <w:r>
              <w:t>目标与资金匹配良好，逻辑关系明确，计1分，否则不得分。</w:t>
            </w:r>
          </w:p>
        </w:tc>
        <w:tc>
          <w:tcPr>
            <w:tcW w:w="589" w:type="dxa"/>
            <w:noWrap/>
            <w:tcMar>
              <w:top w:w="15" w:type="dxa"/>
              <w:left w:w="15" w:type="dxa"/>
              <w:right w:w="15"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625" w:type="dxa"/>
            <w:vMerge w:val="continue"/>
            <w:noWrap/>
            <w:tcMar>
              <w:top w:w="15" w:type="dxa"/>
              <w:left w:w="15" w:type="dxa"/>
              <w:right w:w="15" w:type="dxa"/>
            </w:tcMar>
            <w:vAlign w:val="center"/>
          </w:tcPr>
          <w:p>
            <w:pPr>
              <w:jc w:val="left"/>
            </w:pPr>
          </w:p>
        </w:tc>
        <w:tc>
          <w:tcPr>
            <w:tcW w:w="624" w:type="dxa"/>
            <w:noWrap/>
            <w:tcMar>
              <w:top w:w="15" w:type="dxa"/>
              <w:left w:w="15" w:type="dxa"/>
              <w:right w:w="15" w:type="dxa"/>
            </w:tcMar>
            <w:vAlign w:val="center"/>
          </w:tcPr>
          <w:p>
            <w:pPr>
              <w:jc w:val="left"/>
            </w:pPr>
            <w:r>
              <w:t>预算</w:t>
            </w:r>
            <w:r>
              <w:br w:type="textWrapping"/>
            </w:r>
            <w:r>
              <w:t>配置</w:t>
            </w:r>
            <w:r>
              <w:br w:type="textWrapping"/>
            </w:r>
            <w:r>
              <w:t>（4分）</w:t>
            </w:r>
          </w:p>
        </w:tc>
        <w:tc>
          <w:tcPr>
            <w:tcW w:w="1034" w:type="dxa"/>
            <w:noWrap/>
            <w:tcMar>
              <w:top w:w="15" w:type="dxa"/>
              <w:left w:w="15" w:type="dxa"/>
              <w:right w:w="15" w:type="dxa"/>
            </w:tcMar>
            <w:vAlign w:val="center"/>
          </w:tcPr>
          <w:p>
            <w:pPr>
              <w:jc w:val="left"/>
            </w:pPr>
            <w:r>
              <w:t>人员</w:t>
            </w:r>
          </w:p>
          <w:p>
            <w:pPr>
              <w:jc w:val="left"/>
            </w:pPr>
            <w:r>
              <w:t>控制率</w:t>
            </w:r>
          </w:p>
        </w:tc>
        <w:tc>
          <w:tcPr>
            <w:tcW w:w="567" w:type="dxa"/>
            <w:noWrap/>
            <w:tcMar>
              <w:top w:w="15" w:type="dxa"/>
              <w:left w:w="15" w:type="dxa"/>
              <w:right w:w="15" w:type="dxa"/>
            </w:tcMar>
            <w:vAlign w:val="center"/>
          </w:tcPr>
          <w:p>
            <w:pPr>
              <w:jc w:val="center"/>
            </w:pPr>
            <w:r>
              <w:t>4</w:t>
            </w:r>
          </w:p>
        </w:tc>
        <w:tc>
          <w:tcPr>
            <w:tcW w:w="3292" w:type="dxa"/>
            <w:noWrap/>
            <w:tcMar>
              <w:top w:w="15" w:type="dxa"/>
              <w:left w:w="15" w:type="dxa"/>
              <w:right w:w="15" w:type="dxa"/>
            </w:tcMar>
            <w:vAlign w:val="center"/>
          </w:tcPr>
          <w:p>
            <w:pPr>
              <w:jc w:val="left"/>
            </w:pPr>
            <w:r>
              <w:t>在职人员控制率=（在职人员数/编制数）×100%。</w:t>
            </w:r>
            <w:r>
              <w:br w:type="textWrapping"/>
            </w:r>
            <w:r>
              <w:t>聘用人员控制率</w:t>
            </w:r>
            <w:r>
              <w:rPr>
                <w:rFonts w:hint="eastAsia"/>
              </w:rPr>
              <w:t>≦</w:t>
            </w:r>
            <w:r>
              <w:t>人社和编办共同批复的人数；</w:t>
            </w:r>
            <w:r>
              <w:br w:type="textWrapping"/>
            </w:r>
            <w:r>
              <w:t>在职人员数：部门（单位）实际在职人数，以财政部门确定的部门决算编制口径为准。</w:t>
            </w:r>
            <w:r>
              <w:br w:type="textWrapping"/>
            </w:r>
            <w:r>
              <w:t>编制数：机构编制部门核定批复的部门（单位）的人员编制数。</w:t>
            </w:r>
          </w:p>
        </w:tc>
        <w:tc>
          <w:tcPr>
            <w:tcW w:w="2937" w:type="dxa"/>
            <w:noWrap/>
            <w:tcMar>
              <w:top w:w="15" w:type="dxa"/>
              <w:left w:w="15" w:type="dxa"/>
              <w:right w:w="15" w:type="dxa"/>
            </w:tcMar>
            <w:vAlign w:val="center"/>
          </w:tcPr>
          <w:p>
            <w:pPr>
              <w:jc w:val="left"/>
            </w:pPr>
            <w:r>
              <w:t>在职人员控制率</w:t>
            </w:r>
            <w:r>
              <w:rPr>
                <w:rFonts w:hint="eastAsia"/>
              </w:rPr>
              <w:t>≦</w:t>
            </w:r>
            <w:r>
              <w:t>100%计2分，每超出1%扣0.2分，扣完为止。</w:t>
            </w:r>
            <w:r>
              <w:br w:type="textWrapping"/>
            </w:r>
            <w:r>
              <w:t>聘用人员实际使用数小于等于编办人社部门批复数，计2分，否则不得分。</w:t>
            </w:r>
          </w:p>
        </w:tc>
        <w:tc>
          <w:tcPr>
            <w:tcW w:w="589" w:type="dxa"/>
            <w:noWrap/>
            <w:tcMar>
              <w:top w:w="15" w:type="dxa"/>
              <w:left w:w="15" w:type="dxa"/>
              <w:right w:w="15"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625" w:type="dxa"/>
            <w:noWrap/>
            <w:tcMar>
              <w:top w:w="15" w:type="dxa"/>
              <w:left w:w="15" w:type="dxa"/>
              <w:right w:w="15" w:type="dxa"/>
            </w:tcMar>
            <w:vAlign w:val="center"/>
          </w:tcPr>
          <w:p>
            <w:pPr>
              <w:jc w:val="left"/>
            </w:pPr>
            <w:r>
              <w:t>过程</w:t>
            </w:r>
            <w:r>
              <w:br w:type="textWrapping"/>
            </w:r>
            <w:r>
              <w:t>（40分）</w:t>
            </w:r>
          </w:p>
        </w:tc>
        <w:tc>
          <w:tcPr>
            <w:tcW w:w="624" w:type="dxa"/>
            <w:noWrap/>
            <w:tcMar>
              <w:top w:w="15" w:type="dxa"/>
              <w:left w:w="15" w:type="dxa"/>
              <w:right w:w="15" w:type="dxa"/>
            </w:tcMar>
            <w:vAlign w:val="center"/>
          </w:tcPr>
          <w:p>
            <w:pPr>
              <w:jc w:val="left"/>
            </w:pPr>
            <w:r>
              <w:t>预算</w:t>
            </w:r>
            <w:r>
              <w:br w:type="textWrapping"/>
            </w:r>
            <w:r>
              <w:t>执行</w:t>
            </w:r>
            <w:r>
              <w:br w:type="textWrapping"/>
            </w:r>
            <w:r>
              <w:t>（15分）</w:t>
            </w:r>
          </w:p>
        </w:tc>
        <w:tc>
          <w:tcPr>
            <w:tcW w:w="1034" w:type="dxa"/>
            <w:noWrap/>
            <w:tcMar>
              <w:top w:w="15" w:type="dxa"/>
              <w:left w:w="15" w:type="dxa"/>
              <w:right w:w="15" w:type="dxa"/>
            </w:tcMar>
            <w:vAlign w:val="center"/>
          </w:tcPr>
          <w:p>
            <w:pPr>
              <w:jc w:val="left"/>
            </w:pPr>
            <w:r>
              <w:t>预算</w:t>
            </w:r>
          </w:p>
          <w:p>
            <w:pPr>
              <w:jc w:val="left"/>
            </w:pPr>
            <w:r>
              <w:t>执行率</w:t>
            </w:r>
          </w:p>
        </w:tc>
        <w:tc>
          <w:tcPr>
            <w:tcW w:w="567" w:type="dxa"/>
            <w:noWrap/>
            <w:tcMar>
              <w:top w:w="15" w:type="dxa"/>
              <w:left w:w="15" w:type="dxa"/>
              <w:right w:w="15" w:type="dxa"/>
            </w:tcMar>
            <w:vAlign w:val="center"/>
          </w:tcPr>
          <w:p>
            <w:pPr>
              <w:jc w:val="center"/>
            </w:pPr>
            <w:r>
              <w:t>6</w:t>
            </w:r>
          </w:p>
        </w:tc>
        <w:tc>
          <w:tcPr>
            <w:tcW w:w="3292" w:type="dxa"/>
            <w:noWrap/>
            <w:tcMar>
              <w:top w:w="15" w:type="dxa"/>
              <w:left w:w="15" w:type="dxa"/>
              <w:right w:w="15" w:type="dxa"/>
            </w:tcMar>
            <w:vAlign w:val="center"/>
          </w:tcPr>
          <w:p>
            <w:pPr>
              <w:jc w:val="left"/>
            </w:pPr>
            <w:r>
              <w:rPr>
                <w:rFonts w:hint="eastAsia"/>
              </w:rPr>
              <w:t>①</w:t>
            </w:r>
            <w:r>
              <w:t>预算完成率=（预算完成数/预算数）×100%。</w:t>
            </w:r>
            <w:r>
              <w:br w:type="textWrapping"/>
            </w:r>
            <w:r>
              <w:t>预算完成数：部门（单位）本年度实际完成的预算数。</w:t>
            </w:r>
            <w:r>
              <w:br w:type="textWrapping"/>
            </w:r>
            <w:r>
              <w:t>预算数：财政部门批复的本年度部门（单位）预算数及追加的项目预算数。</w:t>
            </w:r>
            <w:r>
              <w:br w:type="textWrapping"/>
            </w:r>
            <w:r>
              <w:rPr>
                <w:rFonts w:hint="eastAsia"/>
              </w:rPr>
              <w:t>②</w:t>
            </w:r>
            <w:r>
              <w:t>支付序时进度=（序时执行数/序时指标下达数）×100%。</w:t>
            </w:r>
            <w:r>
              <w:br w:type="textWrapping"/>
            </w:r>
            <w:r>
              <w:t>序时执行数：指按时间节点部门预算项目实际支出数。序时指标下达数：按时间节点给部门预算下达的项目支出和追加的项目支出指标数之和。</w:t>
            </w:r>
            <w:r>
              <w:br w:type="textWrapping"/>
            </w:r>
            <w:r>
              <w:rPr>
                <w:rFonts w:hint="eastAsia"/>
              </w:rPr>
              <w:t>③</w:t>
            </w:r>
            <w:r>
              <w:t>部门预算项目支出调剂到区县。</w:t>
            </w:r>
          </w:p>
        </w:tc>
        <w:tc>
          <w:tcPr>
            <w:tcW w:w="2937" w:type="dxa"/>
            <w:noWrap/>
            <w:tcMar>
              <w:top w:w="15" w:type="dxa"/>
              <w:left w:w="15" w:type="dxa"/>
              <w:right w:w="15" w:type="dxa"/>
            </w:tcMar>
            <w:vAlign w:val="center"/>
          </w:tcPr>
          <w:p>
            <w:pPr>
              <w:jc w:val="left"/>
            </w:pPr>
            <w:r>
              <w:rPr>
                <w:rFonts w:hint="eastAsia"/>
              </w:rPr>
              <w:t>①</w:t>
            </w:r>
            <w:r>
              <w:t>全年预算完成率95%以上计2分，95-90%（含），计1.5分，90-80%（含），计1分，小于80%不得分；</w:t>
            </w:r>
            <w:r>
              <w:br w:type="textWrapping"/>
            </w:r>
            <w:r>
              <w:rPr>
                <w:rFonts w:hint="eastAsia"/>
              </w:rPr>
              <w:t>②</w:t>
            </w:r>
            <w:r>
              <w:t>一、二、三季度末支付序时进度分别达到20%、50%、80%（含）以上计2分，每低1个百分点扣0.2分，扣完为止。</w:t>
            </w:r>
            <w:r>
              <w:br w:type="textWrapping"/>
            </w:r>
            <w:r>
              <w:rPr>
                <w:rFonts w:hint="eastAsia"/>
              </w:rPr>
              <w:t>③</w:t>
            </w:r>
            <w:r>
              <w:t>部门预算项目支出调剂到区县小于等于项目支出2%，计2分；大于2%，不计分；</w:t>
            </w:r>
          </w:p>
        </w:tc>
        <w:tc>
          <w:tcPr>
            <w:tcW w:w="589" w:type="dxa"/>
            <w:noWrap/>
            <w:tcMar>
              <w:top w:w="15" w:type="dxa"/>
              <w:left w:w="15" w:type="dxa"/>
              <w:right w:w="15" w:type="dxa"/>
            </w:tcMar>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625" w:type="dxa"/>
            <w:vMerge w:val="restart"/>
            <w:noWrap/>
            <w:tcMar>
              <w:top w:w="15" w:type="dxa"/>
              <w:left w:w="15" w:type="dxa"/>
              <w:right w:w="15" w:type="dxa"/>
            </w:tcMar>
            <w:vAlign w:val="center"/>
          </w:tcPr>
          <w:p>
            <w:pPr>
              <w:jc w:val="left"/>
            </w:pPr>
            <w:r>
              <w:t>过程</w:t>
            </w:r>
            <w:r>
              <w:br w:type="textWrapping"/>
            </w:r>
            <w:r>
              <w:t>（40分）</w:t>
            </w:r>
          </w:p>
        </w:tc>
        <w:tc>
          <w:tcPr>
            <w:tcW w:w="624" w:type="dxa"/>
            <w:vMerge w:val="restart"/>
            <w:noWrap/>
            <w:tcMar>
              <w:top w:w="15" w:type="dxa"/>
              <w:left w:w="15" w:type="dxa"/>
              <w:right w:w="15" w:type="dxa"/>
            </w:tcMar>
            <w:vAlign w:val="center"/>
          </w:tcPr>
          <w:p>
            <w:pPr>
              <w:jc w:val="left"/>
            </w:pPr>
            <w:r>
              <w:t>预算</w:t>
            </w:r>
            <w:r>
              <w:br w:type="textWrapping"/>
            </w:r>
            <w:r>
              <w:t>执行</w:t>
            </w:r>
            <w:r>
              <w:br w:type="textWrapping"/>
            </w:r>
            <w:r>
              <w:t>（15分）</w:t>
            </w:r>
          </w:p>
        </w:tc>
        <w:tc>
          <w:tcPr>
            <w:tcW w:w="1034" w:type="dxa"/>
            <w:noWrap/>
            <w:tcMar>
              <w:top w:w="15" w:type="dxa"/>
              <w:left w:w="15" w:type="dxa"/>
              <w:right w:w="15" w:type="dxa"/>
            </w:tcMar>
            <w:vAlign w:val="center"/>
          </w:tcPr>
          <w:p>
            <w:pPr>
              <w:jc w:val="left"/>
            </w:pPr>
            <w:r>
              <w:t>预算</w:t>
            </w:r>
          </w:p>
          <w:p>
            <w:pPr>
              <w:jc w:val="left"/>
            </w:pPr>
            <w:r>
              <w:t>调整率</w:t>
            </w:r>
          </w:p>
        </w:tc>
        <w:tc>
          <w:tcPr>
            <w:tcW w:w="567" w:type="dxa"/>
            <w:noWrap/>
            <w:tcMar>
              <w:top w:w="15" w:type="dxa"/>
              <w:left w:w="15" w:type="dxa"/>
              <w:right w:w="15" w:type="dxa"/>
            </w:tcMar>
            <w:vAlign w:val="center"/>
          </w:tcPr>
          <w:p>
            <w:pPr>
              <w:jc w:val="center"/>
            </w:pPr>
            <w:r>
              <w:t>3</w:t>
            </w:r>
          </w:p>
        </w:tc>
        <w:tc>
          <w:tcPr>
            <w:tcW w:w="3292" w:type="dxa"/>
            <w:noWrap/>
            <w:tcMar>
              <w:top w:w="15" w:type="dxa"/>
              <w:left w:w="15" w:type="dxa"/>
              <w:right w:w="15" w:type="dxa"/>
            </w:tcMar>
            <w:vAlign w:val="center"/>
          </w:tcPr>
          <w:p>
            <w:pPr>
              <w:jc w:val="left"/>
            </w:pPr>
            <w:r>
              <w:t>预算调整率=（预算调整数/预算数）×100%。</w:t>
            </w:r>
            <w:r>
              <w:br w:type="textWrapping"/>
            </w:r>
            <w:r>
              <w:t>预算调整数：部门（单位）在本年度内涉及预算的追加、追减或结构调整的资金总和（因落实国家政策、发生不可抗力，市委、市政府临时交办而产生的调整及经济科目非跨类调整除外）。</w:t>
            </w:r>
          </w:p>
        </w:tc>
        <w:tc>
          <w:tcPr>
            <w:tcW w:w="2937" w:type="dxa"/>
            <w:noWrap/>
            <w:tcMar>
              <w:top w:w="15" w:type="dxa"/>
              <w:left w:w="15" w:type="dxa"/>
              <w:right w:w="15" w:type="dxa"/>
            </w:tcMar>
            <w:vAlign w:val="center"/>
          </w:tcPr>
          <w:p>
            <w:pPr>
              <w:jc w:val="left"/>
            </w:pPr>
            <w:r>
              <w:t>预算调整率&lt;5%，计3分；5-10%（含），计1.5分；大于10%不得分。</w:t>
            </w:r>
          </w:p>
        </w:tc>
        <w:tc>
          <w:tcPr>
            <w:tcW w:w="589" w:type="dxa"/>
            <w:noWrap/>
            <w:tcMar>
              <w:top w:w="15" w:type="dxa"/>
              <w:left w:w="15" w:type="dxa"/>
              <w:right w:w="15" w:type="dxa"/>
            </w:tcMar>
            <w:vAlign w:val="center"/>
          </w:tcPr>
          <w:p>
            <w:pPr>
              <w:jc w:val="cente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结转结余</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t>根据市政府文件规定，预算单位年度安排的市级预算资金不能结转。</w:t>
            </w:r>
          </w:p>
        </w:tc>
        <w:tc>
          <w:tcPr>
            <w:tcW w:w="2937" w:type="dxa"/>
            <w:noWrap/>
            <w:tcMar>
              <w:top w:w="15" w:type="dxa"/>
              <w:left w:w="15" w:type="dxa"/>
              <w:right w:w="15" w:type="dxa"/>
            </w:tcMar>
            <w:vAlign w:val="center"/>
          </w:tcPr>
          <w:p>
            <w:pPr>
              <w:jc w:val="left"/>
            </w:pPr>
            <w:r>
              <w:t>市本级资金无结转，计2分；有结转，不计分；</w:t>
            </w:r>
          </w:p>
        </w:tc>
        <w:tc>
          <w:tcPr>
            <w:tcW w:w="589" w:type="dxa"/>
            <w:noWrap/>
            <w:tcMar>
              <w:top w:w="15" w:type="dxa"/>
              <w:left w:w="15" w:type="dxa"/>
              <w:right w:w="15"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“三公</w:t>
            </w:r>
          </w:p>
          <w:p>
            <w:pPr>
              <w:jc w:val="left"/>
            </w:pPr>
            <w:r>
              <w:t>经费”</w:t>
            </w:r>
          </w:p>
          <w:p>
            <w:pPr>
              <w:jc w:val="left"/>
            </w:pPr>
            <w:r>
              <w:t>控制率</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t>“三公经费”控制率=（“三公经费”实际支出数/“三公经费”预算安排数）×100%。不超当年预算，不超上年决算。</w:t>
            </w:r>
          </w:p>
        </w:tc>
        <w:tc>
          <w:tcPr>
            <w:tcW w:w="2937" w:type="dxa"/>
            <w:noWrap/>
            <w:tcMar>
              <w:top w:w="15" w:type="dxa"/>
              <w:left w:w="15" w:type="dxa"/>
              <w:right w:w="15" w:type="dxa"/>
            </w:tcMar>
            <w:vAlign w:val="center"/>
          </w:tcPr>
          <w:p>
            <w:pPr>
              <w:jc w:val="left"/>
            </w:pPr>
            <w:r>
              <w:t>“三公经费”控制率100%以下（含）计2分，每超出1%扣0.15分，扣完为止。</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政府采购</w:t>
            </w:r>
            <w:r>
              <w:br w:type="textWrapping"/>
            </w:r>
            <w:r>
              <w:t>执行率和</w:t>
            </w:r>
            <w:r>
              <w:br w:type="textWrapping"/>
            </w:r>
            <w:r>
              <w:t>规范性</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t>政府采购执行率=（实际政府采购金额/政府采购预算数）×100%；</w:t>
            </w:r>
            <w:r>
              <w:br w:type="textWrapping"/>
            </w:r>
            <w:r>
              <w:t>政府采购预算：采购机关根据事业发展计划和行政任务编制的、并经过规定程序批准的年度政府采购计划。</w:t>
            </w:r>
            <w:r>
              <w:br w:type="textWrapping"/>
            </w:r>
            <w:r>
              <w:t>预算单位严格执行</w:t>
            </w:r>
            <w:bookmarkStart w:id="0" w:name="_GoBack"/>
            <w:bookmarkEnd w:id="0"/>
            <w:r>
              <w:rPr>
                <w:rFonts w:hint="eastAsia"/>
                <w:lang w:eastAsia="zh-CN"/>
              </w:rPr>
              <w:t>《中华人民共和国政府采购法》</w:t>
            </w:r>
            <w:r>
              <w:t>，无规避政府采购或化整为零进行政府采购的行为。所有项目必须依法采购，履行验收手续。</w:t>
            </w:r>
          </w:p>
        </w:tc>
        <w:tc>
          <w:tcPr>
            <w:tcW w:w="2937" w:type="dxa"/>
            <w:noWrap/>
            <w:tcMar>
              <w:top w:w="15" w:type="dxa"/>
              <w:left w:w="15" w:type="dxa"/>
              <w:right w:w="15" w:type="dxa"/>
            </w:tcMar>
            <w:vAlign w:val="center"/>
          </w:tcPr>
          <w:p>
            <w:pPr>
              <w:jc w:val="left"/>
            </w:pPr>
            <w:r>
              <w:t>政府采购执行率100%计1分，每超过（降低）1%扣0.1分，扣完为止。</w:t>
            </w:r>
            <w:r>
              <w:br w:type="textWrapping"/>
            </w:r>
            <w:r>
              <w:t>所有项目依法采购，无规避政府采购或化整为零进行政府采购的行为，并履行验收手续计1分，否则不得分。</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625" w:type="dxa"/>
            <w:vMerge w:val="continue"/>
            <w:noWrap/>
            <w:tcMar>
              <w:top w:w="15" w:type="dxa"/>
              <w:left w:w="15" w:type="dxa"/>
              <w:right w:w="15" w:type="dxa"/>
            </w:tcMar>
            <w:vAlign w:val="center"/>
          </w:tcPr>
          <w:p>
            <w:pPr>
              <w:jc w:val="left"/>
            </w:pPr>
          </w:p>
        </w:tc>
        <w:tc>
          <w:tcPr>
            <w:tcW w:w="624" w:type="dxa"/>
            <w:vMerge w:val="restart"/>
            <w:noWrap/>
            <w:tcMar>
              <w:top w:w="15" w:type="dxa"/>
              <w:left w:w="15" w:type="dxa"/>
              <w:right w:w="15" w:type="dxa"/>
            </w:tcMar>
            <w:vAlign w:val="center"/>
          </w:tcPr>
          <w:p>
            <w:pPr>
              <w:jc w:val="left"/>
            </w:pPr>
            <w:r>
              <w:t>预算</w:t>
            </w:r>
            <w:r>
              <w:br w:type="textWrapping"/>
            </w:r>
            <w:r>
              <w:t>管理</w:t>
            </w:r>
            <w:r>
              <w:br w:type="textWrapping"/>
            </w:r>
            <w:r>
              <w:t>（20分）</w:t>
            </w:r>
          </w:p>
        </w:tc>
        <w:tc>
          <w:tcPr>
            <w:tcW w:w="1034" w:type="dxa"/>
            <w:noWrap/>
            <w:tcMar>
              <w:top w:w="15" w:type="dxa"/>
              <w:left w:w="15" w:type="dxa"/>
              <w:right w:w="15" w:type="dxa"/>
            </w:tcMar>
            <w:vAlign w:val="center"/>
          </w:tcPr>
          <w:p>
            <w:pPr>
              <w:jc w:val="left"/>
            </w:pPr>
            <w:r>
              <w:t>管理制度</w:t>
            </w:r>
            <w:r>
              <w:br w:type="textWrapping"/>
            </w:r>
            <w:r>
              <w:t>健全性</w:t>
            </w:r>
          </w:p>
        </w:tc>
        <w:tc>
          <w:tcPr>
            <w:tcW w:w="567" w:type="dxa"/>
            <w:noWrap/>
            <w:tcMar>
              <w:top w:w="15" w:type="dxa"/>
              <w:left w:w="15" w:type="dxa"/>
              <w:right w:w="15" w:type="dxa"/>
            </w:tcMar>
            <w:vAlign w:val="center"/>
          </w:tcPr>
          <w:p>
            <w:pPr>
              <w:jc w:val="center"/>
            </w:pPr>
            <w:r>
              <w:t>3</w:t>
            </w:r>
          </w:p>
        </w:tc>
        <w:tc>
          <w:tcPr>
            <w:tcW w:w="3292" w:type="dxa"/>
            <w:noWrap/>
            <w:tcMar>
              <w:top w:w="15" w:type="dxa"/>
              <w:left w:w="15" w:type="dxa"/>
              <w:right w:w="15" w:type="dxa"/>
            </w:tcMar>
            <w:vAlign w:val="center"/>
          </w:tcPr>
          <w:p>
            <w:pPr>
              <w:jc w:val="left"/>
            </w:pPr>
            <w:r>
              <w:rPr>
                <w:rFonts w:hint="eastAsia"/>
              </w:rPr>
              <w:t>①</w:t>
            </w:r>
            <w:r>
              <w:t>部门（单位）内控制度、内部财务管理制度和会计核算制度是否健全；</w:t>
            </w:r>
            <w:r>
              <w:br w:type="textWrapping"/>
            </w:r>
            <w:r>
              <w:rPr>
                <w:rFonts w:hint="eastAsia"/>
              </w:rPr>
              <w:t>②</w:t>
            </w:r>
            <w:r>
              <w:t>相关管理制度是否合法、合规、完整；</w:t>
            </w:r>
            <w:r>
              <w:br w:type="textWrapping"/>
            </w:r>
            <w:r>
              <w:rPr>
                <w:rFonts w:hint="eastAsia"/>
              </w:rPr>
              <w:t>③</w:t>
            </w:r>
            <w:r>
              <w:t>相关管理制度是否得到有效执行。</w:t>
            </w:r>
          </w:p>
        </w:tc>
        <w:tc>
          <w:tcPr>
            <w:tcW w:w="2937" w:type="dxa"/>
            <w:noWrap/>
            <w:tcMar>
              <w:top w:w="15" w:type="dxa"/>
              <w:left w:w="15" w:type="dxa"/>
              <w:right w:w="15" w:type="dxa"/>
            </w:tcMar>
            <w:vAlign w:val="center"/>
          </w:tcPr>
          <w:p>
            <w:pPr>
              <w:jc w:val="left"/>
            </w:pPr>
            <w:r>
              <w:rPr>
                <w:rFonts w:hint="eastAsia"/>
              </w:rPr>
              <w:t>①</w:t>
            </w:r>
            <w:r>
              <w:t>部门（单位）内控制度、内部财务管理制度和会计核算制度健全，计1分，否则酌情扣分；</w:t>
            </w:r>
            <w:r>
              <w:br w:type="textWrapping"/>
            </w:r>
            <w:r>
              <w:rPr>
                <w:rFonts w:hint="eastAsia"/>
              </w:rPr>
              <w:t>②</w:t>
            </w:r>
            <w:r>
              <w:t>管理制度合法、合规、完整，计1分，否则酌情扣分；</w:t>
            </w:r>
            <w:r>
              <w:br w:type="textWrapping"/>
            </w:r>
            <w:r>
              <w:rPr>
                <w:rFonts w:hint="eastAsia"/>
              </w:rPr>
              <w:t>③</w:t>
            </w:r>
            <w:r>
              <w:t>管理制度得到有效执行，计1分，1例不符合扣0.2分。</w:t>
            </w:r>
          </w:p>
        </w:tc>
        <w:tc>
          <w:tcPr>
            <w:tcW w:w="589" w:type="dxa"/>
            <w:noWrap/>
            <w:tcMar>
              <w:top w:w="15" w:type="dxa"/>
              <w:left w:w="15" w:type="dxa"/>
              <w:right w:w="15" w:type="dxa"/>
            </w:tcMar>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资金使用</w:t>
            </w:r>
            <w:r>
              <w:br w:type="textWrapping"/>
            </w:r>
            <w:r>
              <w:t>合规性</w:t>
            </w:r>
          </w:p>
        </w:tc>
        <w:tc>
          <w:tcPr>
            <w:tcW w:w="567" w:type="dxa"/>
            <w:noWrap/>
            <w:tcMar>
              <w:top w:w="15" w:type="dxa"/>
              <w:left w:w="15" w:type="dxa"/>
              <w:right w:w="15" w:type="dxa"/>
            </w:tcMar>
            <w:vAlign w:val="center"/>
          </w:tcPr>
          <w:p>
            <w:pPr>
              <w:jc w:val="center"/>
            </w:pPr>
            <w:r>
              <w:t>6</w:t>
            </w:r>
          </w:p>
        </w:tc>
        <w:tc>
          <w:tcPr>
            <w:tcW w:w="3292" w:type="dxa"/>
            <w:noWrap/>
            <w:tcMar>
              <w:top w:w="15" w:type="dxa"/>
              <w:left w:w="15" w:type="dxa"/>
              <w:right w:w="15" w:type="dxa"/>
            </w:tcMar>
            <w:vAlign w:val="center"/>
          </w:tcPr>
          <w:p>
            <w:pPr>
              <w:jc w:val="left"/>
            </w:pPr>
            <w:r>
              <w:rPr>
                <w:rFonts w:hint="eastAsia"/>
              </w:rPr>
              <w:t>①</w:t>
            </w:r>
            <w:r>
              <w:t>是否符合国家财经法规和财务管理制度以及有关专项资金管理办法的规定；</w:t>
            </w:r>
            <w:r>
              <w:br w:type="textWrapping"/>
            </w:r>
            <w:r>
              <w:rPr>
                <w:rFonts w:hint="eastAsia"/>
              </w:rPr>
              <w:t>②</w:t>
            </w:r>
            <w:r>
              <w:t>资金的支付是否有完整的审批程序和手续；</w:t>
            </w:r>
            <w:r>
              <w:br w:type="textWrapping"/>
            </w:r>
            <w:r>
              <w:rPr>
                <w:rFonts w:hint="eastAsia"/>
              </w:rPr>
              <w:t>③</w:t>
            </w:r>
            <w:r>
              <w:t>重大项目开支和大额资金使用是否经单位党组集体研究决策；</w:t>
            </w:r>
            <w:r>
              <w:br w:type="textWrapping"/>
            </w:r>
            <w:r>
              <w:rPr>
                <w:rFonts w:hint="eastAsia"/>
              </w:rPr>
              <w:t>④</w:t>
            </w:r>
            <w:r>
              <w:t>是否符合项目预算批复或合同规定的用途；</w:t>
            </w:r>
            <w:r>
              <w:br w:type="textWrapping"/>
            </w:r>
            <w:r>
              <w:rPr>
                <w:rFonts w:hint="eastAsia"/>
              </w:rPr>
              <w:t>⑤</w:t>
            </w:r>
            <w:r>
              <w:t>是否存在截留、挤占、挪用、虚列支出等情况；</w:t>
            </w:r>
            <w:r>
              <w:br w:type="textWrapping"/>
            </w:r>
            <w:r>
              <w:rPr>
                <w:rFonts w:hint="eastAsia"/>
              </w:rPr>
              <w:t>⑥</w:t>
            </w:r>
            <w:r>
              <w:t>是否存在重复申报项目、虚报冒领资金。</w:t>
            </w:r>
          </w:p>
        </w:tc>
        <w:tc>
          <w:tcPr>
            <w:tcW w:w="2937" w:type="dxa"/>
            <w:noWrap/>
            <w:tcMar>
              <w:top w:w="15" w:type="dxa"/>
              <w:left w:w="15" w:type="dxa"/>
              <w:right w:w="15" w:type="dxa"/>
            </w:tcMar>
            <w:vAlign w:val="center"/>
          </w:tcPr>
          <w:p>
            <w:pPr>
              <w:jc w:val="left"/>
            </w:pPr>
            <w:r>
              <w:rPr>
                <w:rFonts w:hint="eastAsia"/>
              </w:rPr>
              <w:t>①</w:t>
            </w:r>
            <w:r>
              <w:t>符合国家财经法规和财务管理制度以及有关专项资金管理办法的规定，计1分，1例不符合扣0.2分；</w:t>
            </w:r>
            <w:r>
              <w:br w:type="textWrapping"/>
            </w:r>
            <w:r>
              <w:rPr>
                <w:rFonts w:hint="eastAsia"/>
              </w:rPr>
              <w:t>②</w:t>
            </w:r>
            <w:r>
              <w:t>资金的支付有完整的审批程序和手续，计1分，1例不符合扣0.2分；</w:t>
            </w:r>
            <w:r>
              <w:br w:type="textWrapping"/>
            </w:r>
            <w:r>
              <w:rPr>
                <w:rFonts w:hint="eastAsia"/>
              </w:rPr>
              <w:t>③</w:t>
            </w:r>
            <w:r>
              <w:t>重大项目开支和大额资金使用经过单位党组集体研究决策，计1分，1例不符合扣0.2分；</w:t>
            </w:r>
            <w:r>
              <w:br w:type="textWrapping"/>
            </w:r>
            <w:r>
              <w:rPr>
                <w:rFonts w:hint="eastAsia"/>
              </w:rPr>
              <w:t>④</w:t>
            </w:r>
            <w:r>
              <w:t>符合项目预算批复或合同规定的用途，计1分，1例不符合扣0.2分；</w:t>
            </w:r>
            <w:r>
              <w:br w:type="textWrapping"/>
            </w:r>
            <w:r>
              <w:rPr>
                <w:rFonts w:hint="eastAsia"/>
              </w:rPr>
              <w:t>⑤</w:t>
            </w:r>
            <w:r>
              <w:t>不存在截留、挤占、挪用、虚列支出等情况，计1分，1例不符合本指标6分全扣；</w:t>
            </w:r>
            <w:r>
              <w:br w:type="textWrapping"/>
            </w:r>
            <w:r>
              <w:rPr>
                <w:rFonts w:hint="eastAsia"/>
              </w:rPr>
              <w:t>⑥</w:t>
            </w:r>
            <w:r>
              <w:t>不存在重复申报项目、虚报冒领资金，计1分，1例不符合本指标6分全扣；</w:t>
            </w:r>
            <w:r>
              <w:br w:type="textWrapping"/>
            </w:r>
            <w:r>
              <w:rPr>
                <w:rFonts w:hint="eastAsia"/>
              </w:rPr>
              <w:t>⑦</w:t>
            </w:r>
            <w:r>
              <w:t>违规情况特别严重的，重点绩效评价等级定为“差”。</w:t>
            </w:r>
          </w:p>
        </w:tc>
        <w:tc>
          <w:tcPr>
            <w:tcW w:w="589" w:type="dxa"/>
            <w:noWrap/>
            <w:tcMar>
              <w:top w:w="15" w:type="dxa"/>
              <w:left w:w="15" w:type="dxa"/>
              <w:right w:w="15" w:type="dxa"/>
            </w:tcMar>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625" w:type="dxa"/>
            <w:vMerge w:val="restart"/>
            <w:noWrap/>
            <w:tcMar>
              <w:top w:w="15" w:type="dxa"/>
              <w:left w:w="15" w:type="dxa"/>
              <w:right w:w="15" w:type="dxa"/>
            </w:tcMar>
            <w:vAlign w:val="center"/>
          </w:tcPr>
          <w:p>
            <w:pPr>
              <w:jc w:val="left"/>
            </w:pPr>
            <w:r>
              <w:t>过程</w:t>
            </w:r>
            <w:r>
              <w:br w:type="textWrapping"/>
            </w:r>
            <w:r>
              <w:t>（40分）</w:t>
            </w:r>
          </w:p>
        </w:tc>
        <w:tc>
          <w:tcPr>
            <w:tcW w:w="624" w:type="dxa"/>
            <w:vMerge w:val="restart"/>
            <w:noWrap/>
            <w:tcMar>
              <w:top w:w="15" w:type="dxa"/>
              <w:left w:w="15" w:type="dxa"/>
              <w:right w:w="15" w:type="dxa"/>
            </w:tcMar>
            <w:vAlign w:val="center"/>
          </w:tcPr>
          <w:p>
            <w:pPr>
              <w:jc w:val="left"/>
            </w:pPr>
            <w:r>
              <w:t>预算</w:t>
            </w:r>
            <w:r>
              <w:br w:type="textWrapping"/>
            </w:r>
            <w:r>
              <w:t>管理</w:t>
            </w:r>
            <w:r>
              <w:br w:type="textWrapping"/>
            </w:r>
            <w:r>
              <w:t>（20分）</w:t>
            </w:r>
          </w:p>
        </w:tc>
        <w:tc>
          <w:tcPr>
            <w:tcW w:w="1034" w:type="dxa"/>
            <w:noWrap/>
            <w:tcMar>
              <w:top w:w="15" w:type="dxa"/>
              <w:left w:w="15" w:type="dxa"/>
              <w:right w:w="15" w:type="dxa"/>
            </w:tcMar>
            <w:vAlign w:val="center"/>
          </w:tcPr>
          <w:p>
            <w:pPr>
              <w:jc w:val="left"/>
            </w:pPr>
            <w:r>
              <w:t>信息</w:t>
            </w:r>
          </w:p>
          <w:p>
            <w:pPr>
              <w:jc w:val="left"/>
            </w:pPr>
            <w:r>
              <w:t>公开性</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rPr>
                <w:rFonts w:hint="eastAsia"/>
              </w:rPr>
              <w:t>①</w:t>
            </w:r>
            <w:r>
              <w:t>预算单位按规定及时、准确、完整的公开预决算和绩效管理信息；</w:t>
            </w:r>
            <w:r>
              <w:br w:type="textWrapping"/>
            </w:r>
            <w:r>
              <w:rPr>
                <w:rFonts w:hint="eastAsia"/>
              </w:rPr>
              <w:t>②</w:t>
            </w:r>
            <w:r>
              <w:t>基础数据信息和会计信息资料真实、准确、完整；</w:t>
            </w:r>
          </w:p>
        </w:tc>
        <w:tc>
          <w:tcPr>
            <w:tcW w:w="2937" w:type="dxa"/>
            <w:noWrap/>
            <w:tcMar>
              <w:top w:w="15" w:type="dxa"/>
              <w:left w:w="15" w:type="dxa"/>
              <w:right w:w="15" w:type="dxa"/>
            </w:tcMar>
            <w:vAlign w:val="center"/>
          </w:tcPr>
          <w:p>
            <w:pPr>
              <w:jc w:val="left"/>
            </w:pPr>
            <w:r>
              <w:rPr>
                <w:rFonts w:hint="eastAsia"/>
              </w:rPr>
              <w:t>①</w:t>
            </w:r>
            <w:r>
              <w:t>、</w:t>
            </w:r>
            <w:r>
              <w:rPr>
                <w:rFonts w:hint="eastAsia"/>
              </w:rPr>
              <w:t>②</w:t>
            </w:r>
            <w:r>
              <w:t>各计1分，否则，酌情扣分；</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绩效自评</w:t>
            </w:r>
            <w:r>
              <w:br w:type="textWrapping"/>
            </w:r>
            <w:r>
              <w:t>管理情况</w:t>
            </w:r>
          </w:p>
        </w:tc>
        <w:tc>
          <w:tcPr>
            <w:tcW w:w="567" w:type="dxa"/>
            <w:noWrap/>
            <w:tcMar>
              <w:top w:w="15" w:type="dxa"/>
              <w:left w:w="15" w:type="dxa"/>
              <w:right w:w="15" w:type="dxa"/>
            </w:tcMar>
            <w:vAlign w:val="center"/>
          </w:tcPr>
          <w:p>
            <w:pPr>
              <w:jc w:val="center"/>
            </w:pPr>
            <w:r>
              <w:t>4</w:t>
            </w:r>
          </w:p>
        </w:tc>
        <w:tc>
          <w:tcPr>
            <w:tcW w:w="3292" w:type="dxa"/>
            <w:noWrap/>
            <w:tcMar>
              <w:top w:w="15" w:type="dxa"/>
              <w:left w:w="15" w:type="dxa"/>
              <w:right w:w="15" w:type="dxa"/>
            </w:tcMar>
            <w:vAlign w:val="center"/>
          </w:tcPr>
          <w:p>
            <w:pPr>
              <w:jc w:val="left"/>
            </w:pPr>
            <w:r>
              <w:rPr>
                <w:rFonts w:hint="eastAsia"/>
              </w:rPr>
              <w:t>①</w:t>
            </w:r>
            <w:r>
              <w:t>是否按要求开展绩效自评工作；</w:t>
            </w:r>
            <w:r>
              <w:rPr>
                <w:rFonts w:hint="eastAsia"/>
              </w:rPr>
              <w:t>②</w:t>
            </w:r>
            <w:r>
              <w:t>绩效自评报告报送及时；</w:t>
            </w:r>
            <w:r>
              <w:rPr>
                <w:rFonts w:hint="eastAsia"/>
              </w:rPr>
              <w:t>③</w:t>
            </w:r>
            <w:r>
              <w:t>绩效自评报告的综合评审等级；</w:t>
            </w:r>
            <w:r>
              <w:rPr>
                <w:rFonts w:hint="eastAsia"/>
              </w:rPr>
              <w:t>④</w:t>
            </w:r>
            <w:r>
              <w:t>绩效自评报告是否完整，数据是否全面、真实、准确，绩效指标是否细化量化和科学合理，绩效自评反映的问题是否具体，意见是否可行；</w:t>
            </w:r>
          </w:p>
        </w:tc>
        <w:tc>
          <w:tcPr>
            <w:tcW w:w="2937" w:type="dxa"/>
            <w:noWrap/>
            <w:tcMar>
              <w:top w:w="15" w:type="dxa"/>
              <w:left w:w="15" w:type="dxa"/>
              <w:right w:w="15" w:type="dxa"/>
            </w:tcMar>
            <w:vAlign w:val="center"/>
          </w:tcPr>
          <w:p>
            <w:pPr>
              <w:jc w:val="left"/>
            </w:pPr>
            <w:r>
              <w:t>根据市财政局2020年考核结果，评审为优，计4分；评审为良，计3分；评审为中，计2分；评审为低，计1分；评审为差，计0分。</w:t>
            </w:r>
          </w:p>
        </w:tc>
        <w:tc>
          <w:tcPr>
            <w:tcW w:w="589" w:type="dxa"/>
            <w:noWrap/>
            <w:tcMar>
              <w:top w:w="15" w:type="dxa"/>
              <w:left w:w="15" w:type="dxa"/>
              <w:right w:w="15"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重点绩效评价整改情况</w:t>
            </w:r>
          </w:p>
        </w:tc>
        <w:tc>
          <w:tcPr>
            <w:tcW w:w="567" w:type="dxa"/>
            <w:noWrap/>
            <w:tcMar>
              <w:top w:w="15" w:type="dxa"/>
              <w:left w:w="15" w:type="dxa"/>
              <w:right w:w="15" w:type="dxa"/>
            </w:tcMar>
            <w:vAlign w:val="center"/>
          </w:tcPr>
          <w:p>
            <w:pPr>
              <w:jc w:val="center"/>
            </w:pPr>
            <w:r>
              <w:t>5</w:t>
            </w:r>
          </w:p>
        </w:tc>
        <w:tc>
          <w:tcPr>
            <w:tcW w:w="3292" w:type="dxa"/>
            <w:noWrap/>
            <w:tcMar>
              <w:top w:w="15" w:type="dxa"/>
              <w:left w:w="15" w:type="dxa"/>
              <w:right w:w="15" w:type="dxa"/>
            </w:tcMar>
            <w:vAlign w:val="center"/>
          </w:tcPr>
          <w:p>
            <w:pPr>
              <w:jc w:val="left"/>
            </w:pPr>
            <w:r>
              <w:t>对上年度财政重点评价中存在的问题是否进行整改。</w:t>
            </w:r>
          </w:p>
        </w:tc>
        <w:tc>
          <w:tcPr>
            <w:tcW w:w="2937" w:type="dxa"/>
            <w:noWrap/>
            <w:tcMar>
              <w:top w:w="15" w:type="dxa"/>
              <w:left w:w="15" w:type="dxa"/>
              <w:right w:w="15" w:type="dxa"/>
            </w:tcMar>
            <w:vAlign w:val="center"/>
          </w:tcPr>
          <w:p>
            <w:pPr>
              <w:jc w:val="left"/>
            </w:pPr>
            <w:r>
              <w:t>2019年重点评价问题全部整改，计5分；2019年重点评价问题部分整改，计3分；2019年重点评价问题未整改且无整改情况说明的不计分。</w:t>
            </w:r>
          </w:p>
        </w:tc>
        <w:tc>
          <w:tcPr>
            <w:tcW w:w="589" w:type="dxa"/>
            <w:noWrap/>
            <w:tcMar>
              <w:top w:w="15" w:type="dxa"/>
              <w:left w:w="15" w:type="dxa"/>
              <w:right w:w="15"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625" w:type="dxa"/>
            <w:vMerge w:val="continue"/>
            <w:noWrap/>
            <w:tcMar>
              <w:top w:w="15" w:type="dxa"/>
              <w:left w:w="15" w:type="dxa"/>
              <w:right w:w="15" w:type="dxa"/>
            </w:tcMar>
            <w:vAlign w:val="center"/>
          </w:tcPr>
          <w:p>
            <w:pPr>
              <w:jc w:val="left"/>
            </w:pPr>
          </w:p>
        </w:tc>
        <w:tc>
          <w:tcPr>
            <w:tcW w:w="624" w:type="dxa"/>
            <w:vMerge w:val="restart"/>
            <w:noWrap/>
            <w:tcMar>
              <w:top w:w="15" w:type="dxa"/>
              <w:left w:w="15" w:type="dxa"/>
              <w:right w:w="15" w:type="dxa"/>
            </w:tcMar>
            <w:vAlign w:val="center"/>
          </w:tcPr>
          <w:p>
            <w:pPr>
              <w:jc w:val="left"/>
            </w:pPr>
            <w:r>
              <w:t>资产</w:t>
            </w:r>
            <w:r>
              <w:br w:type="textWrapping"/>
            </w:r>
            <w:r>
              <w:t>管理</w:t>
            </w:r>
            <w:r>
              <w:br w:type="textWrapping"/>
            </w:r>
            <w:r>
              <w:t>（5分）</w:t>
            </w:r>
          </w:p>
        </w:tc>
        <w:tc>
          <w:tcPr>
            <w:tcW w:w="1034" w:type="dxa"/>
            <w:noWrap/>
            <w:tcMar>
              <w:top w:w="15" w:type="dxa"/>
              <w:left w:w="15" w:type="dxa"/>
              <w:right w:w="15" w:type="dxa"/>
            </w:tcMar>
            <w:vAlign w:val="center"/>
          </w:tcPr>
          <w:p>
            <w:pPr>
              <w:jc w:val="left"/>
            </w:pPr>
            <w:r>
              <w:t>资产</w:t>
            </w:r>
          </w:p>
          <w:p>
            <w:pPr>
              <w:jc w:val="left"/>
            </w:pPr>
            <w:r>
              <w:t>管理</w:t>
            </w:r>
            <w:r>
              <w:br w:type="textWrapping"/>
            </w:r>
            <w:r>
              <w:t>制度</w:t>
            </w:r>
          </w:p>
          <w:p>
            <w:pPr>
              <w:jc w:val="left"/>
            </w:pPr>
            <w:r>
              <w:t>健全性</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rPr>
                <w:rFonts w:hint="eastAsia"/>
              </w:rPr>
              <w:t>①</w:t>
            </w:r>
            <w:r>
              <w:t>是否已制定合法、合规、完整的资产管理制度；</w:t>
            </w:r>
            <w:r>
              <w:br w:type="textWrapping"/>
            </w:r>
            <w:r>
              <w:rPr>
                <w:rFonts w:hint="eastAsia"/>
              </w:rPr>
              <w:t>②</w:t>
            </w:r>
            <w:r>
              <w:t>相关资产管理制度是否得到有效执行；</w:t>
            </w:r>
            <w:r>
              <w:br w:type="textWrapping"/>
            </w:r>
            <w:r>
              <w:rPr>
                <w:rFonts w:hint="eastAsia"/>
              </w:rPr>
              <w:t>③</w:t>
            </w:r>
            <w:r>
              <w:t>资产配置是否编制年度预算；</w:t>
            </w:r>
            <w:r>
              <w:br w:type="textWrapping"/>
            </w:r>
            <w:r>
              <w:rPr>
                <w:rFonts w:hint="eastAsia"/>
              </w:rPr>
              <w:t>④</w:t>
            </w:r>
            <w:r>
              <w:t>资产配置预算实际执行情况。</w:t>
            </w:r>
          </w:p>
        </w:tc>
        <w:tc>
          <w:tcPr>
            <w:tcW w:w="2937" w:type="dxa"/>
            <w:noWrap/>
            <w:tcMar>
              <w:top w:w="15" w:type="dxa"/>
              <w:left w:w="15" w:type="dxa"/>
              <w:right w:w="15" w:type="dxa"/>
            </w:tcMar>
            <w:vAlign w:val="center"/>
          </w:tcPr>
          <w:p>
            <w:pPr>
              <w:jc w:val="left"/>
            </w:pPr>
            <w:r>
              <w:rPr>
                <w:rFonts w:hint="eastAsia"/>
              </w:rPr>
              <w:t>①</w:t>
            </w:r>
            <w:r>
              <w:t>已制定合法、合规、完整的资产管理制度，计0.5分，否则不得分；</w:t>
            </w:r>
            <w:r>
              <w:br w:type="textWrapping"/>
            </w:r>
            <w:r>
              <w:rPr>
                <w:rFonts w:hint="eastAsia"/>
              </w:rPr>
              <w:t>②</w:t>
            </w:r>
            <w:r>
              <w:t>相关资产管理制度得到有效执行，计0.5分，否则，不得分；</w:t>
            </w:r>
            <w:r>
              <w:br w:type="textWrapping"/>
            </w:r>
            <w:r>
              <w:rPr>
                <w:rFonts w:hint="eastAsia"/>
              </w:rPr>
              <w:t>③</w:t>
            </w:r>
            <w:r>
              <w:t>资产管理编制年度预算，计0.5分，未编制不得分。</w:t>
            </w:r>
            <w:r>
              <w:br w:type="textWrapping"/>
            </w:r>
            <w:r>
              <w:rPr>
                <w:rFonts w:hint="eastAsia"/>
              </w:rPr>
              <w:t>④</w:t>
            </w:r>
            <w:r>
              <w:t>资产配置预算实际执行情况未超年度预算（按程序审批除外），计0.5分，否则，不得分。</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资产管理</w:t>
            </w:r>
            <w:r>
              <w:br w:type="textWrapping"/>
            </w:r>
            <w:r>
              <w:t>安全性</w:t>
            </w:r>
          </w:p>
        </w:tc>
        <w:tc>
          <w:tcPr>
            <w:tcW w:w="567" w:type="dxa"/>
            <w:noWrap/>
            <w:tcMar>
              <w:top w:w="15" w:type="dxa"/>
              <w:left w:w="15" w:type="dxa"/>
              <w:right w:w="15" w:type="dxa"/>
            </w:tcMar>
            <w:vAlign w:val="center"/>
          </w:tcPr>
          <w:p>
            <w:pPr>
              <w:jc w:val="center"/>
            </w:pPr>
            <w:r>
              <w:t>2</w:t>
            </w:r>
          </w:p>
        </w:tc>
        <w:tc>
          <w:tcPr>
            <w:tcW w:w="3292" w:type="dxa"/>
            <w:noWrap/>
            <w:tcMar>
              <w:top w:w="15" w:type="dxa"/>
              <w:left w:w="15" w:type="dxa"/>
              <w:right w:w="15" w:type="dxa"/>
            </w:tcMar>
            <w:vAlign w:val="center"/>
          </w:tcPr>
          <w:p>
            <w:pPr>
              <w:jc w:val="left"/>
            </w:pPr>
            <w:r>
              <w:rPr>
                <w:rFonts w:hint="eastAsia"/>
              </w:rPr>
              <w:t>①</w:t>
            </w:r>
            <w:r>
              <w:t>资产保存是否完整并有台账；</w:t>
            </w:r>
            <w:r>
              <w:br w:type="textWrapping"/>
            </w:r>
            <w:r>
              <w:rPr>
                <w:rFonts w:hint="eastAsia"/>
              </w:rPr>
              <w:t>②</w:t>
            </w:r>
            <w:r>
              <w:t>资产配置是否合理；</w:t>
            </w:r>
            <w:r>
              <w:br w:type="textWrapping"/>
            </w:r>
            <w:r>
              <w:rPr>
                <w:rFonts w:hint="eastAsia"/>
              </w:rPr>
              <w:t>③</w:t>
            </w:r>
            <w:r>
              <w:t>资产处置是否规范；</w:t>
            </w:r>
            <w:r>
              <w:br w:type="textWrapping"/>
            </w:r>
            <w:r>
              <w:rPr>
                <w:rFonts w:hint="eastAsia"/>
              </w:rPr>
              <w:t>④</w:t>
            </w:r>
            <w:r>
              <w:t>资产账务管理是否合规，是否</w:t>
            </w:r>
            <w:r>
              <w:rPr>
                <w:rFonts w:hint="eastAsia"/>
                <w:lang w:eastAsia="zh-CN"/>
              </w:rPr>
              <w:t>账实相符</w:t>
            </w:r>
            <w:r>
              <w:t>；</w:t>
            </w:r>
            <w:r>
              <w:br w:type="textWrapping"/>
            </w:r>
            <w:r>
              <w:rPr>
                <w:rFonts w:hint="eastAsia"/>
              </w:rPr>
              <w:t>⑤</w:t>
            </w:r>
            <w:r>
              <w:t>资产是否有偿使用或处置收入及时足额上缴；</w:t>
            </w:r>
            <w:r>
              <w:br w:type="textWrapping"/>
            </w:r>
            <w:r>
              <w:rPr>
                <w:rFonts w:hint="eastAsia"/>
              </w:rPr>
              <w:t>⑥</w:t>
            </w:r>
            <w:r>
              <w:t>相关资产购置是否履行政府采购手续；</w:t>
            </w:r>
            <w:r>
              <w:br w:type="textWrapping"/>
            </w:r>
            <w:r>
              <w:rPr>
                <w:rFonts w:hint="eastAsia"/>
              </w:rPr>
              <w:t>⑦</w:t>
            </w:r>
            <w:r>
              <w:t>资产是否定期进行盘点并有记录。</w:t>
            </w:r>
          </w:p>
        </w:tc>
        <w:tc>
          <w:tcPr>
            <w:tcW w:w="2937" w:type="dxa"/>
            <w:noWrap/>
            <w:tcMar>
              <w:top w:w="15" w:type="dxa"/>
              <w:left w:w="15" w:type="dxa"/>
              <w:right w:w="15" w:type="dxa"/>
            </w:tcMar>
            <w:vAlign w:val="center"/>
          </w:tcPr>
          <w:p>
            <w:pPr>
              <w:jc w:val="left"/>
            </w:pPr>
            <w:r>
              <w:rPr>
                <w:rFonts w:hint="eastAsia"/>
              </w:rPr>
              <w:t>①</w:t>
            </w:r>
            <w:r>
              <w:t>资产配置合理符合标准、保管完整，账务管理规范，定期盘点并有台账，账实相符的，计0.5分，发现一例不符，扣0.1分，扣完为止；</w:t>
            </w:r>
            <w:r>
              <w:br w:type="textWrapping"/>
            </w:r>
            <w:r>
              <w:rPr>
                <w:rFonts w:hint="eastAsia"/>
              </w:rPr>
              <w:t>②</w:t>
            </w:r>
            <w:r>
              <w:t>资产处置规范，计0.5分，发现一例不符，扣0.1分，扣完为止；</w:t>
            </w:r>
            <w:r>
              <w:br w:type="textWrapping"/>
            </w:r>
            <w:r>
              <w:rPr>
                <w:rFonts w:hint="eastAsia"/>
              </w:rPr>
              <w:t>③</w:t>
            </w:r>
            <w:r>
              <w:t>资产有偿使用或处置收入及时足额上缴，计0.5分，发现未上缴，本项不得分；</w:t>
            </w:r>
            <w:r>
              <w:br w:type="textWrapping"/>
            </w:r>
            <w:r>
              <w:rPr>
                <w:rFonts w:hint="eastAsia"/>
              </w:rPr>
              <w:t>④</w:t>
            </w:r>
            <w:r>
              <w:t>资产购置履行政府采购手续，计0.5分，发现一例不符，扣0.1分，扣完为止；</w:t>
            </w:r>
          </w:p>
        </w:tc>
        <w:tc>
          <w:tcPr>
            <w:tcW w:w="589" w:type="dxa"/>
            <w:noWrap/>
            <w:tcMar>
              <w:top w:w="15" w:type="dxa"/>
              <w:left w:w="15" w:type="dxa"/>
              <w:right w:w="15"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固定资产</w:t>
            </w:r>
            <w:r>
              <w:br w:type="textWrapping"/>
            </w:r>
            <w:r>
              <w:t>保管和使用情况</w:t>
            </w:r>
          </w:p>
        </w:tc>
        <w:tc>
          <w:tcPr>
            <w:tcW w:w="567" w:type="dxa"/>
            <w:noWrap/>
            <w:tcMar>
              <w:top w:w="15" w:type="dxa"/>
              <w:left w:w="15" w:type="dxa"/>
              <w:right w:w="15" w:type="dxa"/>
            </w:tcMar>
            <w:vAlign w:val="center"/>
          </w:tcPr>
          <w:p>
            <w:pPr>
              <w:jc w:val="center"/>
            </w:pPr>
            <w:r>
              <w:t>1</w:t>
            </w:r>
          </w:p>
        </w:tc>
        <w:tc>
          <w:tcPr>
            <w:tcW w:w="3292" w:type="dxa"/>
            <w:noWrap/>
            <w:tcMar>
              <w:top w:w="15" w:type="dxa"/>
              <w:left w:w="15" w:type="dxa"/>
              <w:right w:w="15" w:type="dxa"/>
            </w:tcMar>
            <w:vAlign w:val="center"/>
          </w:tcPr>
          <w:p>
            <w:pPr>
              <w:jc w:val="left"/>
            </w:pPr>
            <w:r>
              <w:rPr>
                <w:rFonts w:hint="eastAsia"/>
              </w:rPr>
              <w:t>①</w:t>
            </w:r>
            <w:r>
              <w:t>是否建立固定资产台账，实行编码管理；</w:t>
            </w:r>
            <w:r>
              <w:br w:type="textWrapping"/>
            </w:r>
            <w:r>
              <w:rPr>
                <w:rFonts w:hint="eastAsia"/>
              </w:rPr>
              <w:t>②</w:t>
            </w:r>
            <w:r>
              <w:t>固定资产增减变化是否建立审批程序；</w:t>
            </w:r>
          </w:p>
        </w:tc>
        <w:tc>
          <w:tcPr>
            <w:tcW w:w="2937" w:type="dxa"/>
            <w:noWrap/>
            <w:tcMar>
              <w:top w:w="15" w:type="dxa"/>
              <w:left w:w="15" w:type="dxa"/>
              <w:right w:w="15" w:type="dxa"/>
            </w:tcMar>
            <w:vAlign w:val="center"/>
          </w:tcPr>
          <w:p>
            <w:pPr>
              <w:jc w:val="left"/>
            </w:pPr>
            <w:r>
              <w:t>建了固定资产台账实行编码管理的计0.5分；建立了固定资产增减变化审批程序的计0.5分，否则不得分。</w:t>
            </w:r>
          </w:p>
        </w:tc>
        <w:tc>
          <w:tcPr>
            <w:tcW w:w="589" w:type="dxa"/>
            <w:noWrap/>
            <w:tcMar>
              <w:top w:w="15" w:type="dxa"/>
              <w:left w:w="15" w:type="dxa"/>
              <w:right w:w="15" w:type="dxa"/>
            </w:tcMar>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625" w:type="dxa"/>
            <w:vMerge w:val="restart"/>
            <w:noWrap/>
            <w:tcMar>
              <w:top w:w="15" w:type="dxa"/>
              <w:left w:w="15" w:type="dxa"/>
              <w:right w:w="15" w:type="dxa"/>
            </w:tcMar>
            <w:vAlign w:val="center"/>
          </w:tcPr>
          <w:p>
            <w:pPr>
              <w:jc w:val="left"/>
            </w:pPr>
            <w:r>
              <w:t>产出</w:t>
            </w:r>
          </w:p>
          <w:p>
            <w:pPr>
              <w:jc w:val="left"/>
            </w:pPr>
            <w:r>
              <w:t>（25分）</w:t>
            </w:r>
          </w:p>
        </w:tc>
        <w:tc>
          <w:tcPr>
            <w:tcW w:w="624" w:type="dxa"/>
            <w:vMerge w:val="restart"/>
            <w:noWrap/>
            <w:tcMar>
              <w:top w:w="15" w:type="dxa"/>
              <w:left w:w="15" w:type="dxa"/>
              <w:right w:w="15" w:type="dxa"/>
            </w:tcMar>
            <w:vAlign w:val="center"/>
          </w:tcPr>
          <w:p>
            <w:pPr>
              <w:jc w:val="left"/>
            </w:pPr>
            <w:r>
              <w:t>职责</w:t>
            </w:r>
          </w:p>
          <w:p>
            <w:pPr>
              <w:jc w:val="left"/>
            </w:pPr>
            <w:r>
              <w:t>履行</w:t>
            </w:r>
          </w:p>
          <w:p>
            <w:pPr>
              <w:jc w:val="left"/>
            </w:pPr>
            <w:r>
              <w:t>（25分）</w:t>
            </w:r>
          </w:p>
        </w:tc>
        <w:tc>
          <w:tcPr>
            <w:tcW w:w="1034" w:type="dxa"/>
            <w:noWrap/>
            <w:tcMar>
              <w:top w:w="15" w:type="dxa"/>
              <w:left w:w="15" w:type="dxa"/>
              <w:right w:w="15" w:type="dxa"/>
            </w:tcMar>
            <w:vAlign w:val="center"/>
          </w:tcPr>
          <w:p>
            <w:pPr>
              <w:jc w:val="left"/>
            </w:pPr>
            <w:r>
              <w:t>实际</w:t>
            </w:r>
          </w:p>
          <w:p>
            <w:pPr>
              <w:jc w:val="left"/>
            </w:pPr>
            <w:r>
              <w:t>完成率</w:t>
            </w:r>
          </w:p>
        </w:tc>
        <w:tc>
          <w:tcPr>
            <w:tcW w:w="567" w:type="dxa"/>
            <w:noWrap/>
            <w:tcMar>
              <w:top w:w="15" w:type="dxa"/>
              <w:left w:w="15" w:type="dxa"/>
              <w:right w:w="15" w:type="dxa"/>
            </w:tcMar>
            <w:vAlign w:val="center"/>
          </w:tcPr>
          <w:p>
            <w:pPr>
              <w:jc w:val="center"/>
            </w:pPr>
            <w:r>
              <w:rPr>
                <w:rFonts w:hint="eastAsia"/>
              </w:rPr>
              <w:t>7</w:t>
            </w:r>
          </w:p>
        </w:tc>
        <w:tc>
          <w:tcPr>
            <w:tcW w:w="3292" w:type="dxa"/>
            <w:noWrap/>
            <w:tcMar>
              <w:top w:w="15" w:type="dxa"/>
              <w:left w:w="15" w:type="dxa"/>
              <w:right w:w="15" w:type="dxa"/>
            </w:tcMar>
            <w:vAlign w:val="center"/>
          </w:tcPr>
          <w:p>
            <w:pPr>
              <w:jc w:val="left"/>
            </w:pPr>
            <w:r>
              <w:t>部门履行职责而实际完成工作数与计划工作数的比率，用以反映和考核部门履职工作任务目标的实现程度。</w:t>
            </w:r>
          </w:p>
        </w:tc>
        <w:tc>
          <w:tcPr>
            <w:tcW w:w="2937" w:type="dxa"/>
            <w:noWrap/>
            <w:tcMar>
              <w:top w:w="15" w:type="dxa"/>
              <w:left w:w="15" w:type="dxa"/>
              <w:right w:w="15" w:type="dxa"/>
            </w:tcMar>
            <w:vAlign w:val="center"/>
          </w:tcPr>
          <w:p>
            <w:pPr>
              <w:jc w:val="left"/>
            </w:pPr>
            <w:r>
              <w:t>实际完成率=（实际完成工作数/计划工作数）*100%。实际完成工作数：一定时期（年度或规划期）内部门实际完成工作任务的数量。计划工作数：部门整体绩效目标确定的一定时期（年度或规划期）内预计完成工作任务的数量。</w:t>
            </w:r>
          </w:p>
        </w:tc>
        <w:tc>
          <w:tcPr>
            <w:tcW w:w="589" w:type="dxa"/>
            <w:noWrap/>
            <w:tcMar>
              <w:top w:w="15" w:type="dxa"/>
              <w:left w:w="15" w:type="dxa"/>
              <w:right w:w="15" w:type="dxa"/>
            </w:tcMar>
            <w:vAlign w:val="center"/>
          </w:tcPr>
          <w:p>
            <w:pPr>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完成</w:t>
            </w:r>
          </w:p>
          <w:p>
            <w:pPr>
              <w:jc w:val="left"/>
            </w:pPr>
            <w:r>
              <w:t>及时性</w:t>
            </w:r>
          </w:p>
        </w:tc>
        <w:tc>
          <w:tcPr>
            <w:tcW w:w="567" w:type="dxa"/>
            <w:noWrap/>
            <w:tcMar>
              <w:top w:w="15" w:type="dxa"/>
              <w:left w:w="15" w:type="dxa"/>
              <w:right w:w="15" w:type="dxa"/>
            </w:tcMar>
            <w:vAlign w:val="center"/>
          </w:tcPr>
          <w:p>
            <w:pPr>
              <w:jc w:val="center"/>
            </w:pPr>
            <w:r>
              <w:rPr>
                <w:rFonts w:hint="eastAsia"/>
              </w:rPr>
              <w:t>5</w:t>
            </w:r>
          </w:p>
        </w:tc>
        <w:tc>
          <w:tcPr>
            <w:tcW w:w="3292" w:type="dxa"/>
            <w:noWrap/>
            <w:tcMar>
              <w:top w:w="15" w:type="dxa"/>
              <w:left w:w="15" w:type="dxa"/>
              <w:right w:w="15" w:type="dxa"/>
            </w:tcMar>
            <w:vAlign w:val="center"/>
          </w:tcPr>
          <w:p>
            <w:pPr>
              <w:jc w:val="left"/>
            </w:pPr>
            <w:r>
              <w:t>部门在规定时限内及时完成的实际工作数与计划工作数的比率，用以反映和考核部门履职实效目标的实现程度。</w:t>
            </w:r>
          </w:p>
        </w:tc>
        <w:tc>
          <w:tcPr>
            <w:tcW w:w="2937" w:type="dxa"/>
            <w:noWrap/>
            <w:tcMar>
              <w:top w:w="15" w:type="dxa"/>
              <w:left w:w="15" w:type="dxa"/>
              <w:right w:w="15" w:type="dxa"/>
            </w:tcMar>
            <w:vAlign w:val="center"/>
          </w:tcPr>
          <w:p>
            <w:pPr>
              <w:jc w:val="left"/>
            </w:pPr>
            <w:r>
              <w:t>完成及时率=（及时完成实际工作数/计划工作数）*100%。及时完成工作数：部门按照整体绩效目标确定的时限实际完成的工作任务数量。</w:t>
            </w:r>
          </w:p>
        </w:tc>
        <w:tc>
          <w:tcPr>
            <w:tcW w:w="589" w:type="dxa"/>
            <w:noWrap/>
            <w:tcMar>
              <w:top w:w="15" w:type="dxa"/>
              <w:left w:w="15" w:type="dxa"/>
              <w:right w:w="15"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质量</w:t>
            </w:r>
          </w:p>
          <w:p>
            <w:pPr>
              <w:jc w:val="left"/>
            </w:pPr>
            <w:r>
              <w:t>达标率</w:t>
            </w:r>
          </w:p>
        </w:tc>
        <w:tc>
          <w:tcPr>
            <w:tcW w:w="567" w:type="dxa"/>
            <w:noWrap/>
            <w:tcMar>
              <w:top w:w="15" w:type="dxa"/>
              <w:left w:w="15" w:type="dxa"/>
              <w:right w:w="15" w:type="dxa"/>
            </w:tcMar>
            <w:vAlign w:val="center"/>
          </w:tcPr>
          <w:p>
            <w:pPr>
              <w:jc w:val="center"/>
            </w:pPr>
            <w:r>
              <w:rPr>
                <w:rFonts w:hint="eastAsia"/>
              </w:rPr>
              <w:t>7</w:t>
            </w:r>
          </w:p>
        </w:tc>
        <w:tc>
          <w:tcPr>
            <w:tcW w:w="3292" w:type="dxa"/>
            <w:noWrap/>
            <w:tcMar>
              <w:top w:w="15" w:type="dxa"/>
              <w:left w:w="15" w:type="dxa"/>
              <w:right w:w="15" w:type="dxa"/>
            </w:tcMar>
            <w:vAlign w:val="center"/>
          </w:tcPr>
          <w:p>
            <w:pPr>
              <w:jc w:val="left"/>
            </w:pPr>
            <w:r>
              <w:t>达到质量标准（绩效标准值）的实际工作数与计划工作数的比率，用以反映和考核部门履职时效目标的实现程度。</w:t>
            </w:r>
          </w:p>
        </w:tc>
        <w:tc>
          <w:tcPr>
            <w:tcW w:w="2937" w:type="dxa"/>
            <w:noWrap/>
            <w:tcMar>
              <w:top w:w="15" w:type="dxa"/>
              <w:left w:w="15" w:type="dxa"/>
              <w:right w:w="15" w:type="dxa"/>
            </w:tcMar>
            <w:vAlign w:val="center"/>
          </w:tcPr>
          <w:p>
            <w:pPr>
              <w:jc w:val="left"/>
            </w:pPr>
            <w:r>
              <w:t>质量达标率=（质量达标实际工作数/计划工作数）*100%。质量达标实际工作数：一定时期（年度或规划期）内部门实际完成工作数中达到部门绩效目标要求（绩效标准值）的工作任务数量。</w:t>
            </w:r>
          </w:p>
        </w:tc>
        <w:tc>
          <w:tcPr>
            <w:tcW w:w="589" w:type="dxa"/>
            <w:noWrap/>
            <w:tcMar>
              <w:top w:w="15" w:type="dxa"/>
              <w:left w:w="15" w:type="dxa"/>
              <w:right w:w="15" w:type="dxa"/>
            </w:tcMar>
            <w:vAlign w:val="center"/>
          </w:tcPr>
          <w:p>
            <w:pPr>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重点工作办结率</w:t>
            </w:r>
          </w:p>
        </w:tc>
        <w:tc>
          <w:tcPr>
            <w:tcW w:w="567" w:type="dxa"/>
            <w:noWrap/>
            <w:tcMar>
              <w:top w:w="15" w:type="dxa"/>
              <w:left w:w="15" w:type="dxa"/>
              <w:right w:w="15" w:type="dxa"/>
            </w:tcMar>
            <w:vAlign w:val="center"/>
          </w:tcPr>
          <w:p>
            <w:pPr>
              <w:jc w:val="center"/>
            </w:pPr>
            <w:r>
              <w:rPr>
                <w:rFonts w:hint="eastAsia"/>
              </w:rPr>
              <w:t>6</w:t>
            </w:r>
          </w:p>
        </w:tc>
        <w:tc>
          <w:tcPr>
            <w:tcW w:w="3292" w:type="dxa"/>
            <w:noWrap/>
            <w:tcMar>
              <w:top w:w="15" w:type="dxa"/>
              <w:left w:w="15" w:type="dxa"/>
              <w:right w:w="15" w:type="dxa"/>
            </w:tcMar>
            <w:vAlign w:val="center"/>
          </w:tcPr>
          <w:p>
            <w:pPr>
              <w:jc w:val="left"/>
            </w:pPr>
            <w:r>
              <w:t>部门年度重点工作实际完成数与交办或下达数的比率，用以反映部门对重点工作的办理落实程度。</w:t>
            </w:r>
          </w:p>
        </w:tc>
        <w:tc>
          <w:tcPr>
            <w:tcW w:w="2937" w:type="dxa"/>
            <w:noWrap/>
            <w:tcMar>
              <w:top w:w="15" w:type="dxa"/>
              <w:left w:w="15" w:type="dxa"/>
              <w:right w:w="15" w:type="dxa"/>
            </w:tcMar>
            <w:vAlign w:val="center"/>
          </w:tcPr>
          <w:p>
            <w:pPr>
              <w:jc w:val="left"/>
            </w:pPr>
            <w:r>
              <w:t>重点工作办结率=（重点工作实际完成数/交办或下达数）*100%。重点工作是指党委、政府、人大、相关部门交办或下达的工作任务。</w:t>
            </w:r>
          </w:p>
        </w:tc>
        <w:tc>
          <w:tcPr>
            <w:tcW w:w="589" w:type="dxa"/>
            <w:noWrap/>
            <w:tcMar>
              <w:top w:w="15" w:type="dxa"/>
              <w:left w:w="15" w:type="dxa"/>
              <w:right w:w="15" w:type="dxa"/>
            </w:tcMar>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25" w:type="dxa"/>
            <w:vMerge w:val="restart"/>
            <w:noWrap/>
            <w:tcMar>
              <w:top w:w="15" w:type="dxa"/>
              <w:left w:w="15" w:type="dxa"/>
              <w:right w:w="15" w:type="dxa"/>
            </w:tcMar>
            <w:vAlign w:val="center"/>
          </w:tcPr>
          <w:p>
            <w:pPr>
              <w:jc w:val="left"/>
            </w:pPr>
            <w:r>
              <w:t>效果</w:t>
            </w:r>
          </w:p>
          <w:p>
            <w:pPr>
              <w:jc w:val="left"/>
            </w:pPr>
            <w:r>
              <w:t>（25分）</w:t>
            </w:r>
          </w:p>
        </w:tc>
        <w:tc>
          <w:tcPr>
            <w:tcW w:w="624" w:type="dxa"/>
            <w:vMerge w:val="restart"/>
            <w:noWrap/>
            <w:tcMar>
              <w:top w:w="15" w:type="dxa"/>
              <w:left w:w="15" w:type="dxa"/>
              <w:right w:w="15" w:type="dxa"/>
            </w:tcMar>
            <w:vAlign w:val="center"/>
          </w:tcPr>
          <w:p>
            <w:pPr>
              <w:jc w:val="left"/>
            </w:pPr>
            <w:r>
              <w:t>履职</w:t>
            </w:r>
          </w:p>
          <w:p>
            <w:pPr>
              <w:jc w:val="left"/>
            </w:pPr>
            <w:r>
              <w:t>效益</w:t>
            </w:r>
          </w:p>
          <w:p>
            <w:pPr>
              <w:jc w:val="left"/>
            </w:pPr>
            <w:r>
              <w:t>（25分）</w:t>
            </w:r>
          </w:p>
        </w:tc>
        <w:tc>
          <w:tcPr>
            <w:tcW w:w="1034" w:type="dxa"/>
            <w:noWrap/>
            <w:tcMar>
              <w:top w:w="15" w:type="dxa"/>
              <w:left w:w="15" w:type="dxa"/>
              <w:right w:w="15" w:type="dxa"/>
            </w:tcMar>
            <w:vAlign w:val="center"/>
          </w:tcPr>
          <w:p>
            <w:pPr>
              <w:jc w:val="left"/>
            </w:pPr>
            <w:r>
              <w:t>经济效益</w:t>
            </w:r>
          </w:p>
        </w:tc>
        <w:tc>
          <w:tcPr>
            <w:tcW w:w="567" w:type="dxa"/>
            <w:noWrap/>
            <w:tcMar>
              <w:top w:w="15" w:type="dxa"/>
              <w:left w:w="15" w:type="dxa"/>
              <w:right w:w="15" w:type="dxa"/>
            </w:tcMar>
            <w:vAlign w:val="center"/>
          </w:tcPr>
          <w:p>
            <w:pPr>
              <w:jc w:val="center"/>
            </w:pPr>
            <w:r>
              <w:rPr>
                <w:rFonts w:hint="eastAsia"/>
              </w:rPr>
              <w:t>5</w:t>
            </w:r>
          </w:p>
        </w:tc>
        <w:tc>
          <w:tcPr>
            <w:tcW w:w="3292" w:type="dxa"/>
            <w:noWrap/>
            <w:tcMar>
              <w:top w:w="15" w:type="dxa"/>
              <w:left w:w="15" w:type="dxa"/>
              <w:right w:w="15" w:type="dxa"/>
            </w:tcMar>
            <w:vAlign w:val="center"/>
          </w:tcPr>
          <w:p>
            <w:pPr>
              <w:jc w:val="left"/>
            </w:pPr>
            <w:r>
              <w:t>部门履行职责对经济发展所带来的直接或间接影响</w:t>
            </w:r>
          </w:p>
        </w:tc>
        <w:tc>
          <w:tcPr>
            <w:tcW w:w="2937" w:type="dxa"/>
            <w:vMerge w:val="restart"/>
            <w:noWrap/>
            <w:tcMar>
              <w:top w:w="15" w:type="dxa"/>
              <w:left w:w="15" w:type="dxa"/>
              <w:right w:w="15" w:type="dxa"/>
            </w:tcMar>
            <w:vAlign w:val="center"/>
          </w:tcPr>
          <w:p>
            <w:pPr>
              <w:jc w:val="left"/>
            </w:pPr>
            <w:r>
              <w:t>此三项指标为设置部门整体支出绩效评价指标时必须考虑的共性要素，可根据部门实际并结合部门整体支出绩效目标设立情况有选择的进行设置，并将其细化为相应的个性化指标。</w:t>
            </w:r>
          </w:p>
        </w:tc>
        <w:tc>
          <w:tcPr>
            <w:tcW w:w="589" w:type="dxa"/>
            <w:noWrap/>
            <w:tcMar>
              <w:top w:w="15" w:type="dxa"/>
              <w:left w:w="15" w:type="dxa"/>
              <w:right w:w="15"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社会效益</w:t>
            </w:r>
          </w:p>
        </w:tc>
        <w:tc>
          <w:tcPr>
            <w:tcW w:w="567" w:type="dxa"/>
            <w:noWrap/>
            <w:tcMar>
              <w:top w:w="15" w:type="dxa"/>
              <w:left w:w="15" w:type="dxa"/>
              <w:right w:w="15" w:type="dxa"/>
            </w:tcMar>
            <w:vAlign w:val="center"/>
          </w:tcPr>
          <w:p>
            <w:pPr>
              <w:jc w:val="center"/>
            </w:pPr>
            <w:r>
              <w:rPr>
                <w:rFonts w:hint="eastAsia"/>
              </w:rPr>
              <w:t>7</w:t>
            </w:r>
          </w:p>
        </w:tc>
        <w:tc>
          <w:tcPr>
            <w:tcW w:w="3292" w:type="dxa"/>
            <w:noWrap/>
            <w:tcMar>
              <w:top w:w="15" w:type="dxa"/>
              <w:left w:w="15" w:type="dxa"/>
              <w:right w:w="15" w:type="dxa"/>
            </w:tcMar>
            <w:vAlign w:val="center"/>
          </w:tcPr>
          <w:p>
            <w:pPr>
              <w:jc w:val="left"/>
            </w:pPr>
            <w:r>
              <w:t>部门履行职责对社会发展所带来的直接或间接影响</w:t>
            </w:r>
          </w:p>
        </w:tc>
        <w:tc>
          <w:tcPr>
            <w:tcW w:w="2937" w:type="dxa"/>
            <w:vMerge w:val="continue"/>
            <w:noWrap/>
            <w:tcMar>
              <w:top w:w="15" w:type="dxa"/>
              <w:left w:w="15" w:type="dxa"/>
              <w:right w:w="15" w:type="dxa"/>
            </w:tcMar>
            <w:vAlign w:val="center"/>
          </w:tcPr>
          <w:p>
            <w:pPr>
              <w:jc w:val="left"/>
            </w:pPr>
          </w:p>
        </w:tc>
        <w:tc>
          <w:tcPr>
            <w:tcW w:w="589" w:type="dxa"/>
            <w:noWrap/>
            <w:tcMar>
              <w:top w:w="15" w:type="dxa"/>
              <w:left w:w="15" w:type="dxa"/>
              <w:right w:w="15" w:type="dxa"/>
            </w:tcMar>
            <w:vAlign w:val="center"/>
          </w:tcPr>
          <w:p>
            <w:pPr>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生态效益</w:t>
            </w:r>
          </w:p>
        </w:tc>
        <w:tc>
          <w:tcPr>
            <w:tcW w:w="567" w:type="dxa"/>
            <w:noWrap/>
            <w:tcMar>
              <w:top w:w="15" w:type="dxa"/>
              <w:left w:w="15" w:type="dxa"/>
              <w:right w:w="15" w:type="dxa"/>
            </w:tcMar>
            <w:vAlign w:val="center"/>
          </w:tcPr>
          <w:p>
            <w:pPr>
              <w:jc w:val="center"/>
            </w:pPr>
            <w:r>
              <w:rPr>
                <w:rFonts w:hint="eastAsia"/>
              </w:rPr>
              <w:t>5</w:t>
            </w:r>
          </w:p>
        </w:tc>
        <w:tc>
          <w:tcPr>
            <w:tcW w:w="3292" w:type="dxa"/>
            <w:noWrap/>
            <w:tcMar>
              <w:top w:w="15" w:type="dxa"/>
              <w:left w:w="15" w:type="dxa"/>
              <w:right w:w="15" w:type="dxa"/>
            </w:tcMar>
            <w:vAlign w:val="center"/>
          </w:tcPr>
          <w:p>
            <w:pPr>
              <w:jc w:val="left"/>
            </w:pPr>
            <w:r>
              <w:t>部门履行职责对生态环境所带来的直接或间接影响</w:t>
            </w:r>
          </w:p>
        </w:tc>
        <w:tc>
          <w:tcPr>
            <w:tcW w:w="2937" w:type="dxa"/>
            <w:vMerge w:val="continue"/>
            <w:noWrap/>
            <w:tcMar>
              <w:top w:w="15" w:type="dxa"/>
              <w:left w:w="15" w:type="dxa"/>
              <w:right w:w="15" w:type="dxa"/>
            </w:tcMar>
            <w:vAlign w:val="center"/>
          </w:tcPr>
          <w:p>
            <w:pPr>
              <w:jc w:val="left"/>
            </w:pPr>
          </w:p>
        </w:tc>
        <w:tc>
          <w:tcPr>
            <w:tcW w:w="589" w:type="dxa"/>
            <w:noWrap/>
            <w:tcMar>
              <w:top w:w="15" w:type="dxa"/>
              <w:left w:w="15" w:type="dxa"/>
              <w:right w:w="15" w:type="dxa"/>
            </w:tcMar>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25" w:type="dxa"/>
            <w:vMerge w:val="continue"/>
            <w:noWrap/>
            <w:tcMar>
              <w:top w:w="15" w:type="dxa"/>
              <w:left w:w="15" w:type="dxa"/>
              <w:right w:w="15" w:type="dxa"/>
            </w:tcMar>
            <w:vAlign w:val="center"/>
          </w:tcPr>
          <w:p>
            <w:pPr>
              <w:jc w:val="left"/>
            </w:pPr>
          </w:p>
        </w:tc>
        <w:tc>
          <w:tcPr>
            <w:tcW w:w="624" w:type="dxa"/>
            <w:vMerge w:val="continue"/>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r>
              <w:t>社会公众或服务对象满意度</w:t>
            </w:r>
          </w:p>
        </w:tc>
        <w:tc>
          <w:tcPr>
            <w:tcW w:w="567" w:type="dxa"/>
            <w:noWrap/>
            <w:tcMar>
              <w:top w:w="15" w:type="dxa"/>
              <w:left w:w="15" w:type="dxa"/>
              <w:right w:w="15" w:type="dxa"/>
            </w:tcMar>
            <w:vAlign w:val="center"/>
          </w:tcPr>
          <w:p>
            <w:pPr>
              <w:jc w:val="center"/>
            </w:pPr>
            <w:r>
              <w:t>8</w:t>
            </w:r>
          </w:p>
        </w:tc>
        <w:tc>
          <w:tcPr>
            <w:tcW w:w="3292" w:type="dxa"/>
            <w:noWrap/>
            <w:tcMar>
              <w:top w:w="15" w:type="dxa"/>
              <w:left w:w="15" w:type="dxa"/>
              <w:right w:w="15" w:type="dxa"/>
            </w:tcMar>
            <w:vAlign w:val="center"/>
          </w:tcPr>
          <w:p>
            <w:pPr>
              <w:jc w:val="left"/>
            </w:pPr>
            <w:r>
              <w:t>社会公众或部门的服务对象对部门履职效果的满意程度</w:t>
            </w:r>
          </w:p>
        </w:tc>
        <w:tc>
          <w:tcPr>
            <w:tcW w:w="2937" w:type="dxa"/>
            <w:noWrap/>
            <w:tcMar>
              <w:top w:w="15" w:type="dxa"/>
              <w:left w:w="15" w:type="dxa"/>
              <w:right w:w="15" w:type="dxa"/>
            </w:tcMar>
            <w:vAlign w:val="center"/>
          </w:tcPr>
          <w:p>
            <w:pPr>
              <w:jc w:val="left"/>
            </w:pPr>
            <w:r>
              <w:t>社会公众或服务对象是指部门履行职责而影响到的部门、群体或个人。一般采取社会调查的方式。</w:t>
            </w:r>
          </w:p>
        </w:tc>
        <w:tc>
          <w:tcPr>
            <w:tcW w:w="589" w:type="dxa"/>
            <w:noWrap/>
            <w:tcMar>
              <w:top w:w="15" w:type="dxa"/>
              <w:left w:w="15" w:type="dxa"/>
              <w:right w:w="15" w:type="dxa"/>
            </w:tcMar>
            <w:vAlign w:val="center"/>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625" w:type="dxa"/>
            <w:noWrap/>
            <w:tcMar>
              <w:top w:w="15" w:type="dxa"/>
              <w:left w:w="15" w:type="dxa"/>
              <w:right w:w="15" w:type="dxa"/>
            </w:tcMar>
            <w:vAlign w:val="center"/>
          </w:tcPr>
          <w:p>
            <w:pPr>
              <w:jc w:val="left"/>
            </w:pPr>
            <w:r>
              <w:rPr>
                <w:rFonts w:hint="eastAsia"/>
              </w:rPr>
              <w:t>合计</w:t>
            </w:r>
          </w:p>
        </w:tc>
        <w:tc>
          <w:tcPr>
            <w:tcW w:w="624" w:type="dxa"/>
            <w:noWrap/>
            <w:tcMar>
              <w:top w:w="15" w:type="dxa"/>
              <w:left w:w="15" w:type="dxa"/>
              <w:right w:w="15" w:type="dxa"/>
            </w:tcMar>
            <w:vAlign w:val="center"/>
          </w:tcPr>
          <w:p>
            <w:pPr>
              <w:jc w:val="left"/>
            </w:pPr>
          </w:p>
        </w:tc>
        <w:tc>
          <w:tcPr>
            <w:tcW w:w="1034" w:type="dxa"/>
            <w:noWrap/>
            <w:tcMar>
              <w:top w:w="15" w:type="dxa"/>
              <w:left w:w="15" w:type="dxa"/>
              <w:right w:w="15" w:type="dxa"/>
            </w:tcMar>
            <w:vAlign w:val="center"/>
          </w:tcPr>
          <w:p>
            <w:pPr>
              <w:jc w:val="left"/>
            </w:pPr>
          </w:p>
        </w:tc>
        <w:tc>
          <w:tcPr>
            <w:tcW w:w="567" w:type="dxa"/>
            <w:noWrap/>
            <w:tcMar>
              <w:top w:w="15" w:type="dxa"/>
              <w:left w:w="15" w:type="dxa"/>
              <w:right w:w="15" w:type="dxa"/>
            </w:tcMar>
            <w:vAlign w:val="center"/>
          </w:tcPr>
          <w:p>
            <w:pPr>
              <w:jc w:val="center"/>
            </w:pPr>
            <w:r>
              <w:rPr>
                <w:rFonts w:hint="eastAsia"/>
              </w:rPr>
              <w:t>100</w:t>
            </w:r>
          </w:p>
        </w:tc>
        <w:tc>
          <w:tcPr>
            <w:tcW w:w="3292" w:type="dxa"/>
            <w:noWrap/>
            <w:tcMar>
              <w:top w:w="15" w:type="dxa"/>
              <w:left w:w="15" w:type="dxa"/>
              <w:right w:w="15" w:type="dxa"/>
            </w:tcMar>
            <w:vAlign w:val="center"/>
          </w:tcPr>
          <w:p>
            <w:pPr>
              <w:jc w:val="left"/>
            </w:pPr>
          </w:p>
        </w:tc>
        <w:tc>
          <w:tcPr>
            <w:tcW w:w="2937" w:type="dxa"/>
            <w:noWrap/>
            <w:tcMar>
              <w:top w:w="15" w:type="dxa"/>
              <w:left w:w="15" w:type="dxa"/>
              <w:right w:w="15" w:type="dxa"/>
            </w:tcMar>
            <w:vAlign w:val="center"/>
          </w:tcPr>
          <w:p>
            <w:pPr>
              <w:jc w:val="left"/>
            </w:pPr>
          </w:p>
        </w:tc>
        <w:tc>
          <w:tcPr>
            <w:tcW w:w="589" w:type="dxa"/>
            <w:noWrap/>
            <w:tcMar>
              <w:top w:w="15" w:type="dxa"/>
              <w:left w:w="15" w:type="dxa"/>
              <w:right w:w="15" w:type="dxa"/>
            </w:tcMar>
            <w:vAlign w:val="center"/>
          </w:tcPr>
          <w:p>
            <w:pPr>
              <w:jc w:val="center"/>
            </w:pPr>
            <w:r>
              <w:rPr>
                <w:rFonts w:hint="eastAsia"/>
              </w:rPr>
              <w:t>96.5</w:t>
            </w:r>
          </w:p>
        </w:tc>
      </w:tr>
    </w:tbl>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2020年度部门整体支出预算绩效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长沙市雨花区审计局</w:t>
      </w:r>
    </w:p>
    <w:p>
      <w:pPr>
        <w:jc w:val="center"/>
        <w:rPr>
          <w:rFonts w:eastAsia="黑体"/>
          <w:sz w:val="36"/>
          <w:szCs w:val="36"/>
        </w:rPr>
      </w:pPr>
    </w:p>
    <w:p>
      <w:pPr>
        <w:jc w:val="center"/>
        <w:rPr>
          <w:rFonts w:eastAsia="黑体"/>
          <w:sz w:val="32"/>
          <w:szCs w:val="32"/>
        </w:rPr>
      </w:pPr>
    </w:p>
    <w:p>
      <w:pPr>
        <w:rPr>
          <w:rFonts w:eastAsia="黑体"/>
          <w:sz w:val="32"/>
          <w:szCs w:val="32"/>
        </w:rPr>
      </w:pPr>
    </w:p>
    <w:p>
      <w:pPr>
        <w:jc w:val="center"/>
        <w:rPr>
          <w:rFonts w:eastAsia="仿宋_GB2312"/>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14"/>
        <w:widowControl/>
        <w:spacing w:line="52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spacing w:line="520" w:lineRule="exact"/>
        <w:ind w:firstLine="640" w:firstLineChars="200"/>
        <w:rPr>
          <w:rFonts w:eastAsia="仿宋_GB2312"/>
          <w:sz w:val="32"/>
          <w:szCs w:val="32"/>
        </w:rPr>
      </w:pPr>
      <w:r>
        <w:rPr>
          <w:rFonts w:hint="eastAsia" w:eastAsia="仿宋_GB2312"/>
          <w:sz w:val="32"/>
          <w:szCs w:val="32"/>
        </w:rPr>
        <w:t>区审计局为人民政府行使经济监督权力的职能部门。编制共计21个，其中行政编11个，政府投资审计中心事业编10个。2020年底实有在职在编干部19人，政府雇员6人（其中专业审计人员5名），退休人员7人，共32人。无交通车辆。</w:t>
      </w:r>
    </w:p>
    <w:p>
      <w:pPr>
        <w:spacing w:line="520" w:lineRule="exact"/>
        <w:ind w:firstLine="640" w:firstLineChars="200"/>
        <w:rPr>
          <w:rFonts w:eastAsia="仿宋_GB2312"/>
          <w:sz w:val="32"/>
          <w:szCs w:val="32"/>
        </w:rPr>
      </w:pPr>
      <w:r>
        <w:rPr>
          <w:rFonts w:hint="eastAsia" w:eastAsia="仿宋_GB2312"/>
          <w:sz w:val="32"/>
          <w:szCs w:val="32"/>
        </w:rPr>
        <w:t>主要职责：</w:t>
      </w:r>
    </w:p>
    <w:p>
      <w:pPr>
        <w:spacing w:line="520" w:lineRule="exact"/>
        <w:ind w:firstLine="640" w:firstLineChars="200"/>
        <w:rPr>
          <w:rFonts w:eastAsia="仿宋_GB2312"/>
          <w:sz w:val="32"/>
          <w:szCs w:val="32"/>
        </w:rPr>
      </w:pPr>
      <w:r>
        <w:rPr>
          <w:rFonts w:hint="eastAsia" w:eastAsia="仿宋_GB2312"/>
          <w:sz w:val="32"/>
          <w:szCs w:val="32"/>
        </w:rPr>
        <w:t>1、贯彻执行国家审计方针、政策，研究制定全区审计业务工作规划，参与制定全区审计财经方面的制度，组织、指导、协调监督全区审计业务工作，组织行业或专项资金的审计或审计调查。</w:t>
      </w:r>
    </w:p>
    <w:p>
      <w:pPr>
        <w:spacing w:line="520" w:lineRule="exact"/>
        <w:ind w:firstLine="640" w:firstLineChars="200"/>
        <w:rPr>
          <w:rFonts w:eastAsia="仿宋_GB2312"/>
          <w:sz w:val="32"/>
          <w:szCs w:val="32"/>
        </w:rPr>
      </w:pPr>
      <w:r>
        <w:rPr>
          <w:rFonts w:hint="eastAsia" w:eastAsia="仿宋_GB2312"/>
          <w:sz w:val="32"/>
          <w:szCs w:val="32"/>
        </w:rPr>
        <w:t>2、向区人民政府报告和向区政府有关部门通报审计情况，提出制订和完善有关制度的建议。</w:t>
      </w:r>
    </w:p>
    <w:p>
      <w:pPr>
        <w:spacing w:line="520" w:lineRule="exact"/>
        <w:ind w:firstLine="640" w:firstLineChars="200"/>
        <w:rPr>
          <w:rFonts w:eastAsia="仿宋_GB2312"/>
          <w:sz w:val="32"/>
          <w:szCs w:val="32"/>
        </w:rPr>
      </w:pPr>
      <w:r>
        <w:rPr>
          <w:rFonts w:hint="eastAsia" w:eastAsia="仿宋_GB2312"/>
          <w:sz w:val="32"/>
          <w:szCs w:val="32"/>
        </w:rPr>
        <w:t>3、依据《中华人民共和国审计法》的规定，直接进行下列审计：</w:t>
      </w:r>
    </w:p>
    <w:p>
      <w:pPr>
        <w:spacing w:line="520" w:lineRule="exact"/>
        <w:ind w:firstLine="640" w:firstLineChars="200"/>
        <w:rPr>
          <w:rFonts w:eastAsia="仿宋_GB2312"/>
          <w:sz w:val="32"/>
          <w:szCs w:val="32"/>
        </w:rPr>
      </w:pPr>
      <w:r>
        <w:rPr>
          <w:rFonts w:hint="eastAsia" w:eastAsia="仿宋_GB2312"/>
          <w:sz w:val="32"/>
          <w:szCs w:val="32"/>
        </w:rPr>
        <w:t>（1）区本级财政预算执行情况和其他财政收支；</w:t>
      </w:r>
    </w:p>
    <w:p>
      <w:pPr>
        <w:spacing w:line="520" w:lineRule="exact"/>
        <w:ind w:firstLine="640" w:firstLineChars="200"/>
        <w:rPr>
          <w:rFonts w:eastAsia="仿宋_GB2312"/>
          <w:sz w:val="32"/>
          <w:szCs w:val="32"/>
        </w:rPr>
      </w:pPr>
      <w:r>
        <w:rPr>
          <w:rFonts w:hint="eastAsia" w:eastAsia="仿宋_GB2312"/>
          <w:sz w:val="32"/>
          <w:szCs w:val="32"/>
        </w:rPr>
        <w:t>（2）乡、镇、街道一级财政预算执行情况、决算；</w:t>
      </w:r>
    </w:p>
    <w:p>
      <w:pPr>
        <w:spacing w:line="520" w:lineRule="exact"/>
        <w:ind w:firstLine="640" w:firstLineChars="200"/>
        <w:rPr>
          <w:rFonts w:eastAsia="仿宋_GB2312"/>
          <w:sz w:val="32"/>
          <w:szCs w:val="32"/>
        </w:rPr>
      </w:pPr>
      <w:r>
        <w:rPr>
          <w:rFonts w:hint="eastAsia" w:eastAsia="仿宋_GB2312"/>
          <w:sz w:val="32"/>
          <w:szCs w:val="32"/>
        </w:rPr>
        <w:t>（3）区属国有企业和国有资产占控股地位或者主导地位的股份制企业的资产、负债和损益情况；</w:t>
      </w:r>
    </w:p>
    <w:p>
      <w:pPr>
        <w:spacing w:line="520" w:lineRule="exact"/>
        <w:ind w:firstLine="640" w:firstLineChars="200"/>
        <w:rPr>
          <w:rFonts w:eastAsia="仿宋_GB2312"/>
          <w:sz w:val="32"/>
          <w:szCs w:val="32"/>
        </w:rPr>
      </w:pPr>
      <w:r>
        <w:rPr>
          <w:rFonts w:hint="eastAsia" w:eastAsia="仿宋_GB2312"/>
          <w:sz w:val="32"/>
          <w:szCs w:val="32"/>
        </w:rPr>
        <w:t>（4）区政府部门管理的和社会团体受区政府委托管理的社会保障基金、环境保护资金、社会捐赠资金以及其他有关基金、资金的财务收支；</w:t>
      </w:r>
    </w:p>
    <w:p>
      <w:pPr>
        <w:spacing w:line="520" w:lineRule="exact"/>
        <w:ind w:firstLine="640" w:firstLineChars="200"/>
        <w:rPr>
          <w:rFonts w:eastAsia="仿宋_GB2312"/>
          <w:sz w:val="32"/>
          <w:szCs w:val="32"/>
        </w:rPr>
      </w:pPr>
      <w:r>
        <w:rPr>
          <w:rFonts w:hint="eastAsia" w:eastAsia="仿宋_GB2312"/>
          <w:sz w:val="32"/>
          <w:szCs w:val="32"/>
        </w:rPr>
        <w:t>（5）区政府接受的外来援助、贷款项目以及赠款项目的财务收支；</w:t>
      </w:r>
    </w:p>
    <w:p>
      <w:pPr>
        <w:spacing w:line="520" w:lineRule="exact"/>
        <w:ind w:firstLine="640" w:firstLineChars="200"/>
        <w:rPr>
          <w:rFonts w:eastAsia="仿宋_GB2312"/>
          <w:sz w:val="32"/>
          <w:szCs w:val="32"/>
        </w:rPr>
      </w:pPr>
      <w:r>
        <w:rPr>
          <w:rFonts w:hint="eastAsia" w:eastAsia="仿宋_GB2312"/>
          <w:sz w:val="32"/>
          <w:szCs w:val="32"/>
        </w:rPr>
        <w:t>（6）区直各部门、事业单位及其下属单位的财务收支和专用资金的使用情况；</w:t>
      </w:r>
    </w:p>
    <w:p>
      <w:pPr>
        <w:spacing w:line="520" w:lineRule="exact"/>
        <w:ind w:firstLine="640" w:firstLineChars="200"/>
        <w:rPr>
          <w:rFonts w:eastAsia="仿宋_GB2312"/>
          <w:sz w:val="32"/>
          <w:szCs w:val="32"/>
        </w:rPr>
      </w:pPr>
      <w:r>
        <w:rPr>
          <w:rFonts w:hint="eastAsia" w:eastAsia="仿宋_GB2312"/>
          <w:sz w:val="32"/>
          <w:szCs w:val="32"/>
        </w:rPr>
        <w:t>（7）区政府、区直各部门的基本建设项目概算、预算执行情况和决算；</w:t>
      </w:r>
    </w:p>
    <w:p>
      <w:pPr>
        <w:spacing w:line="520" w:lineRule="exact"/>
        <w:ind w:firstLine="640" w:firstLineChars="200"/>
        <w:rPr>
          <w:rFonts w:eastAsia="仿宋_GB2312"/>
          <w:sz w:val="32"/>
          <w:szCs w:val="32"/>
        </w:rPr>
      </w:pPr>
      <w:r>
        <w:rPr>
          <w:rFonts w:hint="eastAsia" w:eastAsia="仿宋_GB2312"/>
          <w:sz w:val="32"/>
          <w:szCs w:val="32"/>
        </w:rPr>
        <w:t>（8）其他法律、法规规定应由审计局进行的审计事项。</w:t>
      </w:r>
    </w:p>
    <w:p>
      <w:pPr>
        <w:spacing w:line="520" w:lineRule="exact"/>
        <w:ind w:firstLine="640" w:firstLineChars="200"/>
        <w:rPr>
          <w:rFonts w:eastAsia="仿宋_GB2312"/>
          <w:sz w:val="32"/>
          <w:szCs w:val="32"/>
        </w:rPr>
      </w:pPr>
      <w:r>
        <w:rPr>
          <w:rFonts w:hint="eastAsia" w:eastAsia="仿宋_GB2312"/>
          <w:sz w:val="32"/>
          <w:szCs w:val="32"/>
        </w:rPr>
        <w:t>4、向区人民政府提交对本级预算执行和其他财政收支的审计结果报告；受政府委托，向区人大常委会提出区本级预算执行和其他财政收支的审计工作报告。</w:t>
      </w:r>
    </w:p>
    <w:p>
      <w:pPr>
        <w:spacing w:line="520" w:lineRule="exact"/>
        <w:ind w:firstLine="640" w:firstLineChars="200"/>
        <w:rPr>
          <w:rFonts w:eastAsia="仿宋_GB2312"/>
          <w:sz w:val="32"/>
          <w:szCs w:val="32"/>
        </w:rPr>
      </w:pPr>
      <w:r>
        <w:rPr>
          <w:rFonts w:hint="eastAsia" w:eastAsia="仿宋_GB2312"/>
          <w:sz w:val="32"/>
          <w:szCs w:val="32"/>
        </w:rPr>
        <w:t>5、为贯彻执行国家财经方针政策和宏观调控措施，组织行业审计、专项审计或审计调查，并向上级审计机关和区政府报告审计调查结果。</w:t>
      </w:r>
    </w:p>
    <w:p>
      <w:pPr>
        <w:spacing w:line="520" w:lineRule="exact"/>
        <w:ind w:firstLine="640" w:firstLineChars="200"/>
        <w:rPr>
          <w:rFonts w:eastAsia="仿宋_GB2312"/>
          <w:sz w:val="32"/>
          <w:szCs w:val="32"/>
        </w:rPr>
      </w:pPr>
      <w:r>
        <w:rPr>
          <w:rFonts w:hint="eastAsia" w:eastAsia="仿宋_GB2312"/>
          <w:sz w:val="32"/>
          <w:szCs w:val="32"/>
        </w:rPr>
        <w:t>6、受区委、区政府委托，组织对党政领导干部和国有企业负责人的任期经济责任审计。</w:t>
      </w:r>
    </w:p>
    <w:p>
      <w:pPr>
        <w:spacing w:line="520" w:lineRule="exact"/>
        <w:ind w:firstLine="640" w:firstLineChars="200"/>
        <w:rPr>
          <w:rFonts w:eastAsia="仿宋_GB2312"/>
          <w:sz w:val="32"/>
          <w:szCs w:val="32"/>
        </w:rPr>
      </w:pPr>
      <w:r>
        <w:rPr>
          <w:rFonts w:hint="eastAsia" w:eastAsia="仿宋_GB2312"/>
          <w:sz w:val="32"/>
          <w:szCs w:val="32"/>
        </w:rPr>
        <w:t>7、组织实施对全区内部审计的指导监督，监督社会审计组织的审计业务质量，组织审计专业培训。</w:t>
      </w:r>
    </w:p>
    <w:p>
      <w:pPr>
        <w:spacing w:line="520" w:lineRule="exact"/>
        <w:ind w:firstLine="640" w:firstLineChars="200"/>
        <w:rPr>
          <w:rFonts w:eastAsia="仿宋_GB2312"/>
          <w:sz w:val="32"/>
          <w:szCs w:val="32"/>
        </w:rPr>
      </w:pPr>
      <w:r>
        <w:rPr>
          <w:rFonts w:hint="eastAsia" w:eastAsia="仿宋_GB2312"/>
          <w:sz w:val="32"/>
          <w:szCs w:val="32"/>
        </w:rPr>
        <w:t>8、与有关部门共同组织研究开展社会审计领域的对外交流活动。</w:t>
      </w:r>
    </w:p>
    <w:p>
      <w:pPr>
        <w:spacing w:line="520" w:lineRule="exact"/>
        <w:ind w:firstLine="640" w:firstLineChars="200"/>
        <w:rPr>
          <w:rFonts w:eastAsia="仿宋_GB2312"/>
          <w:sz w:val="32"/>
          <w:szCs w:val="32"/>
        </w:rPr>
      </w:pPr>
      <w:r>
        <w:rPr>
          <w:rFonts w:hint="eastAsia" w:eastAsia="仿宋_GB2312"/>
          <w:sz w:val="32"/>
          <w:szCs w:val="32"/>
        </w:rPr>
        <w:t>9、承办区委、区政府交办的其他事项。</w:t>
      </w:r>
    </w:p>
    <w:p>
      <w:pPr>
        <w:spacing w:line="520" w:lineRule="exact"/>
        <w:ind w:firstLine="640" w:firstLineChars="200"/>
        <w:rPr>
          <w:rFonts w:eastAsia="仿宋_GB2312"/>
          <w:sz w:val="32"/>
          <w:szCs w:val="32"/>
        </w:rPr>
      </w:pPr>
      <w:r>
        <w:rPr>
          <w:rFonts w:hint="eastAsia" w:eastAsia="仿宋_GB2312"/>
          <w:sz w:val="32"/>
          <w:szCs w:val="32"/>
        </w:rPr>
        <w:t>机构设置情况：</w:t>
      </w:r>
    </w:p>
    <w:p>
      <w:pPr>
        <w:pStyle w:val="14"/>
        <w:widowControl/>
        <w:spacing w:line="520" w:lineRule="exact"/>
        <w:ind w:firstLine="0" w:firstLineChars="0"/>
        <w:rPr>
          <w:rFonts w:ascii="Times New Roman" w:hAnsi="Times New Roman" w:eastAsia="仿宋_GB2312"/>
          <w:sz w:val="32"/>
          <w:szCs w:val="32"/>
        </w:rPr>
      </w:pPr>
      <w:r>
        <w:rPr>
          <w:rFonts w:hint="eastAsia" w:ascii="Times New Roman" w:hAnsi="Times New Roman" w:eastAsia="仿宋_GB2312"/>
          <w:sz w:val="32"/>
          <w:szCs w:val="32"/>
        </w:rPr>
        <w:t xml:space="preserve">    机构设置情况，内设6个科室：办公室（综合计划科）、查证科、审理科、执行科、投资审计科、经济责任审计科（室）。下属1个二级事业单位：政府投资审计中心（副科级）。</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spacing w:line="520" w:lineRule="exact"/>
        <w:ind w:firstLine="640" w:firstLineChars="200"/>
        <w:rPr>
          <w:rFonts w:eastAsia="仿宋_GB2312"/>
          <w:sz w:val="32"/>
          <w:szCs w:val="32"/>
        </w:rPr>
      </w:pPr>
      <w:r>
        <w:rPr>
          <w:rFonts w:hint="eastAsia" w:eastAsia="仿宋_GB2312"/>
          <w:sz w:val="32"/>
          <w:szCs w:val="32"/>
        </w:rPr>
        <w:t>1. 基本支出的主要用途、范围</w:t>
      </w:r>
    </w:p>
    <w:p>
      <w:pPr>
        <w:spacing w:line="520" w:lineRule="exact"/>
        <w:ind w:firstLine="640" w:firstLineChars="200"/>
        <w:rPr>
          <w:rFonts w:eastAsia="仿宋_GB2312"/>
          <w:sz w:val="32"/>
          <w:szCs w:val="32"/>
        </w:rPr>
      </w:pPr>
      <w:r>
        <w:rPr>
          <w:rFonts w:hint="eastAsia" w:eastAsia="仿宋_GB2312"/>
          <w:sz w:val="32"/>
          <w:szCs w:val="32"/>
        </w:rPr>
        <w:t>基本支出是保障我局机构正常运转、完成日常工作任务而发生的各项支出，2020年度基本支出707.5万元，其中：</w:t>
      </w:r>
    </w:p>
    <w:p>
      <w:pPr>
        <w:spacing w:line="520" w:lineRule="exact"/>
        <w:ind w:firstLine="640" w:firstLineChars="200"/>
        <w:rPr>
          <w:rFonts w:eastAsia="仿宋_GB2312"/>
          <w:sz w:val="32"/>
          <w:szCs w:val="32"/>
        </w:rPr>
      </w:pPr>
      <w:r>
        <w:rPr>
          <w:rFonts w:hint="eastAsia" w:eastAsia="仿宋_GB2312"/>
          <w:sz w:val="32"/>
          <w:szCs w:val="32"/>
        </w:rPr>
        <w:t>（1）人员经费656.2万元。用于根据国家规定的基本工资和津补贴标准等安排的人员（含退休人员）经费支出，以及为职工计缴的住房公积金等支出。</w:t>
      </w:r>
    </w:p>
    <w:p>
      <w:pPr>
        <w:spacing w:line="520" w:lineRule="exact"/>
        <w:ind w:firstLine="640" w:firstLineChars="200"/>
        <w:rPr>
          <w:rFonts w:eastAsia="仿宋_GB2312"/>
          <w:sz w:val="32"/>
          <w:szCs w:val="32"/>
        </w:rPr>
      </w:pPr>
      <w:r>
        <w:rPr>
          <w:rFonts w:hint="eastAsia" w:eastAsia="仿宋_GB2312"/>
          <w:sz w:val="32"/>
          <w:szCs w:val="32"/>
        </w:rPr>
        <w:t>（2）公用经费51.3万元。用于按国家规定的开支标准安排的办公费、印刷费、水费、电费、邮电费、物业管理费、交通费、差旅费、维修（护）费、会议费、培训费、公务接待费等。</w:t>
      </w:r>
    </w:p>
    <w:p>
      <w:pPr>
        <w:spacing w:line="520" w:lineRule="exact"/>
        <w:ind w:firstLine="640" w:firstLineChars="200"/>
        <w:rPr>
          <w:rFonts w:eastAsia="仿宋_GB2312"/>
          <w:sz w:val="32"/>
          <w:szCs w:val="32"/>
        </w:rPr>
      </w:pPr>
      <w:r>
        <w:rPr>
          <w:rFonts w:hint="eastAsia" w:eastAsia="仿宋_GB2312"/>
          <w:sz w:val="32"/>
          <w:szCs w:val="32"/>
        </w:rPr>
        <w:t>2. “三公”经费的使用情况</w:t>
      </w:r>
    </w:p>
    <w:p>
      <w:pPr>
        <w:spacing w:line="520" w:lineRule="exact"/>
        <w:ind w:firstLine="640" w:firstLineChars="200"/>
        <w:jc w:val="left"/>
        <w:rPr>
          <w:rFonts w:eastAsia="仿宋_GB2312"/>
          <w:sz w:val="32"/>
          <w:szCs w:val="32"/>
        </w:rPr>
      </w:pPr>
      <w:r>
        <w:rPr>
          <w:rFonts w:hint="eastAsia" w:eastAsia="仿宋_GB2312"/>
          <w:sz w:val="32"/>
          <w:szCs w:val="32"/>
        </w:rPr>
        <w:t>2020年 “三公”经费支出预算为0.6万元，比2019年6万元减少5.4万元，下降90%；支出决算为0万元，比2019年0.13万元减少0.13万元。其中：因公出国（境）费支出0 万元，公务用车购置及运行费支出0万元，公务接待费支出0万元。</w:t>
      </w:r>
    </w:p>
    <w:p>
      <w:pPr>
        <w:pStyle w:val="14"/>
        <w:widowControl/>
        <w:spacing w:line="520" w:lineRule="exact"/>
        <w:ind w:left="640" w:firstLine="0" w:firstLineChars="0"/>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spacing w:line="520" w:lineRule="exact"/>
        <w:ind w:firstLine="640" w:firstLineChars="200"/>
        <w:jc w:val="left"/>
        <w:rPr>
          <w:rFonts w:eastAsia="仿宋_GB2312"/>
          <w:sz w:val="32"/>
          <w:szCs w:val="32"/>
        </w:rPr>
      </w:pPr>
      <w:r>
        <w:rPr>
          <w:rFonts w:eastAsia="仿宋_GB2312"/>
          <w:sz w:val="32"/>
          <w:szCs w:val="32"/>
        </w:rPr>
        <w:t>1.项目资金（包括财政资金、自筹资金等）安排落实、总投入等情况分析。</w:t>
      </w:r>
    </w:p>
    <w:p>
      <w:pPr>
        <w:spacing w:line="520" w:lineRule="exact"/>
        <w:ind w:firstLine="640" w:firstLineChars="200"/>
        <w:jc w:val="left"/>
        <w:rPr>
          <w:rFonts w:eastAsia="仿宋_GB2312"/>
          <w:sz w:val="32"/>
          <w:szCs w:val="32"/>
        </w:rPr>
      </w:pPr>
      <w:r>
        <w:rPr>
          <w:rFonts w:eastAsia="仿宋_GB2312"/>
          <w:sz w:val="32"/>
          <w:szCs w:val="32"/>
        </w:rPr>
        <w:t>2.项目资金（主要指财政资金）实际使用情况分析。</w:t>
      </w:r>
    </w:p>
    <w:p>
      <w:pPr>
        <w:spacing w:line="520" w:lineRule="exact"/>
        <w:ind w:firstLine="640" w:firstLineChars="200"/>
        <w:jc w:val="left"/>
        <w:rPr>
          <w:rFonts w:eastAsia="仿宋_GB2312"/>
          <w:sz w:val="32"/>
          <w:szCs w:val="32"/>
        </w:rPr>
      </w:pPr>
      <w:r>
        <w:rPr>
          <w:rFonts w:eastAsia="仿宋_GB2312"/>
          <w:sz w:val="32"/>
          <w:szCs w:val="32"/>
        </w:rPr>
        <w:t>3.项目资金管理情况分析，主要包括管理制度、办法的制订及执行情况。</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项目支出是我局为完成特定审计工作任务而发生的支出，2020年项目支出443.28万元，其中：</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 投资评审审计专项经费193.73万元。按《中华人民共和国审计法》、《长沙市政府投资建设项目审计监督办法》文件要求，我局政府投资审计中心每半年对区财评中心进行一次质量审计调查，对区政府投资项目重大变更进行监管，对其它单位进行专项审计调查。因工作业务量大，专业技术性强、我局人手严重不足，审计项目需聘请中介机构和专业审计人员参与审计。应付中介审计费按照《湖南省建设工程造价咨询服务收费管理办法》（湘价服〔2009〕81号），结合我区实际，综合费率取费计算。</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 经济责任审计专项经费40.55万元。经区审计委员会审定，每年我局组织对全区部分单位党政领导干部和国有企业负责人的任期经济责任进行审计。为了解决审计人员少、任务繁重的矛盾，根据《党政主要领导干部和国有企事业单位主要领导人员经济责任审计规定》、《湖南省党政领导干部任期经济责任审计（暂行）办法》，我局聘请了中介机构审计人员协助开展部分审计项目；另组织召开经济责任审计联席工作会议等费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 审计专项业务经费20.48万元，主要用于：财政财务审计项目中介服务费；OA系统、财政联网分析系统运行维护费；审计人员计算机能力培训、专业技能培训等审计业务培训的开支；计算机审计成果研究经费；内审指导专项业务费等。</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4．外勤经费67.5万元。根据《审计署关于加强审计纪律的规定》、《湖南省审计厅关于印发审计外勤经费自理暂行办法》、《长沙市审计局审计外勤经费管理暂行办法》，秉着廉洁从审、节约开支的原则，对审计人员在履行审计职责（含项目审计、审计调查、审计执行、社会审计质量检查、专案调查、行政应诉、省市安排的交叉审计和授权审计等现场工作）期间所需住宿费、伙食费、交通费和杂费等费用自理。</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5、雨花区平台公司资产清查项目经费87万元，该项目为区领导临时交办项目，主要用于区平台公司资产清查聘请事务所的费用。</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6、长行财指【2019】0001号下达2018年中央和省级审计部门专项补助经费，长行财指【2019】0099号下达2019年度市本级行业性审计工作经费，总共9.02万元，为上级下拨经费，主要用于省厅、市局交办审计项目的费用。</w:t>
      </w:r>
    </w:p>
    <w:p>
      <w:pPr>
        <w:spacing w:line="520" w:lineRule="exact"/>
        <w:ind w:firstLine="640" w:firstLineChars="200"/>
        <w:jc w:val="left"/>
        <w:rPr>
          <w:rFonts w:eastAsia="仿宋_GB2312"/>
          <w:sz w:val="32"/>
          <w:szCs w:val="32"/>
        </w:rPr>
      </w:pPr>
      <w:r>
        <w:rPr>
          <w:rFonts w:hint="eastAsia" w:ascii="仿宋_GB2312" w:eastAsia="仿宋_GB2312"/>
          <w:sz w:val="32"/>
          <w:szCs w:val="32"/>
        </w:rPr>
        <w:t>7、机关事业单位基本养老保险缴费支出25万元。</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 严格控制，加强预算管理。</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根据《</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sz w:val="32"/>
          <w:szCs w:val="32"/>
        </w:rPr>
        <w:t>预算法》及本级预算编制相关规定，进行预算编制及财务资源配置，做到预算编制有目标。</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根据内控制度规定，将预算支出按金额大小设立审批权限，并认真执行国家的相关法律法规，严格控制开支范围和金额。</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（二）厉行节约，加强经费管理。</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严格公务接待管理制度。从接待原则、接待范围、接待程序、接待标准等方面明确接待工作的具体事项。严格实行公务接待预算管理和总额限定，坚持事前审批和从严把关，规范资金支付。严格支出审核和报销，做到手续完备，单据齐全。</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加强其他办公性行政经费管理。认真贯彻落实中央和省、市关于厉行节约反对浪费的各项政策规定，坚持先预算，后审批，再开支的原则，严禁超预算或无预算安排支出。</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（三）不断完善，加强资金日常管控。</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加强资金管理。根据《中央财政对地方审计专项补助经费管理暂行办法》等相关规定，严格执行审批程序和报账手续，资金按进度拨付，专款专用。涉及到“三重一大”事项 ，需局长办公会集体研究同意后方可开支。项目资金的管理科学合理、层次清晰、分工明确、覆盖全面。</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做好年终决算。按规定编制完整、准确的决算，确保项目资金使用情况数据真实、完整。</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强化审核监督。所有项目资金全部实行国库集中支付，自觉接受财政部门的日常性监督。</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（四）依法履职，提升审计监督实效。</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区委、区政府的坚强领导下，雨花区审计局认真落实“治已病、防未病”的要求，紧扣全区中心大局，聚焦重大问题、重大决策、重大部署，依法履行审计监督职责，为全区经济社会高质量发展提供坚实保障。全年开展审计项目13个，查处违规资金493万元，促进整改问题金额1.98亿元，移送案件线索2起，提出审计建议35条。</w:t>
      </w:r>
    </w:p>
    <w:p>
      <w:pPr>
        <w:pStyle w:val="14"/>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widowControl/>
        <w:spacing w:line="520" w:lineRule="exact"/>
        <w:ind w:firstLine="6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在预算编制执行中，存在预算完成率及预算控制率易受不确定因素影响的问题。影响预算完成率的因素如：部分紧急或区交办项目工作的突发性，导致结算支出时间具有不确定性；影响预算控制率的因素如：政策性人员经费年中追加预算等。</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（一）细化预算编制工作。严格按照预算编制的相关制度和要求，编制范围尽可能的全面，不漏项。进一步提高预算编制的科学性、合理性、严谨性和可控性。</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（二）加强预算执行管理。遵循预算管理办法，从严控制年中追加预算规模。对于年度无法预计的临时追加的相关工作所需费用，严格按照预算调整追加程序，逐级申报报批，有效降低预算控制率。</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（三）保障预算执行进度。加快推进项目实施进度，加强项目开展进度的跟踪，开展项目绩效评价，确保项目绩效目标的完成，发挥资金的使用效益，压缩年末结余资金规模，提高预算完成率。</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完善内部控制体系建设。按照《行政事业单位内部控制规范（试行）》、《财政部关于全面推进行政事业单位内部控制建设的指导意见》等文件要求，对单位进行内部监督检查和自我评价，针对检查和评价过程中发现的问题和相关财经法律法规的变化，对相关制度、措施和程序进行调整、改进内部控制工作规则、规章制度及管理办法。逐步建成制衡有效、运行顺畅、执行有力、管理科学的内部控制体系，提高单位管理水平，节约财政资金。</w:t>
      </w:r>
    </w:p>
    <w:p>
      <w:pPr>
        <w:widowControl/>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六、绩效自评结果拟应用和公开情</w:t>
      </w:r>
      <w:r>
        <w:rPr>
          <w:rFonts w:hint="eastAsia" w:ascii="仿宋_GB2312" w:hAnsi="仿宋_GB2312" w:eastAsia="仿宋_GB2312" w:cs="仿宋_GB2312"/>
          <w:sz w:val="32"/>
          <w:szCs w:val="32"/>
        </w:rPr>
        <w:t>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我单位根据绩效评定指标评价，综合评分为96.5分，评价等级为“优”。本次自评结果拟应用于今后资金的申请和使用，我单位将自评结果编入本部门预算并公开公示。</w:t>
      </w:r>
    </w:p>
    <w:p>
      <w:pPr>
        <w:rPr>
          <w:rFonts w:ascii="仿宋_GB2312" w:hAnsi="仿宋_GB2312" w:eastAsia="仿宋_GB2312" w:cs="仿宋_GB2312"/>
          <w:color w:val="000000"/>
          <w:sz w:val="32"/>
          <w:szCs w:val="32"/>
        </w:rPr>
      </w:pPr>
    </w:p>
    <w:p>
      <w:pPr>
        <w:widowControl/>
        <w:jc w:val="left"/>
        <w:rPr>
          <w:rFonts w:eastAsia="黑体"/>
          <w:sz w:val="32"/>
          <w:szCs w:val="32"/>
        </w:rPr>
      </w:pPr>
    </w:p>
    <w:sectPr>
      <w:pgSz w:w="11906" w:h="16838"/>
      <w:pgMar w:top="1701" w:right="1134" w:bottom="1418" w:left="1134"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031BB"/>
    <w:rsid w:val="00080082"/>
    <w:rsid w:val="000C207E"/>
    <w:rsid w:val="00102413"/>
    <w:rsid w:val="001268E7"/>
    <w:rsid w:val="00132A37"/>
    <w:rsid w:val="00164B13"/>
    <w:rsid w:val="00166F50"/>
    <w:rsid w:val="00173205"/>
    <w:rsid w:val="001C0B75"/>
    <w:rsid w:val="001C3EA1"/>
    <w:rsid w:val="001E08FD"/>
    <w:rsid w:val="002037C1"/>
    <w:rsid w:val="00217704"/>
    <w:rsid w:val="00234599"/>
    <w:rsid w:val="00235332"/>
    <w:rsid w:val="00247B98"/>
    <w:rsid w:val="00263FA0"/>
    <w:rsid w:val="002A6B78"/>
    <w:rsid w:val="00301094"/>
    <w:rsid w:val="00325903"/>
    <w:rsid w:val="00326555"/>
    <w:rsid w:val="00326597"/>
    <w:rsid w:val="003550D1"/>
    <w:rsid w:val="003B1861"/>
    <w:rsid w:val="004075F5"/>
    <w:rsid w:val="004335E1"/>
    <w:rsid w:val="004336A2"/>
    <w:rsid w:val="00465785"/>
    <w:rsid w:val="004C4C93"/>
    <w:rsid w:val="004D21CD"/>
    <w:rsid w:val="00532C9F"/>
    <w:rsid w:val="00550259"/>
    <w:rsid w:val="00570D59"/>
    <w:rsid w:val="00574CF6"/>
    <w:rsid w:val="005A032F"/>
    <w:rsid w:val="005A1A06"/>
    <w:rsid w:val="005A1F91"/>
    <w:rsid w:val="005B083E"/>
    <w:rsid w:val="005B7D99"/>
    <w:rsid w:val="005C37EF"/>
    <w:rsid w:val="005F00DD"/>
    <w:rsid w:val="006126A2"/>
    <w:rsid w:val="00654A8F"/>
    <w:rsid w:val="006C735D"/>
    <w:rsid w:val="006D7B23"/>
    <w:rsid w:val="006F483C"/>
    <w:rsid w:val="007016C0"/>
    <w:rsid w:val="0071667B"/>
    <w:rsid w:val="00756EE3"/>
    <w:rsid w:val="00760D02"/>
    <w:rsid w:val="00762FBF"/>
    <w:rsid w:val="00767555"/>
    <w:rsid w:val="0079244B"/>
    <w:rsid w:val="007B3E29"/>
    <w:rsid w:val="007D7105"/>
    <w:rsid w:val="007E4E6D"/>
    <w:rsid w:val="00840AE0"/>
    <w:rsid w:val="0085598B"/>
    <w:rsid w:val="008721F7"/>
    <w:rsid w:val="00873C9E"/>
    <w:rsid w:val="008A1D36"/>
    <w:rsid w:val="008D040D"/>
    <w:rsid w:val="008D6DF5"/>
    <w:rsid w:val="008E5EB2"/>
    <w:rsid w:val="008E6DC0"/>
    <w:rsid w:val="008F1DAE"/>
    <w:rsid w:val="008F6A30"/>
    <w:rsid w:val="00905A18"/>
    <w:rsid w:val="00907D2D"/>
    <w:rsid w:val="009136FA"/>
    <w:rsid w:val="00916919"/>
    <w:rsid w:val="00924B6C"/>
    <w:rsid w:val="009271AF"/>
    <w:rsid w:val="00992F36"/>
    <w:rsid w:val="009D2CFD"/>
    <w:rsid w:val="00A150DF"/>
    <w:rsid w:val="00A460E3"/>
    <w:rsid w:val="00A46C46"/>
    <w:rsid w:val="00A80C0E"/>
    <w:rsid w:val="00A91640"/>
    <w:rsid w:val="00A96308"/>
    <w:rsid w:val="00A97B83"/>
    <w:rsid w:val="00AE3C85"/>
    <w:rsid w:val="00AF1412"/>
    <w:rsid w:val="00AF6103"/>
    <w:rsid w:val="00B178C2"/>
    <w:rsid w:val="00B52EED"/>
    <w:rsid w:val="00B63910"/>
    <w:rsid w:val="00B76CD2"/>
    <w:rsid w:val="00B92D1C"/>
    <w:rsid w:val="00BC4C43"/>
    <w:rsid w:val="00BE22ED"/>
    <w:rsid w:val="00C07815"/>
    <w:rsid w:val="00C262BD"/>
    <w:rsid w:val="00CD30AC"/>
    <w:rsid w:val="00D65E40"/>
    <w:rsid w:val="00DA51E7"/>
    <w:rsid w:val="00DA5707"/>
    <w:rsid w:val="00DA7650"/>
    <w:rsid w:val="00DD0C88"/>
    <w:rsid w:val="00DD5B71"/>
    <w:rsid w:val="00E05754"/>
    <w:rsid w:val="00E232BA"/>
    <w:rsid w:val="00E53386"/>
    <w:rsid w:val="00E550BC"/>
    <w:rsid w:val="00E62727"/>
    <w:rsid w:val="00E64C9E"/>
    <w:rsid w:val="00E65FE7"/>
    <w:rsid w:val="00E91EC6"/>
    <w:rsid w:val="00E94C31"/>
    <w:rsid w:val="00EF5E47"/>
    <w:rsid w:val="00EF70CC"/>
    <w:rsid w:val="00F11B6D"/>
    <w:rsid w:val="00F22C43"/>
    <w:rsid w:val="00F25B74"/>
    <w:rsid w:val="00F456F2"/>
    <w:rsid w:val="00F52F03"/>
    <w:rsid w:val="00F7051C"/>
    <w:rsid w:val="00FA4F58"/>
    <w:rsid w:val="00FB0A8F"/>
    <w:rsid w:val="00FD607E"/>
    <w:rsid w:val="10805243"/>
    <w:rsid w:val="144439AD"/>
    <w:rsid w:val="2F7D712F"/>
    <w:rsid w:val="3BCD67DF"/>
    <w:rsid w:val="3CB302C7"/>
    <w:rsid w:val="48CC3B76"/>
    <w:rsid w:val="4ABA2B6C"/>
    <w:rsid w:val="5F77471D"/>
    <w:rsid w:val="6094253D"/>
    <w:rsid w:val="64DD09ED"/>
    <w:rsid w:val="6D1D02EE"/>
    <w:rsid w:val="79781D3D"/>
    <w:rsid w:val="7BD954E4"/>
    <w:rsid w:val="7C3127DF"/>
    <w:rsid w:val="7F9266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font41"/>
    <w:basedOn w:val="9"/>
    <w:qFormat/>
    <w:uiPriority w:val="0"/>
    <w:rPr>
      <w:rFonts w:hint="eastAsia" w:ascii="宋体" w:hAnsi="宋体" w:eastAsia="宋体" w:cs="宋体"/>
      <w:color w:val="000000"/>
      <w:sz w:val="18"/>
      <w:szCs w:val="18"/>
      <w:u w:val="none"/>
    </w:rPr>
  </w:style>
  <w:style w:type="character" w:customStyle="1" w:styleId="11">
    <w:name w:val="font31"/>
    <w:basedOn w:val="9"/>
    <w:qFormat/>
    <w:uiPriority w:val="0"/>
    <w:rPr>
      <w:rFonts w:hint="default" w:ascii="Times New Roman" w:hAnsi="Times New Roman" w:cs="Times New Roman"/>
      <w:color w:val="000000"/>
      <w:sz w:val="18"/>
      <w:szCs w:val="18"/>
      <w:u w:val="none"/>
    </w:rPr>
  </w:style>
  <w:style w:type="character" w:customStyle="1" w:styleId="12">
    <w:name w:val="font21"/>
    <w:basedOn w:val="9"/>
    <w:qFormat/>
    <w:uiPriority w:val="0"/>
    <w:rPr>
      <w:rFonts w:hint="eastAsia" w:ascii="宋体" w:hAnsi="宋体" w:eastAsia="宋体" w:cs="宋体"/>
      <w:color w:val="FF0000"/>
      <w:sz w:val="18"/>
      <w:szCs w:val="18"/>
      <w:u w:val="none"/>
    </w:rPr>
  </w:style>
  <w:style w:type="character" w:customStyle="1" w:styleId="13">
    <w:name w:val="font11"/>
    <w:basedOn w:val="9"/>
    <w:qFormat/>
    <w:uiPriority w:val="0"/>
    <w:rPr>
      <w:rFonts w:hint="default" w:ascii="Times New Roman" w:hAnsi="Times New Roman" w:cs="Times New Roman"/>
      <w:color w:val="FF0000"/>
      <w:sz w:val="18"/>
      <w:szCs w:val="18"/>
      <w:u w:val="none"/>
    </w:rPr>
  </w:style>
  <w:style w:type="paragraph" w:styleId="14">
    <w:name w:val="List Paragraph"/>
    <w:basedOn w:val="1"/>
    <w:qFormat/>
    <w:uiPriority w:val="99"/>
    <w:pPr>
      <w:ind w:firstLine="420" w:firstLineChars="200"/>
    </w:pPr>
    <w:rPr>
      <w:rFonts w:ascii="Calibri" w:hAnsi="Calibri"/>
      <w:szCs w:val="22"/>
    </w:rPr>
  </w:style>
  <w:style w:type="character" w:customStyle="1" w:styleId="15">
    <w:name w:val="文档结构图 Char"/>
    <w:basedOn w:val="9"/>
    <w:link w:val="3"/>
    <w:qFormat/>
    <w:uiPriority w:val="0"/>
    <w:rPr>
      <w:rFonts w:ascii="宋体"/>
      <w:kern w:val="2"/>
      <w:sz w:val="18"/>
      <w:szCs w:val="18"/>
    </w:rPr>
  </w:style>
  <w:style w:type="character" w:customStyle="1" w:styleId="16">
    <w:name w:val="页眉 Char"/>
    <w:basedOn w:val="9"/>
    <w:link w:val="6"/>
    <w:qFormat/>
    <w:uiPriority w:val="0"/>
    <w:rPr>
      <w:kern w:val="2"/>
      <w:sz w:val="18"/>
      <w:szCs w:val="18"/>
    </w:rPr>
  </w:style>
  <w:style w:type="character" w:customStyle="1" w:styleId="17">
    <w:name w:val="标题 3 Char"/>
    <w:basedOn w:val="9"/>
    <w:link w:val="2"/>
    <w:qFormat/>
    <w:uiPriority w:val="99"/>
    <w:rPr>
      <w:b/>
      <w:bCs/>
      <w:sz w:val="32"/>
      <w:szCs w:val="32"/>
    </w:rPr>
  </w:style>
  <w:style w:type="character" w:customStyle="1" w:styleId="18">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7744</Words>
  <Characters>8120</Characters>
  <Lines>61</Lines>
  <Paragraphs>17</Paragraphs>
  <TotalTime>8840</TotalTime>
  <ScaleCrop>false</ScaleCrop>
  <LinksUpToDate>false</LinksUpToDate>
  <CharactersWithSpaces>8215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2021-03-26T01:09:00Z</cp:lastPrinted>
  <dcterms:modified xsi:type="dcterms:W3CDTF">2023-04-24T03:54:16Z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80CA3349951F4FE895EF2CF0FC779BCE_13</vt:lpwstr>
  </property>
</Properties>
</file>