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eastAsia="方正小标宋简体"/>
          <w:bCs/>
          <w:sz w:val="46"/>
          <w:szCs w:val="46"/>
        </w:rPr>
      </w:pPr>
      <w:r>
        <w:rPr>
          <w:rFonts w:hint="eastAsia" w:eastAsia="方正小标宋简体"/>
          <w:bCs/>
          <w:sz w:val="46"/>
          <w:szCs w:val="46"/>
        </w:rPr>
        <w:t>雨花区2022 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u w:val="single"/>
        </w:rPr>
      </w:pPr>
      <w:r>
        <w:rPr>
          <w:rFonts w:hint="eastAsia" w:eastAsia="仿宋_GB2312"/>
          <w:sz w:val="32"/>
        </w:rPr>
        <w:t>部门(单位)名称</w:t>
      </w:r>
      <w:r>
        <w:rPr>
          <w:rFonts w:hint="eastAsia" w:eastAsia="仿宋_GB2312"/>
          <w:sz w:val="32"/>
          <w:u w:val="single"/>
        </w:rPr>
        <w:t xml:space="preserve">       长沙市雨花区疾病预防控制中心                             </w:t>
      </w:r>
    </w:p>
    <w:p>
      <w:pPr>
        <w:spacing w:beforeLines="50" w:line="348" w:lineRule="auto"/>
        <w:ind w:firstLine="476" w:firstLineChars="150"/>
        <w:rPr>
          <w:rFonts w:eastAsia="仿宋_GB2312"/>
          <w:sz w:val="32"/>
        </w:rPr>
      </w:pPr>
      <w:r>
        <w:rPr>
          <w:rFonts w:hint="eastAsia" w:eastAsia="仿宋_GB2312"/>
          <w:sz w:val="32"/>
        </w:rPr>
        <w:t>预算编码</w:t>
      </w:r>
      <w:r>
        <w:rPr>
          <w:rFonts w:hint="eastAsia" w:eastAsia="仿宋_GB2312"/>
          <w:sz w:val="32"/>
          <w:u w:val="single"/>
        </w:rPr>
        <w:t xml:space="preserve">                 208001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r>
        <w:rPr>
          <w:rFonts w:hint="eastAsia" w:eastAsia="仿宋_GB2312"/>
          <w:sz w:val="32"/>
        </w:rPr>
        <w:t>报告日期：2023年 05 月 05 日</w:t>
      </w:r>
    </w:p>
    <w:p>
      <w:pPr>
        <w:autoSpaceDN w:val="0"/>
        <w:jc w:val="center"/>
        <w:textAlignment w:val="center"/>
        <w:rPr>
          <w:rFonts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eastAsia="仿宋_GB2312"/>
          <w:sz w:val="32"/>
          <w:szCs w:val="32"/>
        </w:rPr>
        <w:sectPr>
          <w:headerReference r:id="rId4" w:type="first"/>
          <w:footerReference r:id="rId7" w:type="first"/>
          <w:footerReference r:id="rId5" w:type="default"/>
          <w:headerReference r:id="rId3" w:type="even"/>
          <w:footerReference r:id="rId6" w:type="even"/>
          <w:pgSz w:w="11906" w:h="16838"/>
          <w:pgMar w:top="1701" w:right="1417" w:bottom="1701" w:left="1417" w:header="851" w:footer="992" w:gutter="0"/>
          <w:pgNumType w:fmt="numberInDash" w:start="1"/>
          <w:cols w:space="720" w:num="1"/>
          <w:titlePg/>
          <w:docGrid w:type="linesAndChars" w:linePitch="602" w:charSpace="-782"/>
        </w:sectPr>
      </w:pPr>
    </w:p>
    <w:p>
      <w:pPr>
        <w:spacing w:line="348" w:lineRule="auto"/>
        <w:rPr>
          <w:rFonts w:ascii="宋体" w:hAnsi="宋体" w:cs="宋体"/>
          <w:kern w:val="0"/>
          <w:sz w:val="24"/>
        </w:rPr>
      </w:pPr>
      <w:r>
        <w:rPr>
          <w:rFonts w:hint="eastAsia" w:ascii="黑体" w:hAnsi="宋体" w:eastAsia="黑体" w:cs="宋体"/>
          <w:kern w:val="0"/>
          <w:sz w:val="32"/>
          <w:szCs w:val="32"/>
        </w:rPr>
        <w:t>附件1</w:t>
      </w:r>
      <w:r>
        <w:rPr>
          <w:rFonts w:ascii="黑体" w:hAnsi="宋体" w:eastAsia="黑体" w:cs="宋体"/>
          <w:kern w:val="0"/>
          <w:sz w:val="32"/>
          <w:szCs w:val="32"/>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8"/>
        <w:tblW w:w="10600" w:type="dxa"/>
        <w:jc w:val="center"/>
        <w:tblLayout w:type="fixed"/>
        <w:tblCellMar>
          <w:top w:w="0" w:type="dxa"/>
          <w:left w:w="108" w:type="dxa"/>
          <w:bottom w:w="0" w:type="dxa"/>
          <w:right w:w="108" w:type="dxa"/>
        </w:tblCellMar>
      </w:tblPr>
      <w:tblGrid>
        <w:gridCol w:w="518"/>
        <w:gridCol w:w="439"/>
        <w:gridCol w:w="556"/>
        <w:gridCol w:w="405"/>
        <w:gridCol w:w="1230"/>
        <w:gridCol w:w="408"/>
        <w:gridCol w:w="2939"/>
        <w:gridCol w:w="3470"/>
        <w:gridCol w:w="635"/>
      </w:tblGrid>
      <w:tr>
        <w:tblPrEx>
          <w:tblCellMar>
            <w:top w:w="0" w:type="dxa"/>
            <w:left w:w="108" w:type="dxa"/>
            <w:bottom w:w="0" w:type="dxa"/>
            <w:right w:w="108" w:type="dxa"/>
          </w:tblCellMar>
        </w:tblPrEx>
        <w:trPr>
          <w:trHeight w:val="983" w:hRule="atLeast"/>
          <w:tblHeader/>
          <w:jc w:val="center"/>
        </w:trPr>
        <w:tc>
          <w:tcPr>
            <w:tcW w:w="5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55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2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3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556"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0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39" w:type="dxa"/>
            <w:tcBorders>
              <w:top w:val="nil"/>
              <w:left w:val="nil"/>
              <w:bottom w:val="nil"/>
              <w:right w:val="nil"/>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3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0</w:t>
            </w:r>
          </w:p>
        </w:tc>
      </w:tr>
      <w:tr>
        <w:tblPrEx>
          <w:tblCellMar>
            <w:top w:w="0" w:type="dxa"/>
            <w:left w:w="108" w:type="dxa"/>
            <w:bottom w:w="0" w:type="dxa"/>
            <w:right w:w="108" w:type="dxa"/>
          </w:tblCellMar>
        </w:tblPrEx>
        <w:trPr>
          <w:trHeight w:val="861" w:hRule="atLeast"/>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55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0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1198"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预算控制率=0，计10分；0-10%（含），计8分；10-20%（含），计6分；20-30%（含），计4分；大于30%不得分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10</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0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908" w:hRule="atLeast"/>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556" w:type="dxa"/>
            <w:vMerge w:val="restart"/>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　</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55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30" w:type="dxa"/>
            <w:tcBorders>
              <w:top w:val="nil"/>
              <w:left w:val="nil"/>
              <w:bottom w:val="nil"/>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0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3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08"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09"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vMerge w:val="restart"/>
            <w:tcBorders>
              <w:top w:val="nil"/>
              <w:left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08" w:type="dxa"/>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kern w:val="0"/>
                <w:sz w:val="20"/>
                <w:szCs w:val="20"/>
              </w:rPr>
            </w:pPr>
          </w:p>
        </w:tc>
        <w:tc>
          <w:tcPr>
            <w:tcW w:w="6409"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kern w:val="0"/>
                <w:sz w:val="20"/>
                <w:szCs w:val="20"/>
              </w:rPr>
            </w:pPr>
          </w:p>
        </w:tc>
        <w:tc>
          <w:tcPr>
            <w:tcW w:w="635" w:type="dxa"/>
            <w:vMerge w:val="continue"/>
            <w:tcBorders>
              <w:left w:val="nil"/>
              <w:bottom w:val="nil"/>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3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5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40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kern w:val="0"/>
                <w:sz w:val="20"/>
                <w:szCs w:val="20"/>
              </w:rPr>
            </w:pPr>
          </w:p>
        </w:tc>
        <w:tc>
          <w:tcPr>
            <w:tcW w:w="123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0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3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6</w:t>
            </w:r>
          </w:p>
        </w:tc>
      </w:tr>
    </w:tbl>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ind w:left="91"/>
        <w:rPr>
          <w:rFonts w:ascii="宋体" w:hAnsi="宋体" w:cs="宋体"/>
          <w:kern w:val="0"/>
          <w:sz w:val="24"/>
        </w:rPr>
      </w:pPr>
      <w:r>
        <w:rPr>
          <w:rFonts w:hint="eastAsia" w:ascii="宋体" w:hAnsi="宋体" w:cs="宋体"/>
          <w:kern w:val="0"/>
          <w:sz w:val="24"/>
        </w:rPr>
        <w:t>填报单位：长沙市雨花区疾病预防控制中心</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8"/>
        <w:tblW w:w="10490" w:type="dxa"/>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528"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编制数</w:t>
            </w:r>
          </w:p>
        </w:tc>
        <w:tc>
          <w:tcPr>
            <w:tcW w:w="25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2022年实际在职人数</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40　</w:t>
            </w:r>
          </w:p>
        </w:tc>
        <w:tc>
          <w:tcPr>
            <w:tcW w:w="25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39　</w:t>
            </w:r>
          </w:p>
        </w:tc>
        <w:tc>
          <w:tcPr>
            <w:tcW w:w="219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75%</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经费控制情况</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2021年决算数</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2022年预算数</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2022年决算数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三公经费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5.49</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9.51</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6.</w:t>
            </w:r>
            <w:r>
              <w:rPr>
                <w:rFonts w:hint="eastAsia" w:ascii="宋体" w:hAnsi="宋体" w:cs="宋体"/>
                <w:kern w:val="0"/>
                <w:sz w:val="18"/>
                <w:szCs w:val="18"/>
                <w:lang w:val="en-US" w:eastAsia="zh-CN"/>
              </w:rPr>
              <w:t>44</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5.49</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8.91</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6.39</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其中：公车购置</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公车运行维护</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5.49</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8.91</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6.</w:t>
            </w:r>
            <w:r>
              <w:rPr>
                <w:rFonts w:hint="eastAsia" w:ascii="宋体" w:hAnsi="宋体" w:cs="宋体"/>
                <w:kern w:val="0"/>
                <w:sz w:val="18"/>
                <w:szCs w:val="18"/>
                <w:lang w:val="en-US" w:eastAsia="zh-CN"/>
              </w:rPr>
              <w:t>39</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2、出国经费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3、公务接待</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0.05</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7764.83</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420.2</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12733.66</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业务工作专项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7764.83</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420.2</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12733.66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公用经费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49.31</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137.2</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91.07</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其中：办公经费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17.77</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ascii="宋体" w:hAnsi="宋体" w:cs="宋体"/>
                <w:kern w:val="0"/>
                <w:sz w:val="18"/>
                <w:szCs w:val="18"/>
              </w:rPr>
              <w:t>55.3</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29.53</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水费、电费、差旅费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培训费</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1.77　</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1.5</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1.22</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政府采购金额</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480.18</w:t>
            </w: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382.37</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56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p>
        </w:tc>
        <w:tc>
          <w:tcPr>
            <w:tcW w:w="2198"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719" w:hRule="atLeast"/>
          <w:jc w:val="center"/>
        </w:trPr>
        <w:tc>
          <w:tcPr>
            <w:tcW w:w="35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楼堂馆所控制情况</w:t>
            </w:r>
            <w:r>
              <w:rPr>
                <w:rFonts w:hint="eastAsia" w:ascii="宋体" w:hAnsi="宋体" w:cs="宋体"/>
                <w:kern w:val="0"/>
                <w:sz w:val="18"/>
                <w:szCs w:val="18"/>
              </w:rPr>
              <w:br w:type="textWrapping"/>
            </w:r>
            <w:r>
              <w:rPr>
                <w:rFonts w:hint="eastAsia" w:ascii="宋体" w:hAnsi="宋体" w:cs="宋体"/>
                <w:kern w:val="0"/>
                <w:sz w:val="18"/>
                <w:szCs w:val="18"/>
              </w:rPr>
              <w:t>（2019年完工项目）</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批复规模</w:t>
            </w:r>
            <w:r>
              <w:rPr>
                <w:rFonts w:hint="eastAsia" w:ascii="宋体" w:hAnsi="宋体" w:cs="宋体"/>
                <w:kern w:val="0"/>
                <w:sz w:val="18"/>
                <w:szCs w:val="18"/>
              </w:rPr>
              <w:br w:type="textWrapping"/>
            </w:r>
            <w:r>
              <w:rPr>
                <w:rFonts w:hint="eastAsia" w:ascii="宋体" w:hAnsi="宋体" w:cs="宋体"/>
                <w:kern w:val="0"/>
                <w:sz w:val="18"/>
                <w:szCs w:val="18"/>
              </w:rPr>
              <w:t>（㎡）</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实际规模</w:t>
            </w:r>
            <w:r>
              <w:rPr>
                <w:rFonts w:hint="eastAsia" w:ascii="宋体" w:hAnsi="宋体" w:cs="宋体"/>
                <w:kern w:val="0"/>
                <w:sz w:val="18"/>
                <w:szCs w:val="18"/>
              </w:rPr>
              <w:br w:type="textWrapping"/>
            </w:r>
            <w:r>
              <w:rPr>
                <w:rFonts w:hint="eastAsia" w:ascii="宋体" w:hAnsi="宋体" w:cs="宋体"/>
                <w:kern w:val="0"/>
                <w:sz w:val="18"/>
                <w:szCs w:val="18"/>
              </w:rPr>
              <w:t>（㎡）</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规模控制率</w:t>
            </w: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预算投资</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实际投资</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9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0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厉行节约保障措施</w:t>
            </w:r>
          </w:p>
        </w:tc>
        <w:tc>
          <w:tcPr>
            <w:tcW w:w="6940" w:type="dxa"/>
            <w:gridSpan w:val="6"/>
            <w:tcBorders>
              <w:top w:val="single" w:color="auto" w:sz="4" w:space="0"/>
              <w:left w:val="nil"/>
              <w:bottom w:val="single" w:color="auto"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贯彻落实厉行节约、严控“三公”经费、降低一般运行经费、加强项目支出管理，加强各线业务培训，加强政府采购管理，全面实施绩效评价。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pStyle w:val="7"/>
        <w:ind w:left="0" w:leftChars="0" w:firstLine="0" w:firstLineChars="0"/>
        <w:rPr>
          <w:rFonts w:eastAsia="仿宋_GB2312"/>
          <w:sz w:val="32"/>
        </w:rPr>
      </w:pPr>
    </w:p>
    <w:p>
      <w:pPr>
        <w:pStyle w:val="7"/>
        <w:ind w:left="0" w:leftChars="0" w:firstLine="0" w:firstLineChars="0"/>
        <w:rPr>
          <w:rFonts w:eastAsia="仿宋_GB2312"/>
          <w:sz w:val="32"/>
        </w:rPr>
      </w:pPr>
    </w:p>
    <w:p>
      <w:pPr>
        <w:pStyle w:val="7"/>
        <w:ind w:left="0" w:leftChars="0" w:firstLine="0" w:firstLineChars="0"/>
        <w:rPr>
          <w:rFonts w:eastAsia="仿宋_GB2312"/>
          <w:sz w:val="32"/>
        </w:rPr>
      </w:pPr>
    </w:p>
    <w:p>
      <w:pPr>
        <w:pStyle w:val="7"/>
        <w:ind w:left="0" w:leftChars="0" w:firstLine="0" w:firstLineChars="0"/>
        <w:rPr>
          <w:rFonts w:eastAsia="仿宋_GB2312"/>
          <w:sz w:val="32"/>
        </w:rPr>
      </w:pPr>
    </w:p>
    <w:p>
      <w:pPr>
        <w:pStyle w:val="7"/>
        <w:ind w:left="0" w:leftChars="0" w:firstLine="0" w:firstLineChars="0"/>
        <w:rPr>
          <w:rFonts w:ascii="黑体" w:hAnsi="黑体" w:eastAsia="黑体"/>
          <w:bCs/>
          <w:sz w:val="30"/>
          <w:szCs w:val="30"/>
        </w:rPr>
      </w:pPr>
      <w:r>
        <w:rPr>
          <w:rFonts w:hint="eastAsia" w:ascii="黑体" w:hAnsi="黑体" w:eastAsia="黑体"/>
          <w:sz w:val="32"/>
        </w:rPr>
        <w:t>一</w:t>
      </w:r>
      <w:r>
        <w:rPr>
          <w:rFonts w:hint="eastAsia" w:ascii="黑体" w:hAnsi="黑体" w:eastAsia="黑体"/>
          <w:bCs/>
          <w:sz w:val="30"/>
          <w:szCs w:val="30"/>
        </w:rPr>
        <w:t xml:space="preserve">、部门概况 </w:t>
      </w:r>
    </w:p>
    <w:p>
      <w:pPr>
        <w:pStyle w:val="7"/>
        <w:ind w:left="0" w:leftChars="0" w:firstLine="0" w:firstLineChars="0"/>
        <w:rPr>
          <w:rFonts w:ascii="楷体" w:hAnsi="楷体" w:eastAsia="楷体"/>
          <w:bCs/>
          <w:sz w:val="30"/>
          <w:szCs w:val="30"/>
        </w:rPr>
      </w:pPr>
      <w:r>
        <w:rPr>
          <w:rFonts w:hint="eastAsia" w:ascii="楷体" w:hAnsi="楷体" w:eastAsia="楷体"/>
          <w:bCs/>
          <w:sz w:val="30"/>
          <w:szCs w:val="30"/>
        </w:rPr>
        <w:t>（一）部门基本情况</w:t>
      </w:r>
    </w:p>
    <w:p>
      <w:pPr>
        <w:pStyle w:val="7"/>
        <w:ind w:left="0" w:leftChars="0" w:firstLine="600"/>
        <w:rPr>
          <w:rFonts w:ascii="仿宋_GB2312" w:eastAsia="仿宋_GB2312"/>
          <w:bCs/>
          <w:sz w:val="30"/>
          <w:szCs w:val="30"/>
        </w:rPr>
      </w:pPr>
      <w:r>
        <w:rPr>
          <w:rFonts w:hint="eastAsia" w:ascii="仿宋_GB2312" w:eastAsia="仿宋_GB2312"/>
          <w:bCs/>
          <w:sz w:val="30"/>
          <w:szCs w:val="30"/>
        </w:rPr>
        <w:t>长沙市雨花区疾病预防控制中心核定全额拨款事业编制40名，编外合同制人员25名，现有在职在编人员39人，编外合同制人员25人，退休人员29人。内设9科1室，分别为：办公室、财务科、质量管理科、检验科、职业卫生与公共卫生科、免疫规划科、慢性病与精神卫生科、健康教育与健康促进科、传染病防治科（应急办）、结核病与艾滋病防治科。</w:t>
      </w:r>
    </w:p>
    <w:p>
      <w:pPr>
        <w:pStyle w:val="7"/>
        <w:ind w:left="0" w:leftChars="0" w:firstLine="0" w:firstLineChars="0"/>
        <w:rPr>
          <w:rFonts w:ascii="楷体" w:hAnsi="楷体" w:eastAsia="楷体"/>
          <w:bCs/>
          <w:sz w:val="30"/>
          <w:szCs w:val="30"/>
        </w:rPr>
      </w:pPr>
      <w:r>
        <w:rPr>
          <w:rFonts w:hint="eastAsia" w:ascii="楷体" w:hAnsi="楷体" w:eastAsia="楷体"/>
          <w:bCs/>
          <w:sz w:val="30"/>
          <w:szCs w:val="30"/>
        </w:rPr>
        <w:t>（二）部门整体支出规模、使用方向和主要内容、涉及范围</w:t>
      </w:r>
    </w:p>
    <w:p>
      <w:pPr>
        <w:pStyle w:val="7"/>
        <w:ind w:left="0" w:leftChars="0" w:firstLine="600"/>
        <w:rPr>
          <w:rFonts w:ascii="仿宋_GB2312" w:eastAsia="仿宋_GB2312"/>
          <w:bCs/>
          <w:sz w:val="30"/>
          <w:szCs w:val="30"/>
        </w:rPr>
      </w:pPr>
      <w:r>
        <w:rPr>
          <w:rFonts w:hint="eastAsia" w:ascii="仿宋_GB2312" w:eastAsia="仿宋_GB2312"/>
          <w:bCs/>
          <w:sz w:val="30"/>
          <w:szCs w:val="30"/>
        </w:rPr>
        <w:t>2022年一般公共预算财政拨款项目支出决算数为                 14232.04万元，包括基本支出、项目支出，具体支出明细及三公经费使用情况如下：</w:t>
      </w:r>
    </w:p>
    <w:p>
      <w:pPr>
        <w:pStyle w:val="7"/>
        <w:ind w:left="0" w:leftChars="0" w:firstLine="600"/>
        <w:rPr>
          <w:rFonts w:ascii="仿宋_GB2312" w:eastAsia="仿宋_GB2312"/>
          <w:bCs/>
          <w:sz w:val="30"/>
          <w:szCs w:val="30"/>
        </w:rPr>
      </w:pPr>
      <w:r>
        <w:rPr>
          <w:rFonts w:hint="eastAsia" w:ascii="仿宋_GB2312" w:eastAsia="仿宋_GB2312"/>
          <w:bCs/>
          <w:sz w:val="30"/>
          <w:szCs w:val="30"/>
        </w:rPr>
        <w:t>1、基本支出：2022年基本支出为1498.39万元，用于保障本单位机构正常运转、完成日常工作任务而发生的各项支出，主要用于在职和退休人员基本工资、津贴补贴等人员经费及办公费、培训费、邮电费、维修维护费等日常公用经费，其中：工资福利支出1106.59万元，商品和服务支出91.07万元，对个人和家庭补助支出300.73万元；</w:t>
      </w:r>
    </w:p>
    <w:p>
      <w:pPr>
        <w:pStyle w:val="7"/>
        <w:ind w:left="0" w:leftChars="0" w:firstLine="600"/>
        <w:rPr>
          <w:rFonts w:ascii="仿宋_GB2312" w:eastAsia="仿宋_GB2312"/>
          <w:bCs/>
          <w:sz w:val="30"/>
          <w:szCs w:val="30"/>
        </w:rPr>
      </w:pPr>
      <w:r>
        <w:rPr>
          <w:rFonts w:hint="eastAsia" w:ascii="仿宋_GB2312" w:eastAsia="仿宋_GB2312"/>
          <w:bCs/>
          <w:sz w:val="30"/>
          <w:szCs w:val="30"/>
        </w:rPr>
        <w:t>2、项目支出：2022年项目支出为12733.66万元，主要是：疫苗收入返还款、新冠肺炎疫情防控、各类传染病监测及防治、免疫规划、健康教育等支出。</w:t>
      </w:r>
    </w:p>
    <w:p>
      <w:pPr>
        <w:spacing w:line="600" w:lineRule="exact"/>
        <w:ind w:firstLine="600" w:firstLineChars="200"/>
        <w:jc w:val="left"/>
        <w:rPr>
          <w:rFonts w:ascii="仿宋_GB2312" w:eastAsia="仿宋_GB2312"/>
          <w:bCs/>
          <w:sz w:val="30"/>
          <w:szCs w:val="30"/>
        </w:rPr>
      </w:pPr>
      <w:r>
        <w:rPr>
          <w:rFonts w:hint="eastAsia" w:ascii="仿宋_GB2312" w:eastAsia="仿宋_GB2312"/>
          <w:bCs/>
          <w:sz w:val="30"/>
          <w:szCs w:val="30"/>
        </w:rPr>
        <w:t>3、三公经费使用情况：2022年三公经费预算数为9.51万元，其中：公务用车购置及运行费8.91万元、公务接待费0.6万元、因公出国（境）费0万元；三公经费决算数为6.44万元，其中：公务用车购置和运行维护费6.39万元（公车购置0万元，公车运行维护6.39万元）、公务接待费0.05万元、因公出国（境）费0万元。比2021年支出数增加了0.9万元，比上年增加主要原因是：由于疫情影响，公务用车使用较多，公务用车运行维护费支出较上年增加。</w:t>
      </w:r>
    </w:p>
    <w:p>
      <w:pPr>
        <w:pStyle w:val="7"/>
        <w:ind w:left="0" w:leftChars="0" w:firstLine="0" w:firstLineChars="0"/>
        <w:rPr>
          <w:rFonts w:ascii="黑体" w:hAnsi="黑体" w:eastAsia="黑体"/>
          <w:bCs/>
          <w:sz w:val="30"/>
          <w:szCs w:val="30"/>
        </w:rPr>
      </w:pPr>
      <w:r>
        <w:rPr>
          <w:rFonts w:hint="eastAsia" w:ascii="黑体" w:hAnsi="黑体" w:eastAsia="黑体"/>
          <w:bCs/>
          <w:sz w:val="30"/>
          <w:szCs w:val="30"/>
        </w:rPr>
        <w:t>二、一般公共预算支出情况</w:t>
      </w:r>
    </w:p>
    <w:p>
      <w:pPr>
        <w:pStyle w:val="7"/>
        <w:ind w:left="0" w:leftChars="0" w:firstLine="0" w:firstLineChars="0"/>
        <w:rPr>
          <w:rFonts w:ascii="楷体" w:hAnsi="楷体" w:eastAsia="楷体"/>
          <w:bCs/>
          <w:sz w:val="30"/>
          <w:szCs w:val="30"/>
        </w:rPr>
      </w:pPr>
      <w:r>
        <w:rPr>
          <w:rFonts w:hint="eastAsia" w:ascii="楷体" w:hAnsi="楷体" w:eastAsia="楷体"/>
          <w:bCs/>
          <w:sz w:val="30"/>
          <w:szCs w:val="30"/>
        </w:rPr>
        <w:t>（一）基本支出情况</w:t>
      </w:r>
    </w:p>
    <w:p>
      <w:pPr>
        <w:pStyle w:val="7"/>
        <w:ind w:left="0" w:leftChars="0" w:firstLine="600"/>
        <w:rPr>
          <w:rFonts w:ascii="仿宋_GB2312" w:eastAsia="仿宋_GB2312"/>
          <w:bCs/>
          <w:sz w:val="30"/>
          <w:szCs w:val="30"/>
        </w:rPr>
      </w:pPr>
      <w:r>
        <w:rPr>
          <w:rFonts w:hint="eastAsia" w:ascii="仿宋_GB2312" w:eastAsia="仿宋_GB2312"/>
          <w:bCs/>
          <w:sz w:val="30"/>
          <w:szCs w:val="30"/>
        </w:rPr>
        <w:t>基本支出：2022年基本支出为1498.39万元，用于保障本单位机构正常运转、完成日常工作任务而发生的各项支出，主要用于在职和退休人员基本工资、津贴补贴等人员经费及办公费、培训费、邮电费、维修维护费等日常公用经费，其中：工资福利支出1106.59万元，商品和服务支出91.07万元，对个人和家庭补助支出300.73万元；</w:t>
      </w:r>
    </w:p>
    <w:p>
      <w:pPr>
        <w:pStyle w:val="7"/>
        <w:ind w:left="0" w:leftChars="0" w:firstLine="0" w:firstLineChars="0"/>
        <w:rPr>
          <w:rFonts w:ascii="楷体" w:hAnsi="楷体" w:eastAsia="楷体"/>
          <w:bCs/>
          <w:sz w:val="30"/>
          <w:szCs w:val="30"/>
        </w:rPr>
      </w:pPr>
      <w:r>
        <w:rPr>
          <w:rFonts w:hint="eastAsia" w:ascii="楷体" w:hAnsi="楷体" w:eastAsia="楷体"/>
          <w:bCs/>
          <w:sz w:val="30"/>
          <w:szCs w:val="30"/>
        </w:rPr>
        <w:t>（二）项目支出情况</w:t>
      </w:r>
    </w:p>
    <w:p>
      <w:pPr>
        <w:pStyle w:val="7"/>
        <w:ind w:left="0" w:leftChars="0" w:firstLine="600"/>
        <w:rPr>
          <w:rFonts w:ascii="仿宋_GB2312" w:eastAsia="仿宋_GB2312"/>
          <w:bCs/>
          <w:sz w:val="30"/>
          <w:szCs w:val="30"/>
        </w:rPr>
      </w:pPr>
      <w:r>
        <w:rPr>
          <w:rFonts w:hint="eastAsia" w:ascii="仿宋_GB2312" w:eastAsia="仿宋_GB2312"/>
          <w:bCs/>
          <w:sz w:val="30"/>
          <w:szCs w:val="30"/>
        </w:rPr>
        <w:t>项目支出：2022年项目支出为12733.66万元，主要是：疫苗收入返还款、新冠肺炎疫情防控、各类传染病监测及防治、免疫规划、健康教育等支出。</w:t>
      </w:r>
    </w:p>
    <w:p>
      <w:pPr>
        <w:pStyle w:val="7"/>
        <w:ind w:left="0" w:leftChars="0" w:firstLine="0" w:firstLineChars="0"/>
        <w:rPr>
          <w:rFonts w:ascii="仿宋_GB2312" w:eastAsia="仿宋_GB2312"/>
          <w:bCs/>
          <w:sz w:val="30"/>
          <w:szCs w:val="30"/>
        </w:rPr>
      </w:pPr>
    </w:p>
    <w:p>
      <w:pPr>
        <w:pStyle w:val="7"/>
        <w:ind w:left="0" w:leftChars="0" w:firstLine="0" w:firstLineChars="0"/>
        <w:rPr>
          <w:rFonts w:ascii="黑体" w:hAnsi="黑体" w:eastAsia="黑体"/>
          <w:bCs/>
          <w:sz w:val="30"/>
          <w:szCs w:val="30"/>
        </w:rPr>
      </w:pPr>
      <w:r>
        <w:rPr>
          <w:rFonts w:hint="eastAsia" w:ascii="黑体" w:hAnsi="黑体" w:eastAsia="黑体"/>
          <w:bCs/>
          <w:sz w:val="30"/>
          <w:szCs w:val="30"/>
        </w:rPr>
        <w:t>三、部门整体支出绩效情况</w:t>
      </w:r>
    </w:p>
    <w:p>
      <w:pPr>
        <w:pStyle w:val="7"/>
        <w:ind w:left="0" w:leftChars="0" w:firstLine="600"/>
        <w:rPr>
          <w:rFonts w:ascii="仿宋_GB2312" w:eastAsia="仿宋_GB2312"/>
          <w:bCs/>
          <w:sz w:val="30"/>
          <w:szCs w:val="30"/>
        </w:rPr>
      </w:pPr>
      <w:r>
        <w:rPr>
          <w:rFonts w:hint="eastAsia" w:ascii="仿宋_GB2312" w:eastAsia="仿宋_GB2312"/>
          <w:bCs/>
          <w:sz w:val="30"/>
          <w:szCs w:val="30"/>
        </w:rPr>
        <w:t>预算支出的绩效目标基本完成，实现产出和取得效益情况达到预期。2022年度，我单位在收支预算内完成了以下绩效目标：</w:t>
      </w:r>
    </w:p>
    <w:p>
      <w:pPr>
        <w:pStyle w:val="7"/>
        <w:ind w:left="0" w:leftChars="0" w:firstLine="600"/>
        <w:rPr>
          <w:rFonts w:ascii="仿宋_GB2312" w:eastAsia="仿宋_GB2312"/>
          <w:bCs/>
          <w:sz w:val="30"/>
          <w:szCs w:val="30"/>
        </w:rPr>
      </w:pPr>
      <w:r>
        <w:rPr>
          <w:rFonts w:hint="eastAsia" w:ascii="楷体" w:hAnsi="楷体" w:eastAsia="楷体"/>
          <w:bCs/>
          <w:sz w:val="30"/>
          <w:szCs w:val="30"/>
        </w:rPr>
        <w:t>（一）着力加强传染病防控和突发公共卫生事件应急处置。</w:t>
      </w:r>
      <w:r>
        <w:rPr>
          <w:rFonts w:hint="eastAsia" w:ascii="仿宋_GB2312" w:eastAsia="仿宋_GB2312"/>
          <w:b/>
          <w:bCs/>
          <w:sz w:val="30"/>
          <w:szCs w:val="30"/>
        </w:rPr>
        <w:t>一是充实应急储备，落实物资保障。</w:t>
      </w:r>
      <w:r>
        <w:rPr>
          <w:rFonts w:hint="eastAsia" w:ascii="仿宋_GB2312" w:eastAsia="仿宋_GB2312"/>
          <w:bCs/>
          <w:sz w:val="30"/>
          <w:szCs w:val="30"/>
        </w:rPr>
        <w:t>全区储备合格采样人员1380人，流调专班现场处置人员13支小分队117人，辖区社区流调协查员641人，消杀人员656人。自2021年10月23日开始，应急状态下防疫物资采购采取由区卫健局和区疾控中心提出采购需求、区财政局采购、</w:t>
      </w:r>
      <w:r>
        <w:rPr>
          <w:rFonts w:hint="eastAsia" w:eastAsia="仿宋_GB2312" w:asciiTheme="minorHAnsi" w:hAnsiTheme="minorHAnsi"/>
          <w:bCs/>
          <w:sz w:val="30"/>
          <w:szCs w:val="30"/>
        </w:rPr>
        <w:t>区卫健局和</w:t>
      </w:r>
      <w:r>
        <w:rPr>
          <w:rFonts w:hint="eastAsia" w:ascii="仿宋_GB2312" w:eastAsia="仿宋_GB2312"/>
          <w:bCs/>
          <w:sz w:val="30"/>
          <w:szCs w:val="30"/>
        </w:rPr>
        <w:t>区疾控中心管理的模式，全力保障集中隔离医学观察酒店、长沙火车南站、区交通局、14家街道社区卫生服务中心等单位40余种防疫物资的供应，做到防疫有需求、物资保障就到位。</w:t>
      </w:r>
      <w:r>
        <w:rPr>
          <w:rFonts w:hint="eastAsia" w:ascii="仿宋_GB2312" w:eastAsia="仿宋_GB2312"/>
          <w:b/>
          <w:bCs/>
          <w:sz w:val="30"/>
          <w:szCs w:val="30"/>
        </w:rPr>
        <w:t>二是织密监测网络，及时排查处置。</w:t>
      </w:r>
      <w:r>
        <w:rPr>
          <w:rFonts w:hint="eastAsia" w:ascii="仿宋_GB2312" w:eastAsia="仿宋_GB2312"/>
          <w:bCs/>
          <w:sz w:val="30"/>
          <w:szCs w:val="30"/>
        </w:rPr>
        <w:t>全区建立以33家网络直报医疗机构为单位的传染病报告管理信息系统，每天24小时全面监测辖区医疗机构上报的传染病疫情和突发公共卫生事件，安排4名专人全年365天进行传染病报告卡审核、分析和预警信息的核实、调查、处理。全年及时审核传染病报告卡46325张，死亡报告卡8729张，处理预警信息571条，报告质量综合率99.99%，疫情网络报告及时率、审核及时率均为99.99%。</w:t>
      </w:r>
      <w:r>
        <w:rPr>
          <w:rFonts w:hint="eastAsia" w:ascii="仿宋_GB2312" w:eastAsia="仿宋_GB2312"/>
          <w:b/>
          <w:bCs/>
          <w:sz w:val="30"/>
          <w:szCs w:val="30"/>
        </w:rPr>
        <w:t>三是加强应急值守，落实24小时响应。</w:t>
      </w:r>
      <w:r>
        <w:rPr>
          <w:rFonts w:hint="eastAsia" w:ascii="仿宋_GB2312" w:eastAsia="仿宋_GB2312"/>
          <w:bCs/>
          <w:sz w:val="30"/>
          <w:szCs w:val="30"/>
        </w:rPr>
        <w:t>建立4支应急机动队，实行24小时领导干部带班值班制，定期组织开展应急处置流行病学调查等专业技能培训，确保科学、规范处置各类疫情。同时安排专班人员轮流值守24小时卫生应急值班电话，2022年新开通2条值班电话线路，确保电话不漏接，并能及时处置各类疫情和反馈群众来电，全年接听市民电话咨询近12万通次，在全市名列前茅，来电办结率100%，办结事项抽查回访满意率100%。</w:t>
      </w:r>
      <w:r>
        <w:rPr>
          <w:rFonts w:hint="eastAsia" w:ascii="仿宋_GB2312" w:eastAsia="仿宋_GB2312"/>
          <w:b/>
          <w:bCs/>
          <w:sz w:val="30"/>
          <w:szCs w:val="30"/>
        </w:rPr>
        <w:t>四是开展培训演练，提升实战水平。</w:t>
      </w:r>
      <w:r>
        <w:rPr>
          <w:rFonts w:hint="eastAsia" w:ascii="仿宋_GB2312" w:eastAsia="仿宋_GB2312"/>
          <w:bCs/>
          <w:sz w:val="30"/>
          <w:szCs w:val="30"/>
        </w:rPr>
        <w:t>进入常态化疫情防控阶段，雨花区多次组织各级各部门开展新冠肺炎技能培训和演练。分两批次组织了全区流调专班人员、各街道社区相关主任及各社区卫生服务中心及服务站医务人员进行新冠肺炎疫情防控能力提升培训及演练。先后召开雨花区疫情防控应急处置培训、关于健康码解码工作会议等，同时对雨花区新冠肺炎疫情流行病学调查队伍第2、3级小分队成员共39人开展第二轮流行病学调查队伍跟班学习。为了应对大规模疫情暴发流行，区教育局将各单位、中小学校、幼儿园等单位负责防疫工作人员，分批轮流到新冠肺炎疫情防控前线指挥跟班学习流调、涉疫人员管理、学校疫情防控应对等事宜，进一步磨合全区各部门、各单位、各街道/镇协同作战、联防联控的应急处置能力，做到了以练备战、以练为战。为做好各类重大活动、会议、展会及大型考试进行疫情防控保障，派出专业人员进行现场疫情防控指导及驻点累计140余人次，不断强化重点场所、重点人群的疫情防控措施，织密疫情防控社会防线。</w:t>
      </w:r>
      <w:r>
        <w:rPr>
          <w:rFonts w:hint="eastAsia" w:ascii="仿宋_GB2312" w:eastAsia="仿宋_GB2312"/>
          <w:b/>
          <w:bCs/>
          <w:sz w:val="30"/>
          <w:szCs w:val="30"/>
        </w:rPr>
        <w:t>五是落实入境管控，严防境外输入。</w:t>
      </w:r>
      <w:r>
        <w:rPr>
          <w:rFonts w:hint="eastAsia" w:ascii="仿宋_GB2312" w:eastAsia="仿宋_GB2312"/>
          <w:bCs/>
          <w:sz w:val="30"/>
          <w:szCs w:val="30"/>
        </w:rPr>
        <w:t>承接8趟国际客运航班集中隔离医学观察疫情防控工作，全面落实入境人员隔离机制预案、人员分工、管理制度、技术方案、物资储备、经费保障、培训演练及应急处置等，对发现的新冠病毒确诊病例和无症状感染者，均于上报后24小时内开展了详细的流行病学调查、密切接触者排查管控和核酸检测，疫情得到有效控制，未引起传播和扩散。</w:t>
      </w:r>
      <w:r>
        <w:rPr>
          <w:rFonts w:hint="eastAsia" w:ascii="仿宋_GB2312" w:eastAsia="仿宋_GB2312"/>
          <w:b/>
          <w:bCs/>
          <w:sz w:val="30"/>
          <w:szCs w:val="30"/>
        </w:rPr>
        <w:t>六是精准处置疫情，防止本地反弹。</w:t>
      </w:r>
      <w:r>
        <w:rPr>
          <w:rFonts w:hint="eastAsia" w:ascii="仿宋_GB2312" w:eastAsia="仿宋_GB2312"/>
          <w:bCs/>
          <w:sz w:val="30"/>
          <w:szCs w:val="30"/>
        </w:rPr>
        <w:t>市防指宣布全面进入应急状态以来，第一时间启动应急响应，各工作组快速到位、高效运转，区疾控中心全体职工集中办公、统一住宿，24小时投入一线开展处置。三公（工）流调紧密配合，雨花区为全市唯一由区疾控安排专人24小时驻点区公安分局，真正做到疾控与公安同步出动，同频共振，及时互通信息。雨花区承担16趟次的上海专列转运管控、26天的站台接引和防护服穿脱监督指导服务，共计为1421名旅客进行中转、隔离、核酸、流调等工作。</w:t>
      </w:r>
    </w:p>
    <w:p>
      <w:pPr>
        <w:pStyle w:val="7"/>
        <w:ind w:left="0" w:leftChars="0" w:firstLine="600"/>
        <w:rPr>
          <w:rFonts w:ascii="仿宋_GB2312" w:eastAsia="仿宋_GB2312"/>
          <w:bCs/>
          <w:sz w:val="30"/>
          <w:szCs w:val="30"/>
        </w:rPr>
      </w:pPr>
      <w:r>
        <w:rPr>
          <w:rFonts w:hint="eastAsia" w:ascii="楷体" w:hAnsi="楷体" w:eastAsia="楷体"/>
          <w:bCs/>
          <w:sz w:val="30"/>
          <w:szCs w:val="30"/>
        </w:rPr>
        <w:t>（二）着力加强健康教育和慢性病管理工作。</w:t>
      </w:r>
      <w:r>
        <w:rPr>
          <w:rFonts w:hint="eastAsia" w:ascii="仿宋_GB2312" w:eastAsia="仿宋_GB2312"/>
          <w:b/>
          <w:bCs/>
          <w:sz w:val="30"/>
          <w:szCs w:val="30"/>
        </w:rPr>
        <w:t>一是积极开展健康教育。</w:t>
      </w:r>
      <w:r>
        <w:rPr>
          <w:rFonts w:hint="eastAsia" w:ascii="仿宋_GB2312" w:eastAsia="仿宋_GB2312"/>
          <w:bCs/>
          <w:sz w:val="30"/>
          <w:szCs w:val="30"/>
        </w:rPr>
        <w:t>采用线上线下相结合的方式开展，开展“5.15碘缺乏病防治日” “9.1全民健康生活方式日” “11.14联合国糖尿病日”等24个重点日宣传活动，线下参与人数达5千余人次，线上直播观看突破百万人次。</w:t>
      </w:r>
      <w:r>
        <w:rPr>
          <w:rFonts w:hint="eastAsia" w:ascii="仿宋_GB2312" w:eastAsia="仿宋_GB2312"/>
          <w:b/>
          <w:bCs/>
          <w:sz w:val="30"/>
          <w:szCs w:val="30"/>
        </w:rPr>
        <w:t>二是加强互联网健康知识宣教。</w:t>
      </w:r>
      <w:r>
        <w:rPr>
          <w:rFonts w:hint="eastAsia" w:ascii="仿宋_GB2312" w:eastAsia="仿宋_GB2312"/>
          <w:bCs/>
          <w:sz w:val="30"/>
          <w:szCs w:val="30"/>
        </w:rPr>
        <w:t>今年3月起至今在“飞梦雨花”微信公众号上发表科普信息文46篇，在“雨花健康”微信公众号推送科普信息文27篇。与长沙群英会协作，探索运营“雨润花开”健康雨花立体化公益支持平台项目，打造健康教育示范标杆。</w:t>
      </w:r>
      <w:r>
        <w:rPr>
          <w:rFonts w:hint="eastAsia" w:ascii="仿宋_GB2312" w:eastAsia="仿宋_GB2312"/>
          <w:b/>
          <w:bCs/>
          <w:sz w:val="30"/>
          <w:szCs w:val="30"/>
        </w:rPr>
        <w:t>三是积极参与健康科普大赛。</w:t>
      </w:r>
      <w:r>
        <w:rPr>
          <w:rFonts w:hint="eastAsia" w:ascii="仿宋_GB2312" w:eastAsia="仿宋_GB2312"/>
          <w:bCs/>
          <w:sz w:val="30"/>
          <w:szCs w:val="30"/>
        </w:rPr>
        <w:t>2022年，组织区级健康科普大赛，征集健康科普作品14件，择优参与省市级科普赛评选。推荐1名优秀健康科普工作者参与省市评选。</w:t>
      </w:r>
      <w:r>
        <w:rPr>
          <w:rFonts w:hint="eastAsia" w:ascii="仿宋_GB2312" w:eastAsia="仿宋_GB2312"/>
          <w:b/>
          <w:bCs/>
          <w:sz w:val="30"/>
          <w:szCs w:val="30"/>
        </w:rPr>
        <w:t>四是持续推进国家基本公共卫生服务项目实施。</w:t>
      </w:r>
      <w:r>
        <w:rPr>
          <w:rFonts w:hint="eastAsia" w:ascii="仿宋_GB2312" w:eastAsia="仿宋_GB2312"/>
          <w:bCs/>
          <w:sz w:val="30"/>
          <w:szCs w:val="30"/>
        </w:rPr>
        <w:t>按照国家基本公共卫生服务规范要求，开展统一规范培训、提高整体队伍业务水平，全年共完成各类管理中档案质量核查1750人份，撰写月质量报告11期，实施进度通报15期。全区建立居民健康档案1070840份，建档率84.66%；为辖区65岁及以上老年人提供健康体检、高血压患者系统规范管率80.41%、糖尿病患者规范管理率82.31%。</w:t>
      </w:r>
      <w:r>
        <w:rPr>
          <w:rFonts w:hint="eastAsia" w:ascii="仿宋_GB2312" w:eastAsia="仿宋_GB2312"/>
          <w:b/>
          <w:bCs/>
          <w:sz w:val="30"/>
          <w:szCs w:val="30"/>
        </w:rPr>
        <w:t>五是扎实推进精神卫生工作整体实施。</w:t>
      </w:r>
      <w:r>
        <w:rPr>
          <w:rFonts w:hint="eastAsia" w:ascii="仿宋_GB2312" w:eastAsia="仿宋_GB2312"/>
          <w:bCs/>
          <w:sz w:val="30"/>
          <w:szCs w:val="30"/>
        </w:rPr>
        <w:t>在册患者报告率3.26‰，在册管理率99.85%、规范管理率99.66%、面访率99.81%、服药率99.78%、规律服药率99.37%、精神分裂症患者服药率99.77％、规律服药率99.43%；组织开展患者管理与应急处置培训演练，提升辖区精防人员应急处置能力。常规开展患者联合摸排工作。强化部门信息交互和随时信息交互与核查的工作机制，3月区疾控与区公安分局专题深入探讨严重精神障碍患者肇事肇祸摸排管控，全年配合公安开展临时性人员信息协查300余人次，协助公安推送名单组织开展危险性评估86人次；组织完成辖区年度居民心理健康素养水平调查工作，居民健康素养水平达到27.7%。</w:t>
      </w:r>
      <w:r>
        <w:rPr>
          <w:rFonts w:hint="eastAsia" w:ascii="仿宋_GB2312" w:eastAsia="仿宋_GB2312"/>
          <w:b/>
          <w:bCs/>
          <w:sz w:val="30"/>
          <w:szCs w:val="30"/>
        </w:rPr>
        <w:t>六是高质量开展城市癌症早诊早治项目工作。</w:t>
      </w:r>
      <w:r>
        <w:rPr>
          <w:rFonts w:hint="eastAsia" w:ascii="仿宋_GB2312" w:eastAsia="仿宋_GB2312"/>
          <w:bCs/>
          <w:sz w:val="30"/>
          <w:szCs w:val="30"/>
        </w:rPr>
        <w:t>2022年度城市癌症早诊早治临床筛查工作采取周跟进周通报等措施，共完成高危评估问卷1166例，完成肺部筛查213例、肠镜筛查107例、乳腺筛查112例、上消化道筛查98例、肝脏筛查40例，口腔筛查233例。</w:t>
      </w:r>
      <w:r>
        <w:rPr>
          <w:rFonts w:hint="eastAsia" w:ascii="仿宋_GB2312" w:eastAsia="仿宋_GB2312"/>
          <w:b/>
          <w:bCs/>
          <w:sz w:val="30"/>
          <w:szCs w:val="30"/>
        </w:rPr>
        <w:t>七是持续完善重点慢性病综合监测体系。</w:t>
      </w:r>
      <w:r>
        <w:rPr>
          <w:rFonts w:hint="eastAsia" w:ascii="仿宋_GB2312" w:eastAsia="仿宋_GB2312"/>
          <w:bCs/>
          <w:sz w:val="30"/>
          <w:szCs w:val="30"/>
        </w:rPr>
        <w:t>组织完成辖区存活肿瘤病例100%覆盖的随访工作。完成2021年度慢性病综合防控示范区建设工作的资料收集、汇总整理、分析总结和系统数据填报工作，并于9月组织完成了第六次全国慢性病防控能力调查工作。</w:t>
      </w:r>
      <w:r>
        <w:rPr>
          <w:rFonts w:hint="eastAsia" w:ascii="仿宋_GB2312" w:eastAsia="仿宋_GB2312"/>
          <w:b/>
          <w:bCs/>
          <w:sz w:val="30"/>
          <w:szCs w:val="30"/>
        </w:rPr>
        <w:t>八是按时完成特定健康问题哨点监测项目工作。</w:t>
      </w:r>
      <w:r>
        <w:rPr>
          <w:rFonts w:hint="eastAsia" w:ascii="仿宋_GB2312" w:eastAsia="仿宋_GB2312"/>
          <w:bCs/>
          <w:sz w:val="30"/>
          <w:szCs w:val="30"/>
        </w:rPr>
        <w:t>雨花区作为全国100个特定健康问题监测哨点之一，于6月组织完成1600余人的现场调查及健康监测工作，为健康中国行动年度监测评估和考核工作提供数据支持。</w:t>
      </w:r>
      <w:r>
        <w:rPr>
          <w:rFonts w:hint="eastAsia" w:ascii="仿宋_GB2312" w:eastAsia="仿宋_GB2312"/>
          <w:b/>
          <w:bCs/>
          <w:sz w:val="30"/>
          <w:szCs w:val="30"/>
        </w:rPr>
        <w:t>九是组织辖区儿童青少年视力和常见病监测干预工作实施。</w:t>
      </w:r>
      <w:r>
        <w:rPr>
          <w:rFonts w:hint="eastAsia" w:ascii="仿宋_GB2312" w:eastAsia="仿宋_GB2312"/>
          <w:bCs/>
          <w:sz w:val="30"/>
          <w:szCs w:val="30"/>
        </w:rPr>
        <w:t>组织完成辖区10个常见病监测学校共计2800人余人的视力及常见病监测与干预工作。</w:t>
      </w:r>
    </w:p>
    <w:p>
      <w:pPr>
        <w:pStyle w:val="7"/>
        <w:ind w:left="0" w:leftChars="0" w:firstLine="600"/>
        <w:rPr>
          <w:rFonts w:ascii="仿宋_GB2312" w:eastAsia="仿宋_GB2312"/>
          <w:bCs/>
          <w:sz w:val="30"/>
          <w:szCs w:val="30"/>
        </w:rPr>
      </w:pPr>
      <w:r>
        <w:rPr>
          <w:rFonts w:hint="eastAsia" w:ascii="楷体" w:hAnsi="楷体" w:eastAsia="楷体"/>
          <w:bCs/>
          <w:sz w:val="30"/>
          <w:szCs w:val="30"/>
        </w:rPr>
        <w:t>（三）着力加强公共卫生监测和职业病防治工作。</w:t>
      </w:r>
      <w:r>
        <w:rPr>
          <w:rFonts w:hint="eastAsia" w:ascii="仿宋_GB2312" w:eastAsia="仿宋_GB2312"/>
          <w:b/>
          <w:bCs/>
          <w:sz w:val="30"/>
          <w:szCs w:val="30"/>
        </w:rPr>
        <w:t>一是持续强化公共卫生监测。</w:t>
      </w:r>
      <w:r>
        <w:rPr>
          <w:rFonts w:hint="eastAsia" w:ascii="仿宋_GB2312" w:eastAsia="仿宋_GB2312"/>
          <w:bCs/>
          <w:sz w:val="30"/>
          <w:szCs w:val="30"/>
        </w:rPr>
        <w:t>积极开展生活饮用水、粪污水、餐饮具、医疗机构消毒质量及公共场所等日常监测，累计采集样品425份，合格率100%。完成省市级食品安全风险监测任务，共完成省市级监测任务采样164份，其中64份送长沙市疾控中心检测，100份由雨花区疾控中心检测，及时将本级监测结果录入相关系统并进行分析。</w:t>
      </w:r>
      <w:r>
        <w:rPr>
          <w:rFonts w:hint="eastAsia" w:ascii="仿宋_GB2312" w:eastAsia="仿宋_GB2312"/>
          <w:b/>
          <w:bCs/>
          <w:sz w:val="30"/>
          <w:szCs w:val="30"/>
        </w:rPr>
        <w:t>二是持续强化职业病危害因素监测能力。</w:t>
      </w:r>
      <w:r>
        <w:rPr>
          <w:rFonts w:hint="eastAsia" w:ascii="仿宋_GB2312" w:eastAsia="仿宋_GB2312"/>
          <w:bCs/>
          <w:sz w:val="30"/>
          <w:szCs w:val="30"/>
        </w:rPr>
        <w:t>按要求开展工作场所职业病危害因素监测，完成对20家用人单位的现场职业病危害因素检测，数据均已上报并通过市疾控审核。对106例尘肺病人完成随访调查，完成率为100%。对非医疗机构开展放射性危害因素监测，完成对3家企业的放射性危害因素调查。对医疗卫生机构开展医用辐射防护监测，完成44家医疗单位的医用辐射防护监测工作。</w:t>
      </w:r>
    </w:p>
    <w:p>
      <w:pPr>
        <w:pStyle w:val="7"/>
        <w:ind w:left="0" w:leftChars="0" w:firstLine="600"/>
        <w:rPr>
          <w:rFonts w:ascii="仿宋_GB2312" w:eastAsia="仿宋_GB2312"/>
          <w:bCs/>
          <w:sz w:val="30"/>
          <w:szCs w:val="30"/>
        </w:rPr>
      </w:pPr>
      <w:r>
        <w:rPr>
          <w:rFonts w:hint="eastAsia" w:ascii="楷体" w:hAnsi="楷体" w:eastAsia="楷体"/>
          <w:bCs/>
          <w:sz w:val="30"/>
          <w:szCs w:val="30"/>
        </w:rPr>
        <w:t>（四）着力加强免疫规划管理。</w:t>
      </w:r>
      <w:r>
        <w:rPr>
          <w:rFonts w:hint="eastAsia" w:ascii="仿宋_GB2312" w:eastAsia="仿宋_GB2312"/>
          <w:b/>
          <w:bCs/>
          <w:sz w:val="30"/>
          <w:szCs w:val="30"/>
        </w:rPr>
        <w:t>一是加强疫苗接种监测。</w:t>
      </w:r>
      <w:r>
        <w:rPr>
          <w:rFonts w:hint="eastAsia" w:ascii="仿宋_GB2312" w:eastAsia="仿宋_GB2312"/>
          <w:bCs/>
          <w:sz w:val="30"/>
          <w:szCs w:val="30"/>
        </w:rPr>
        <w:t>定期对各监测医院开展AFP、麻疹、流脑、乙脑主动监测，并及时处置。共报告AFP监测病例17例，AFP报告发病率8.63（1/10万），48小时内调查率94.74%，14天内双份合格大便标本采集率100.00%，合格便采集率94.12%，便标本7天内送达率100.00%。报告麻疹、风疹疑似病例48例，专病系统纳入率、个案调查率均达到100%，监测病例48小时完整调查率、疑似病例血标本采集率、3天送达率、检测结果4天网络报告率均为100%，无麻疹暴发疫情发生。共报告乙脑监测病例3例，其中1例本地病例，个案调查及时率100%。</w:t>
      </w:r>
      <w:r>
        <w:rPr>
          <w:rFonts w:hint="eastAsia" w:ascii="仿宋_GB2312" w:eastAsia="仿宋_GB2312"/>
          <w:b/>
          <w:bCs/>
          <w:sz w:val="30"/>
          <w:szCs w:val="30"/>
        </w:rPr>
        <w:t>二是疑似预防接种异常反应妥善处置。</w:t>
      </w:r>
      <w:r>
        <w:rPr>
          <w:rFonts w:hint="eastAsia" w:ascii="仿宋_GB2312" w:eastAsia="仿宋_GB2312"/>
          <w:bCs/>
          <w:sz w:val="30"/>
          <w:szCs w:val="30"/>
        </w:rPr>
        <w:t>疑似预防接种异常反应及时审核、更新个案信息, 48小时内及时报告率、48小时内调查率、个案调查表在调查后3日内网络报告率、表中关键项目完整率均为100%，全区未发生任何预防接种安全事故。</w:t>
      </w:r>
      <w:r>
        <w:rPr>
          <w:rFonts w:hint="eastAsia" w:ascii="仿宋_GB2312" w:eastAsia="仿宋_GB2312"/>
          <w:b/>
          <w:bCs/>
          <w:sz w:val="30"/>
          <w:szCs w:val="30"/>
        </w:rPr>
        <w:t>三是规范管理疫苗。</w:t>
      </w:r>
      <w:r>
        <w:rPr>
          <w:rFonts w:hint="eastAsia" w:ascii="仿宋_GB2312" w:eastAsia="仿宋_GB2312"/>
          <w:bCs/>
          <w:sz w:val="30"/>
          <w:szCs w:val="30"/>
        </w:rPr>
        <w:t>我区疫苗管理采取代储代运模式，每月制定免疫规划类和非免疫规划类疫苗使用及分配计划，督促代储代运公司按时按量向接种单位下发疫苗，收集疫苗质量验收记录、冷链运输记录及疫苗分发配送记录，每月底安排专人进行库存盘点。</w:t>
      </w:r>
      <w:r>
        <w:rPr>
          <w:rFonts w:hint="eastAsia" w:ascii="仿宋_GB2312" w:eastAsia="仿宋_GB2312"/>
          <w:b/>
          <w:bCs/>
          <w:sz w:val="30"/>
          <w:szCs w:val="30"/>
        </w:rPr>
        <w:t>四是开展入托入学儿童预防接种证查证工作。</w:t>
      </w:r>
      <w:r>
        <w:rPr>
          <w:rFonts w:hint="eastAsia" w:ascii="仿宋_GB2312" w:eastAsia="仿宋_GB2312"/>
          <w:bCs/>
          <w:sz w:val="30"/>
          <w:szCs w:val="30"/>
        </w:rPr>
        <w:t>共查验学校66家，托幼机构305家，查验率100％，补种率95.50％。</w:t>
      </w:r>
    </w:p>
    <w:p>
      <w:pPr>
        <w:pStyle w:val="7"/>
        <w:ind w:left="0" w:leftChars="0" w:firstLine="600"/>
        <w:rPr>
          <w:rFonts w:ascii="仿宋_GB2312" w:eastAsia="仿宋_GB2312"/>
          <w:bCs/>
          <w:sz w:val="30"/>
          <w:szCs w:val="30"/>
        </w:rPr>
      </w:pPr>
      <w:r>
        <w:rPr>
          <w:rFonts w:hint="eastAsia" w:ascii="楷体" w:hAnsi="楷体" w:eastAsia="楷体"/>
          <w:bCs/>
          <w:sz w:val="30"/>
          <w:szCs w:val="30"/>
        </w:rPr>
        <w:t>（五）着力推进结核病和艾滋病防治工作。</w:t>
      </w:r>
      <w:r>
        <w:rPr>
          <w:rFonts w:hint="eastAsia" w:ascii="仿宋_GB2312" w:eastAsia="仿宋_GB2312"/>
          <w:b/>
          <w:bCs/>
          <w:sz w:val="30"/>
          <w:szCs w:val="30"/>
        </w:rPr>
        <w:t>一是结核病防治有条不紊。</w:t>
      </w:r>
      <w:r>
        <w:rPr>
          <w:rFonts w:hint="eastAsia" w:ascii="仿宋_GB2312" w:eastAsia="仿宋_GB2312"/>
          <w:bCs/>
          <w:sz w:val="30"/>
          <w:szCs w:val="30"/>
        </w:rPr>
        <w:t>完成全年活动性肺结核患者发现任务的142.9%，完成全年新涂阳患者发现任务的153.77%，完成全年复治涂阳患者发现任务的100%，涂阳患者占活动性肺结核患者的比例为50%，全年新涂阳患者和活动性肺结核患者的发现任务均超额完成。</w:t>
      </w:r>
      <w:r>
        <w:rPr>
          <w:rFonts w:hint="eastAsia" w:ascii="仿宋_GB2312" w:eastAsia="仿宋_GB2312"/>
          <w:b/>
          <w:bCs/>
          <w:sz w:val="30"/>
          <w:szCs w:val="30"/>
        </w:rPr>
        <w:t>二是开展艾滋病高危行为干预。</w:t>
      </w:r>
      <w:r>
        <w:rPr>
          <w:rFonts w:hint="eastAsia" w:ascii="仿宋_GB2312" w:eastAsia="仿宋_GB2312"/>
          <w:bCs/>
          <w:sz w:val="30"/>
          <w:szCs w:val="30"/>
        </w:rPr>
        <w:t>社区卫生服务中心开展艾滋病高危行为干预已成常态化，每月对辖区内艾滋病高危行为人群进行预防艾滋病、性病宣传教育等干预工作。对辖区内娱乐场所性工作服务者进行艾滋病宣教及行为干预，发放宣传资料、安全套，并动员进行调查问卷及HIV、丙肝、梅毒检测。对流动人口进行1463人次的预防艾滋病、性病宣传教育等干预工作，发放宣传资料1844份，安全套5742只，并对140名流动人口进行问卷调查及HIV、丙肝、梅毒检测。通过与第三方合作的形式，我辖区主动对男男人群提供艾滋病检测咨询服务，并动员其进行了艾滋病病毒抗体筛查，梅毒检测。</w:t>
      </w:r>
      <w:r>
        <w:rPr>
          <w:rFonts w:hint="eastAsia" w:ascii="仿宋_GB2312" w:eastAsia="仿宋_GB2312"/>
          <w:b/>
          <w:bCs/>
          <w:sz w:val="30"/>
          <w:szCs w:val="30"/>
        </w:rPr>
        <w:t>三是性病综合防治稳步推进。</w:t>
      </w:r>
      <w:r>
        <w:rPr>
          <w:rFonts w:hint="eastAsia" w:ascii="仿宋_GB2312" w:eastAsia="仿宋_GB2312"/>
          <w:bCs/>
          <w:sz w:val="30"/>
          <w:szCs w:val="30"/>
        </w:rPr>
        <w:t>现住址为雨花区的性病共计6种，报告发病率为125.37/10万。</w:t>
      </w:r>
    </w:p>
    <w:p>
      <w:pPr>
        <w:pStyle w:val="7"/>
        <w:ind w:left="0" w:leftChars="0" w:firstLine="0" w:firstLineChars="0"/>
        <w:rPr>
          <w:rFonts w:ascii="黑体" w:hAnsi="黑体" w:eastAsia="黑体"/>
          <w:bCs/>
          <w:sz w:val="30"/>
          <w:szCs w:val="30"/>
        </w:rPr>
      </w:pPr>
      <w:r>
        <w:rPr>
          <w:rFonts w:hint="eastAsia" w:ascii="黑体" w:hAnsi="黑体" w:eastAsia="黑体"/>
          <w:bCs/>
          <w:sz w:val="30"/>
          <w:szCs w:val="30"/>
        </w:rPr>
        <w:t>四、总体评价和自评得分情况</w:t>
      </w:r>
    </w:p>
    <w:p>
      <w:pPr>
        <w:pStyle w:val="7"/>
        <w:ind w:left="0" w:leftChars="0" w:firstLine="600"/>
        <w:rPr>
          <w:rFonts w:ascii="仿宋_GB2312" w:eastAsia="仿宋_GB2312"/>
          <w:bCs/>
          <w:sz w:val="30"/>
          <w:szCs w:val="30"/>
        </w:rPr>
      </w:pPr>
      <w:r>
        <w:rPr>
          <w:rFonts w:hint="eastAsia" w:ascii="仿宋_GB2312" w:eastAsia="仿宋_GB2312"/>
          <w:bCs/>
          <w:sz w:val="30"/>
          <w:szCs w:val="30"/>
        </w:rPr>
        <w:t>2022年，在区委、区政府的正确领导下，区卫健局的大力支持下，雨花区疾控中心全体干部职工精诚团结，踔厉奋发，努力践行“三高四新”战略，认真履行疾病防控职责，扎实开展新冠肺炎疫情防控工作，各项工作取得一定成绩。</w:t>
      </w:r>
    </w:p>
    <w:p>
      <w:pPr>
        <w:pStyle w:val="7"/>
        <w:ind w:left="0" w:leftChars="0" w:firstLine="300" w:firstLineChars="100"/>
        <w:rPr>
          <w:rFonts w:ascii="仿宋_GB2312" w:eastAsia="仿宋_GB2312"/>
          <w:bCs/>
          <w:sz w:val="30"/>
          <w:szCs w:val="30"/>
        </w:rPr>
      </w:pPr>
      <w:r>
        <w:rPr>
          <w:rFonts w:hint="eastAsia" w:ascii="仿宋_GB2312" w:eastAsia="仿宋_GB2312"/>
          <w:bCs/>
          <w:sz w:val="30"/>
          <w:szCs w:val="30"/>
        </w:rPr>
        <w:t>根据年初的绩效考核工作计划和目标，我中心业务工作按时保质保量完成，财务管理制度健全规范，无违规违纪现象，较好地完成了全年的目标工作任务，2022年部门整体支出绩效自评得分90分。</w:t>
      </w:r>
    </w:p>
    <w:p/>
    <w:p>
      <w:pPr>
        <w:pStyle w:val="7"/>
        <w:numPr>
          <w:ilvl w:val="0"/>
          <w:numId w:val="1"/>
        </w:numPr>
        <w:ind w:left="0" w:leftChars="0" w:firstLine="0" w:firstLineChars="0"/>
        <w:rPr>
          <w:rFonts w:ascii="黑体" w:hAnsi="黑体" w:eastAsia="黑体"/>
          <w:bCs/>
          <w:sz w:val="30"/>
          <w:szCs w:val="30"/>
        </w:rPr>
      </w:pPr>
      <w:r>
        <w:rPr>
          <w:rFonts w:hint="eastAsia" w:ascii="黑体" w:hAnsi="黑体" w:eastAsia="黑体"/>
          <w:bCs/>
          <w:sz w:val="30"/>
          <w:szCs w:val="30"/>
        </w:rPr>
        <w:t>存在问题</w:t>
      </w:r>
    </w:p>
    <w:p>
      <w:pPr>
        <w:pStyle w:val="20"/>
        <w:ind w:firstLine="300" w:firstLineChars="100"/>
        <w:rPr>
          <w:rFonts w:ascii="仿宋_GB2312" w:hAnsi="Times New Roman" w:eastAsia="仿宋_GB2312" w:cs="Times New Roman"/>
          <w:bCs/>
          <w:color w:val="auto"/>
          <w:kern w:val="2"/>
          <w:sz w:val="30"/>
          <w:szCs w:val="30"/>
        </w:rPr>
      </w:pPr>
      <w:r>
        <w:rPr>
          <w:rFonts w:hint="eastAsia" w:ascii="仿宋_GB2312" w:hAnsi="Times New Roman" w:eastAsia="仿宋_GB2312" w:cs="Times New Roman"/>
          <w:bCs/>
          <w:color w:val="auto"/>
          <w:kern w:val="2"/>
          <w:sz w:val="30"/>
          <w:szCs w:val="30"/>
        </w:rPr>
        <w:t>1、由于新冠疫情影响，部分上级专项资金使用率有待提高。</w:t>
      </w:r>
    </w:p>
    <w:p>
      <w:pPr>
        <w:ind w:firstLine="300" w:firstLineChars="100"/>
        <w:rPr>
          <w:rFonts w:ascii="仿宋_GB2312" w:eastAsia="仿宋_GB2312"/>
          <w:bCs/>
          <w:sz w:val="30"/>
          <w:szCs w:val="30"/>
        </w:rPr>
      </w:pPr>
      <w:r>
        <w:rPr>
          <w:rFonts w:hint="eastAsia" w:ascii="仿宋_GB2312" w:eastAsia="仿宋_GB2312"/>
          <w:bCs/>
          <w:sz w:val="30"/>
          <w:szCs w:val="30"/>
        </w:rPr>
        <w:t>2、预算编制根据单位可预见工作任务确定，实际运行中新增工作任务，需年中追加预算，无法严格按预算指标执行。</w:t>
      </w:r>
    </w:p>
    <w:p>
      <w:pPr>
        <w:pStyle w:val="2"/>
        <w:rPr>
          <w:rFonts w:hint="default"/>
        </w:rPr>
      </w:pPr>
    </w:p>
    <w:p>
      <w:pPr>
        <w:pStyle w:val="7"/>
        <w:numPr>
          <w:ilvl w:val="0"/>
          <w:numId w:val="1"/>
        </w:numPr>
        <w:ind w:left="0" w:leftChars="0" w:firstLine="0" w:firstLineChars="0"/>
        <w:rPr>
          <w:rFonts w:ascii="黑体" w:hAnsi="黑体" w:eastAsia="黑体"/>
          <w:bCs/>
          <w:sz w:val="30"/>
          <w:szCs w:val="30"/>
        </w:rPr>
      </w:pPr>
      <w:r>
        <w:rPr>
          <w:rFonts w:hint="eastAsia" w:ascii="黑体" w:hAnsi="黑体" w:eastAsia="黑体"/>
          <w:bCs/>
          <w:sz w:val="30"/>
          <w:szCs w:val="30"/>
        </w:rPr>
        <w:t>下一步改进措施</w:t>
      </w:r>
    </w:p>
    <w:p>
      <w:pPr>
        <w:pStyle w:val="7"/>
        <w:ind w:left="0" w:leftChars="0" w:firstLine="600"/>
        <w:rPr>
          <w:rFonts w:ascii="仿宋_GB2312" w:eastAsia="仿宋_GB2312"/>
          <w:bCs/>
          <w:sz w:val="30"/>
          <w:szCs w:val="30"/>
        </w:rPr>
      </w:pPr>
      <w:r>
        <w:rPr>
          <w:rFonts w:hint="eastAsia" w:ascii="仿宋_GB2312" w:eastAsia="仿宋_GB2312"/>
          <w:bCs/>
          <w:sz w:val="30"/>
          <w:szCs w:val="30"/>
        </w:rPr>
        <w:t>加强预算支出管理，严格遵循“先有预算，后有支出”的原则，严格执行各项资金使用管理和内部控制制度。</w:t>
      </w:r>
    </w:p>
    <w:p/>
    <w:p>
      <w:pPr>
        <w:ind w:firstLine="3600" w:firstLineChars="1200"/>
        <w:rPr>
          <w:rFonts w:ascii="仿宋_GB2312" w:eastAsia="仿宋_GB2312"/>
          <w:bCs/>
          <w:sz w:val="30"/>
          <w:szCs w:val="30"/>
        </w:rPr>
      </w:pPr>
    </w:p>
    <w:p>
      <w:pPr>
        <w:ind w:firstLine="3600" w:firstLineChars="1200"/>
        <w:rPr>
          <w:rFonts w:ascii="仿宋_GB2312" w:eastAsia="仿宋_GB2312"/>
          <w:bCs/>
          <w:sz w:val="30"/>
          <w:szCs w:val="30"/>
        </w:rPr>
      </w:pPr>
    </w:p>
    <w:p>
      <w:pPr>
        <w:ind w:firstLine="4200" w:firstLineChars="1400"/>
        <w:rPr>
          <w:rFonts w:ascii="仿宋_GB2312" w:eastAsia="仿宋_GB2312"/>
          <w:bCs/>
          <w:sz w:val="30"/>
          <w:szCs w:val="30"/>
        </w:rPr>
      </w:pPr>
    </w:p>
    <w:p>
      <w:pPr>
        <w:ind w:firstLine="4200" w:firstLineChars="1400"/>
        <w:rPr>
          <w:rFonts w:ascii="仿宋_GB2312" w:eastAsia="仿宋_GB2312"/>
          <w:bCs/>
          <w:sz w:val="30"/>
          <w:szCs w:val="30"/>
        </w:rPr>
      </w:pPr>
    </w:p>
    <w:p>
      <w:pPr>
        <w:ind w:firstLine="4200" w:firstLineChars="1400"/>
        <w:rPr>
          <w:rFonts w:ascii="仿宋_GB2312" w:eastAsia="仿宋_GB2312"/>
          <w:bCs/>
          <w:sz w:val="30"/>
          <w:szCs w:val="30"/>
        </w:rPr>
      </w:pPr>
      <w:r>
        <w:rPr>
          <w:rFonts w:hint="eastAsia" w:ascii="仿宋_GB2312" w:eastAsia="仿宋_GB2312"/>
          <w:bCs/>
          <w:sz w:val="30"/>
          <w:szCs w:val="30"/>
        </w:rPr>
        <w:t>长沙市雨花区疾病预防控制中心</w:t>
      </w:r>
    </w:p>
    <w:p>
      <w:pPr>
        <w:pStyle w:val="7"/>
        <w:ind w:firstLine="600"/>
        <w:rPr>
          <w:rFonts w:ascii="仿宋_GB2312" w:eastAsia="仿宋_GB2312"/>
          <w:bCs/>
          <w:sz w:val="30"/>
          <w:szCs w:val="30"/>
        </w:rPr>
      </w:pPr>
      <w:r>
        <w:rPr>
          <w:rFonts w:hint="eastAsia" w:ascii="仿宋_GB2312" w:eastAsia="仿宋_GB2312"/>
          <w:bCs/>
          <w:sz w:val="30"/>
          <w:szCs w:val="30"/>
        </w:rPr>
        <w:t xml:space="preserve">                            2023年9月18日</w:t>
      </w:r>
    </w:p>
    <w:sectPr>
      <w:footerReference r:id="rId8" w:type="default"/>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joinstyle="miter"/>
          <v:imagedata o:title=""/>
          <o:lock v:ext="edit"/>
          <v:textbox inset="0mm,0mm,0mm,0mm" style="mso-fit-shape-to-text:t;">
            <w:txbxContent>
              <w:p>
                <w:pPr>
                  <w:pStyle w:val="4"/>
                  <w:rPr>
                    <w:rStyle w:val="10"/>
                  </w:rPr>
                </w:pPr>
                <w:r>
                  <w:fldChar w:fldCharType="begin"/>
                </w:r>
                <w:r>
                  <w:rPr>
                    <w:rStyle w:val="10"/>
                  </w:rPr>
                  <w:instrText xml:space="preserve">PAGE  </w:instrText>
                </w:r>
                <w:r>
                  <w:fldChar w:fldCharType="separate"/>
                </w:r>
                <w:r>
                  <w:rPr>
                    <w:rStyle w:val="10"/>
                  </w:rPr>
                  <w:t>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- 15 -</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1" o:spid="_x0000_s1027"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FQINMgBAACY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92V2&#10;pw9QY9N9wLY0vPND7pzygMkselDR5jfKIVhHb89Xb+WQiMgfrVfrdYUlgbX5gDjs4fMQIb2X3pIc&#10;NDTi5RVP+ekjpLF1bsnTnL/TxmCe18b9k0DMnGGZ+8gxR2nYDxPxvW/PqKfHe2+owzWnxHxwaGte&#10;kTmIc7Cfg2OI+tAhtWXhBeH2mJBE4ZYnjLDTYLywom5arrwRj8+l6+GH2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BUCDTIAQAAmA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w:t>
                </w:r>
                <w:r>
                  <w:rPr>
                    <w:sz w:val="18"/>
                  </w:rPr>
                  <w:t xml:space="preserve"> 14 -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F9D494"/>
    <w:multiLevelType w:val="singleLevel"/>
    <w:tmpl w:val="BCF9D49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hODYwZWUxMTcxZjZhODA4ZDZkOTI4Y2FmOThkY2QifQ=="/>
  </w:docVars>
  <w:rsids>
    <w:rsidRoot w:val="00172A27"/>
    <w:rsid w:val="0001290E"/>
    <w:rsid w:val="00035223"/>
    <w:rsid w:val="00041E0E"/>
    <w:rsid w:val="0005595C"/>
    <w:rsid w:val="00062B66"/>
    <w:rsid w:val="00071E05"/>
    <w:rsid w:val="00086723"/>
    <w:rsid w:val="00091AEA"/>
    <w:rsid w:val="000A2661"/>
    <w:rsid w:val="000A31CC"/>
    <w:rsid w:val="000B4ABE"/>
    <w:rsid w:val="000B5F78"/>
    <w:rsid w:val="000C60C1"/>
    <w:rsid w:val="000D0C87"/>
    <w:rsid w:val="00100DFA"/>
    <w:rsid w:val="001060B8"/>
    <w:rsid w:val="001120ED"/>
    <w:rsid w:val="00121EF2"/>
    <w:rsid w:val="0013476B"/>
    <w:rsid w:val="00142FF3"/>
    <w:rsid w:val="00152D26"/>
    <w:rsid w:val="0015352B"/>
    <w:rsid w:val="001536BF"/>
    <w:rsid w:val="00172A27"/>
    <w:rsid w:val="001811E2"/>
    <w:rsid w:val="00195D23"/>
    <w:rsid w:val="001B1AAB"/>
    <w:rsid w:val="001B35DF"/>
    <w:rsid w:val="001B6540"/>
    <w:rsid w:val="001C4596"/>
    <w:rsid w:val="001E2008"/>
    <w:rsid w:val="001E24B6"/>
    <w:rsid w:val="001E5815"/>
    <w:rsid w:val="001F7FA2"/>
    <w:rsid w:val="002069C7"/>
    <w:rsid w:val="00224779"/>
    <w:rsid w:val="00230663"/>
    <w:rsid w:val="002319F4"/>
    <w:rsid w:val="00247281"/>
    <w:rsid w:val="002C1A15"/>
    <w:rsid w:val="002C348C"/>
    <w:rsid w:val="002E3FED"/>
    <w:rsid w:val="002E736D"/>
    <w:rsid w:val="00330925"/>
    <w:rsid w:val="00340C5A"/>
    <w:rsid w:val="00342E5D"/>
    <w:rsid w:val="00362424"/>
    <w:rsid w:val="00364D66"/>
    <w:rsid w:val="00367CBD"/>
    <w:rsid w:val="00373E95"/>
    <w:rsid w:val="00375A9F"/>
    <w:rsid w:val="00376C12"/>
    <w:rsid w:val="00385D23"/>
    <w:rsid w:val="003A37E2"/>
    <w:rsid w:val="003E156E"/>
    <w:rsid w:val="003E222A"/>
    <w:rsid w:val="003F4EF4"/>
    <w:rsid w:val="003F56FF"/>
    <w:rsid w:val="0040358E"/>
    <w:rsid w:val="00412D0B"/>
    <w:rsid w:val="0041363E"/>
    <w:rsid w:val="00420905"/>
    <w:rsid w:val="00420B23"/>
    <w:rsid w:val="00421B02"/>
    <w:rsid w:val="00423745"/>
    <w:rsid w:val="00443640"/>
    <w:rsid w:val="004506F7"/>
    <w:rsid w:val="004C70D9"/>
    <w:rsid w:val="005114E5"/>
    <w:rsid w:val="00520550"/>
    <w:rsid w:val="00543F67"/>
    <w:rsid w:val="005467E6"/>
    <w:rsid w:val="005503F6"/>
    <w:rsid w:val="00566F51"/>
    <w:rsid w:val="00597015"/>
    <w:rsid w:val="005A21B9"/>
    <w:rsid w:val="005A276C"/>
    <w:rsid w:val="005A2D29"/>
    <w:rsid w:val="005C5E05"/>
    <w:rsid w:val="005E3654"/>
    <w:rsid w:val="005F4BEF"/>
    <w:rsid w:val="00613C37"/>
    <w:rsid w:val="00625904"/>
    <w:rsid w:val="00631457"/>
    <w:rsid w:val="00645B8D"/>
    <w:rsid w:val="00662671"/>
    <w:rsid w:val="0068695A"/>
    <w:rsid w:val="00691CBD"/>
    <w:rsid w:val="00691D45"/>
    <w:rsid w:val="006B5172"/>
    <w:rsid w:val="006C2FEE"/>
    <w:rsid w:val="006E005E"/>
    <w:rsid w:val="006E0723"/>
    <w:rsid w:val="006E3101"/>
    <w:rsid w:val="007012CE"/>
    <w:rsid w:val="007045A9"/>
    <w:rsid w:val="00733E80"/>
    <w:rsid w:val="00740E85"/>
    <w:rsid w:val="00747CC2"/>
    <w:rsid w:val="0079087C"/>
    <w:rsid w:val="00791E3C"/>
    <w:rsid w:val="007A7DEA"/>
    <w:rsid w:val="007B0B82"/>
    <w:rsid w:val="007D1D20"/>
    <w:rsid w:val="007D1D50"/>
    <w:rsid w:val="007D3BBB"/>
    <w:rsid w:val="008773A9"/>
    <w:rsid w:val="008819CA"/>
    <w:rsid w:val="00891B53"/>
    <w:rsid w:val="00896D58"/>
    <w:rsid w:val="008A7312"/>
    <w:rsid w:val="008B3CA9"/>
    <w:rsid w:val="008D40CA"/>
    <w:rsid w:val="008D73D0"/>
    <w:rsid w:val="008F08C3"/>
    <w:rsid w:val="008F29AC"/>
    <w:rsid w:val="008F685A"/>
    <w:rsid w:val="009007F6"/>
    <w:rsid w:val="009045EB"/>
    <w:rsid w:val="0093083A"/>
    <w:rsid w:val="0093357A"/>
    <w:rsid w:val="009479BA"/>
    <w:rsid w:val="009757A8"/>
    <w:rsid w:val="00997AC0"/>
    <w:rsid w:val="009A46DF"/>
    <w:rsid w:val="009A7F70"/>
    <w:rsid w:val="009B4815"/>
    <w:rsid w:val="009B4C52"/>
    <w:rsid w:val="009C682E"/>
    <w:rsid w:val="009D110C"/>
    <w:rsid w:val="009D12B9"/>
    <w:rsid w:val="009D287D"/>
    <w:rsid w:val="009D7F72"/>
    <w:rsid w:val="00A14A17"/>
    <w:rsid w:val="00A14B61"/>
    <w:rsid w:val="00A15E07"/>
    <w:rsid w:val="00A20EF7"/>
    <w:rsid w:val="00A269AA"/>
    <w:rsid w:val="00A30E40"/>
    <w:rsid w:val="00A368E1"/>
    <w:rsid w:val="00A4130A"/>
    <w:rsid w:val="00A53602"/>
    <w:rsid w:val="00A63EF1"/>
    <w:rsid w:val="00A76E0F"/>
    <w:rsid w:val="00A82E10"/>
    <w:rsid w:val="00AA490B"/>
    <w:rsid w:val="00AE458F"/>
    <w:rsid w:val="00B31FAD"/>
    <w:rsid w:val="00B37FEA"/>
    <w:rsid w:val="00B42E67"/>
    <w:rsid w:val="00B51EA4"/>
    <w:rsid w:val="00B71226"/>
    <w:rsid w:val="00B71F58"/>
    <w:rsid w:val="00B80B7E"/>
    <w:rsid w:val="00B81812"/>
    <w:rsid w:val="00B979CD"/>
    <w:rsid w:val="00BA3593"/>
    <w:rsid w:val="00BA613D"/>
    <w:rsid w:val="00BB1C75"/>
    <w:rsid w:val="00BB5D61"/>
    <w:rsid w:val="00BD2AF8"/>
    <w:rsid w:val="00BF2BC9"/>
    <w:rsid w:val="00BF4D19"/>
    <w:rsid w:val="00C059BC"/>
    <w:rsid w:val="00C16431"/>
    <w:rsid w:val="00C34A70"/>
    <w:rsid w:val="00C3796D"/>
    <w:rsid w:val="00C61A1F"/>
    <w:rsid w:val="00C6356A"/>
    <w:rsid w:val="00C771F4"/>
    <w:rsid w:val="00C8533D"/>
    <w:rsid w:val="00CB6E93"/>
    <w:rsid w:val="00CD014A"/>
    <w:rsid w:val="00CE01DB"/>
    <w:rsid w:val="00CE05D2"/>
    <w:rsid w:val="00D0142F"/>
    <w:rsid w:val="00D059FE"/>
    <w:rsid w:val="00D15B53"/>
    <w:rsid w:val="00D255B7"/>
    <w:rsid w:val="00D41222"/>
    <w:rsid w:val="00D516D7"/>
    <w:rsid w:val="00D64B9E"/>
    <w:rsid w:val="00D65E1A"/>
    <w:rsid w:val="00D70435"/>
    <w:rsid w:val="00D73ED5"/>
    <w:rsid w:val="00D92C0F"/>
    <w:rsid w:val="00D94CAC"/>
    <w:rsid w:val="00D9772E"/>
    <w:rsid w:val="00DA4154"/>
    <w:rsid w:val="00DA7341"/>
    <w:rsid w:val="00DB3593"/>
    <w:rsid w:val="00DE3D44"/>
    <w:rsid w:val="00DF4567"/>
    <w:rsid w:val="00DF5739"/>
    <w:rsid w:val="00E04712"/>
    <w:rsid w:val="00E20CE5"/>
    <w:rsid w:val="00E37ECC"/>
    <w:rsid w:val="00E41B90"/>
    <w:rsid w:val="00E43F8B"/>
    <w:rsid w:val="00E46A11"/>
    <w:rsid w:val="00E46F62"/>
    <w:rsid w:val="00E73270"/>
    <w:rsid w:val="00E86458"/>
    <w:rsid w:val="00E87B09"/>
    <w:rsid w:val="00E93502"/>
    <w:rsid w:val="00EA5026"/>
    <w:rsid w:val="00EB36F2"/>
    <w:rsid w:val="00EC3C01"/>
    <w:rsid w:val="00EC41AE"/>
    <w:rsid w:val="00EC7AD6"/>
    <w:rsid w:val="00ED1186"/>
    <w:rsid w:val="00ED1AA9"/>
    <w:rsid w:val="00ED2BE5"/>
    <w:rsid w:val="00EF2BFF"/>
    <w:rsid w:val="00F153FC"/>
    <w:rsid w:val="00F15BD6"/>
    <w:rsid w:val="00F325BE"/>
    <w:rsid w:val="00F34520"/>
    <w:rsid w:val="00F44247"/>
    <w:rsid w:val="00F750A5"/>
    <w:rsid w:val="00F86215"/>
    <w:rsid w:val="00F95B70"/>
    <w:rsid w:val="00FA3583"/>
    <w:rsid w:val="00FA4AE9"/>
    <w:rsid w:val="00FA7E1A"/>
    <w:rsid w:val="00FD5B8D"/>
    <w:rsid w:val="00FD62C1"/>
    <w:rsid w:val="00FF6C7B"/>
    <w:rsid w:val="024214D1"/>
    <w:rsid w:val="04FD1141"/>
    <w:rsid w:val="05A53438"/>
    <w:rsid w:val="05F84521"/>
    <w:rsid w:val="07D35177"/>
    <w:rsid w:val="0A4C5DEF"/>
    <w:rsid w:val="0C0728DE"/>
    <w:rsid w:val="0F2C070E"/>
    <w:rsid w:val="0FA224B6"/>
    <w:rsid w:val="1017039E"/>
    <w:rsid w:val="10B172A6"/>
    <w:rsid w:val="10B77C25"/>
    <w:rsid w:val="10C60BFB"/>
    <w:rsid w:val="110274F6"/>
    <w:rsid w:val="11524A6A"/>
    <w:rsid w:val="11E332EA"/>
    <w:rsid w:val="12A03F80"/>
    <w:rsid w:val="16A6046E"/>
    <w:rsid w:val="171F3398"/>
    <w:rsid w:val="18BE4714"/>
    <w:rsid w:val="1C392136"/>
    <w:rsid w:val="22D96D8E"/>
    <w:rsid w:val="24A470CE"/>
    <w:rsid w:val="24ED2427"/>
    <w:rsid w:val="27AA643B"/>
    <w:rsid w:val="2AA74984"/>
    <w:rsid w:val="2D1C141C"/>
    <w:rsid w:val="2E0918C1"/>
    <w:rsid w:val="32D8502F"/>
    <w:rsid w:val="36B3488A"/>
    <w:rsid w:val="37323D4B"/>
    <w:rsid w:val="39A425C0"/>
    <w:rsid w:val="40C72592"/>
    <w:rsid w:val="416426F9"/>
    <w:rsid w:val="43F4174B"/>
    <w:rsid w:val="4AEE2BE4"/>
    <w:rsid w:val="4E226167"/>
    <w:rsid w:val="4F177BD7"/>
    <w:rsid w:val="535C20DA"/>
    <w:rsid w:val="5811005E"/>
    <w:rsid w:val="59BF76AE"/>
    <w:rsid w:val="5AC94F35"/>
    <w:rsid w:val="5B360AF1"/>
    <w:rsid w:val="5C5E71F5"/>
    <w:rsid w:val="5DF2736E"/>
    <w:rsid w:val="5EA878BC"/>
    <w:rsid w:val="60C433CA"/>
    <w:rsid w:val="61703ECB"/>
    <w:rsid w:val="66681294"/>
    <w:rsid w:val="68512F5E"/>
    <w:rsid w:val="6D994913"/>
    <w:rsid w:val="6E7E3D9B"/>
    <w:rsid w:val="6EEF2822"/>
    <w:rsid w:val="6F2C654E"/>
    <w:rsid w:val="7437194E"/>
    <w:rsid w:val="773C5944"/>
    <w:rsid w:val="78E2263C"/>
    <w:rsid w:val="790E61E5"/>
    <w:rsid w:val="7A052C0D"/>
    <w:rsid w:val="7B677910"/>
    <w:rsid w:val="7B9076E4"/>
    <w:rsid w:val="7BD45A2B"/>
    <w:rsid w:val="7CAC6759"/>
    <w:rsid w:val="7CE8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next w:val="1"/>
    <w:link w:val="18"/>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link w:val="19"/>
    <w:unhideWhenUsed/>
    <w:qFormat/>
    <w:uiPriority w:val="99"/>
    <w:pPr>
      <w:ind w:firstLine="420" w:firstLineChars="200"/>
    </w:pPr>
  </w:style>
  <w:style w:type="character" w:styleId="10">
    <w:name w:val="page number"/>
    <w:basedOn w:val="9"/>
    <w:qFormat/>
    <w:uiPriority w:val="0"/>
  </w:style>
  <w:style w:type="character" w:customStyle="1" w:styleId="11">
    <w:name w:val="font11"/>
    <w:basedOn w:val="9"/>
    <w:qFormat/>
    <w:uiPriority w:val="0"/>
    <w:rPr>
      <w:rFonts w:hint="default" w:ascii="Times New Roman" w:hAnsi="Times New Roman" w:cs="Times New Roman"/>
      <w:color w:val="FF0000"/>
      <w:sz w:val="18"/>
      <w:szCs w:val="18"/>
      <w:u w:val="none"/>
    </w:rPr>
  </w:style>
  <w:style w:type="character" w:customStyle="1" w:styleId="12">
    <w:name w:val="font31"/>
    <w:basedOn w:val="9"/>
    <w:qFormat/>
    <w:uiPriority w:val="0"/>
    <w:rPr>
      <w:rFonts w:hint="default" w:ascii="Times New Roman" w:hAnsi="Times New Roman" w:cs="Times New Roman"/>
      <w:color w:val="000000"/>
      <w:sz w:val="18"/>
      <w:szCs w:val="18"/>
      <w:u w:val="none"/>
    </w:rPr>
  </w:style>
  <w:style w:type="character" w:customStyle="1" w:styleId="13">
    <w:name w:val="font21"/>
    <w:basedOn w:val="9"/>
    <w:qFormat/>
    <w:uiPriority w:val="0"/>
    <w:rPr>
      <w:rFonts w:hint="eastAsia" w:ascii="宋体" w:hAnsi="宋体" w:eastAsia="宋体" w:cs="宋体"/>
      <w:color w:val="FF0000"/>
      <w:sz w:val="18"/>
      <w:szCs w:val="18"/>
      <w:u w:val="none"/>
    </w:rPr>
  </w:style>
  <w:style w:type="character" w:customStyle="1" w:styleId="14">
    <w:name w:val="font41"/>
    <w:basedOn w:val="9"/>
    <w:qFormat/>
    <w:uiPriority w:val="0"/>
    <w:rPr>
      <w:rFonts w:hint="eastAsia" w:ascii="宋体" w:hAnsi="宋体" w:eastAsia="宋体" w:cs="宋体"/>
      <w:color w:val="000000"/>
      <w:sz w:val="18"/>
      <w:szCs w:val="18"/>
      <w:u w:val="none"/>
    </w:rPr>
  </w:style>
  <w:style w:type="paragraph" w:styleId="15">
    <w:name w:val="List Paragraph"/>
    <w:basedOn w:val="1"/>
    <w:qFormat/>
    <w:uiPriority w:val="99"/>
    <w:pPr>
      <w:ind w:firstLine="420" w:firstLineChars="200"/>
    </w:pPr>
    <w:rPr>
      <w:rFonts w:ascii="Calibri" w:hAnsi="Calibri"/>
      <w:szCs w:val="22"/>
    </w:rPr>
  </w:style>
  <w:style w:type="paragraph" w:customStyle="1" w:styleId="16">
    <w:name w:val="p0"/>
    <w:basedOn w:val="1"/>
    <w:qFormat/>
    <w:uiPriority w:val="0"/>
    <w:pPr>
      <w:widowControl/>
    </w:pPr>
    <w:rPr>
      <w:kern w:val="0"/>
      <w:sz w:val="32"/>
      <w:szCs w:val="32"/>
    </w:rPr>
  </w:style>
  <w:style w:type="paragraph" w:customStyle="1" w:styleId="17">
    <w:name w:val="Char Char Char Char Char Char"/>
    <w:basedOn w:val="1"/>
    <w:qFormat/>
    <w:uiPriority w:val="0"/>
    <w:pPr>
      <w:adjustRightInd w:val="0"/>
    </w:pPr>
    <w:rPr>
      <w:rFonts w:ascii="Tahoma" w:hAnsi="Tahoma"/>
      <w:sz w:val="24"/>
      <w:szCs w:val="20"/>
    </w:rPr>
  </w:style>
  <w:style w:type="character" w:customStyle="1" w:styleId="18">
    <w:name w:val="正文文本缩进 Char"/>
    <w:basedOn w:val="9"/>
    <w:link w:val="3"/>
    <w:qFormat/>
    <w:uiPriority w:val="0"/>
    <w:rPr>
      <w:kern w:val="2"/>
      <w:sz w:val="21"/>
      <w:szCs w:val="24"/>
    </w:rPr>
  </w:style>
  <w:style w:type="character" w:customStyle="1" w:styleId="19">
    <w:name w:val="正文首行缩进 2 Char"/>
    <w:basedOn w:val="18"/>
    <w:link w:val="7"/>
    <w:qFormat/>
    <w:uiPriority w:val="99"/>
  </w:style>
  <w:style w:type="paragraph" w:customStyle="1" w:styleId="2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14</Pages>
  <Words>6902</Words>
  <Characters>7563</Characters>
  <Lines>59</Lines>
  <Paragraphs>16</Paragraphs>
  <TotalTime>104</TotalTime>
  <ScaleCrop>false</ScaleCrop>
  <LinksUpToDate>false</LinksUpToDate>
  <CharactersWithSpaces>8062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2021-10-15T05:38:00Z</dcterms:created>
  <dc:creator>微软中国</dc:creator>
  <cp:lastModifiedBy>Administrator</cp:lastModifiedBy>
  <cp:lastPrinted>2023-09-20T05:10:00Z</cp:lastPrinted>
  <dcterms:modified xsi:type="dcterms:W3CDTF">2023-09-22T03:43:54Z</dcterms:modified>
  <dc:title>雨财发【2014】  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849727749B004EC98E209F0626C78B0A</vt:lpwstr>
  </property>
</Properties>
</file>