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简体"/>
          <w:kern w:val="0"/>
          <w:sz w:val="44"/>
          <w:szCs w:val="44"/>
        </w:rPr>
      </w:pPr>
      <w:r>
        <w:rPr>
          <w:rFonts w:eastAsia="方正小标宋简体"/>
          <w:kern w:val="0"/>
          <w:sz w:val="44"/>
          <w:szCs w:val="44"/>
        </w:rPr>
        <w:t>部门整体支出绩效自评基础数据表</w:t>
      </w:r>
    </w:p>
    <w:p>
      <w:pPr>
        <w:widowControl/>
        <w:tabs>
          <w:tab w:val="left" w:pos="3611"/>
          <w:tab w:val="left" w:pos="4791"/>
          <w:tab w:val="left" w:pos="5951"/>
          <w:tab w:val="left" w:pos="7071"/>
          <w:tab w:val="left" w:pos="8191"/>
          <w:tab w:val="left" w:pos="9311"/>
        </w:tabs>
        <w:ind w:left="91"/>
        <w:jc w:val="left"/>
        <w:rPr>
          <w:rFonts w:eastAsia="楷体_GB2312"/>
          <w:bCs/>
          <w:kern w:val="0"/>
          <w:sz w:val="24"/>
        </w:rPr>
      </w:pPr>
      <w:r>
        <w:rPr>
          <w:rFonts w:eastAsia="楷体_GB2312"/>
          <w:b/>
          <w:bCs/>
          <w:kern w:val="0"/>
          <w:sz w:val="24"/>
        </w:rPr>
        <w:t>填报单位：</w:t>
      </w:r>
      <w:r>
        <w:rPr>
          <w:rFonts w:hint="eastAsia" w:eastAsia="楷体_GB2312"/>
          <w:bCs/>
          <w:kern w:val="0"/>
          <w:sz w:val="24"/>
        </w:rPr>
        <w:t>长沙市雨花区疾病预防控制中心                    单位：万元</w:t>
      </w:r>
    </w:p>
    <w:tbl>
      <w:tblPr>
        <w:tblStyle w:val="7"/>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eastAsia="黑体"/>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编制数</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2020年实际在职人数</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r>
              <w:rPr>
                <w:rFonts w:hint="eastAsia"/>
                <w:kern w:val="0"/>
                <w:sz w:val="20"/>
                <w:szCs w:val="20"/>
              </w:rPr>
              <w:t>40</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r>
              <w:rPr>
                <w:rFonts w:hint="eastAsia"/>
                <w:kern w:val="0"/>
                <w:sz w:val="20"/>
                <w:szCs w:val="20"/>
              </w:rPr>
              <w:t>34</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r>
              <w:rPr>
                <w:rFonts w:hint="eastAsia"/>
                <w:kern w:val="0"/>
                <w:sz w:val="20"/>
                <w:szCs w:val="20"/>
              </w:rPr>
              <w:t>85﹪</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eastAsia="黑体"/>
                <w:kern w:val="0"/>
                <w:sz w:val="20"/>
                <w:szCs w:val="20"/>
              </w:rPr>
              <w:t>2019年决算数</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eastAsia="黑体"/>
                <w:kern w:val="0"/>
                <w:sz w:val="20"/>
                <w:szCs w:val="20"/>
              </w:rPr>
              <w:t>2020年预算数</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eastAsia="黑体"/>
                <w:kern w:val="0"/>
                <w:sz w:val="20"/>
                <w:szCs w:val="20"/>
              </w:rPr>
              <w:t>2020年决算数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16.6</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15.85</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8.66</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16</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14.85</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8.57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16</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14.85</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8.57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0.6</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1</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0.09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4789</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182</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9112.29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4789</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182</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 xml:space="preserve">  9112.29</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 xml:space="preserve">  79</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82.33</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63.55</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9</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 xml:space="preserve"> 27</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26.92</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 xml:space="preserve"> 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3</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 xml:space="preserve"> 4</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0.06</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105.32</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672.35</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1319.42</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10348.66</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楼堂馆所控制情况</w:t>
            </w:r>
            <w:r>
              <w:rPr>
                <w:kern w:val="0"/>
                <w:sz w:val="20"/>
                <w:szCs w:val="20"/>
              </w:rPr>
              <w:br w:type="textWrapping"/>
            </w:r>
            <w:r>
              <w:rPr>
                <w:kern w:val="0"/>
                <w:sz w:val="20"/>
                <w:szCs w:val="20"/>
              </w:rPr>
              <w:t>（2020年完工项目）</w:t>
            </w:r>
          </w:p>
        </w:tc>
        <w:tc>
          <w:tcPr>
            <w:tcW w:w="1014"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批复规模</w:t>
            </w:r>
            <w:r>
              <w:rPr>
                <w:kern w:val="0"/>
                <w:sz w:val="20"/>
                <w:szCs w:val="20"/>
              </w:rPr>
              <w:br w:type="textWrapping"/>
            </w:r>
            <w:r>
              <w:rPr>
                <w:kern w:val="0"/>
                <w:sz w:val="20"/>
                <w:szCs w:val="20"/>
              </w:rPr>
              <w:t>（㎡）</w:t>
            </w:r>
          </w:p>
        </w:tc>
        <w:tc>
          <w:tcPr>
            <w:tcW w:w="805"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实际</w:t>
            </w:r>
          </w:p>
          <w:p>
            <w:pPr>
              <w:widowControl/>
              <w:jc w:val="center"/>
              <w:rPr>
                <w:kern w:val="0"/>
                <w:sz w:val="20"/>
                <w:szCs w:val="20"/>
              </w:rPr>
            </w:pPr>
            <w:r>
              <w:rPr>
                <w:kern w:val="0"/>
                <w:sz w:val="20"/>
                <w:szCs w:val="20"/>
              </w:rPr>
              <w:t>规模</w:t>
            </w:r>
            <w:r>
              <w:rPr>
                <w:kern w:val="0"/>
                <w:sz w:val="20"/>
                <w:szCs w:val="20"/>
              </w:rPr>
              <w:br w:type="textWrapping"/>
            </w:r>
            <w:r>
              <w:rPr>
                <w:kern w:val="0"/>
                <w:sz w:val="20"/>
                <w:szCs w:val="20"/>
              </w:rPr>
              <w:t>（㎡）</w:t>
            </w:r>
          </w:p>
        </w:tc>
        <w:tc>
          <w:tcPr>
            <w:tcW w:w="1296"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规模控制率</w:t>
            </w:r>
          </w:p>
        </w:tc>
        <w:tc>
          <w:tcPr>
            <w:tcW w:w="1089"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预算投资</w:t>
            </w:r>
            <w:r>
              <w:rPr>
                <w:kern w:val="0"/>
                <w:sz w:val="20"/>
                <w:szCs w:val="20"/>
              </w:rPr>
              <w:br w:type="textWrapping"/>
            </w:r>
            <w:r>
              <w:rPr>
                <w:kern w:val="0"/>
                <w:sz w:val="20"/>
                <w:szCs w:val="20"/>
              </w:rPr>
              <w:t>（万元）</w:t>
            </w:r>
          </w:p>
        </w:tc>
        <w:tc>
          <w:tcPr>
            <w:tcW w:w="949"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实际</w:t>
            </w:r>
          </w:p>
          <w:p>
            <w:pPr>
              <w:widowControl/>
              <w:jc w:val="center"/>
              <w:rPr>
                <w:kern w:val="0"/>
                <w:sz w:val="20"/>
                <w:szCs w:val="20"/>
              </w:rPr>
            </w:pPr>
            <w:r>
              <w:rPr>
                <w:kern w:val="0"/>
                <w:sz w:val="20"/>
                <w:szCs w:val="20"/>
              </w:rPr>
              <w:t>投资</w:t>
            </w:r>
            <w:r>
              <w:rPr>
                <w:kern w:val="0"/>
                <w:sz w:val="20"/>
                <w:szCs w:val="20"/>
              </w:rPr>
              <w:br w:type="textWrapping"/>
            </w:r>
            <w:r>
              <w:rPr>
                <w:kern w:val="0"/>
                <w:sz w:val="20"/>
                <w:szCs w:val="20"/>
              </w:rPr>
              <w:t>（万元）</w:t>
            </w:r>
          </w:p>
        </w:tc>
        <w:tc>
          <w:tcPr>
            <w:tcW w:w="978"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投资</w:t>
            </w:r>
          </w:p>
          <w:p>
            <w:pPr>
              <w:widowControl/>
              <w:jc w:val="center"/>
              <w:rPr>
                <w:kern w:val="0"/>
                <w:sz w:val="20"/>
                <w:szCs w:val="20"/>
              </w:rPr>
            </w:pPr>
            <w:r>
              <w:rPr>
                <w:kern w:val="0"/>
                <w:sz w:val="20"/>
                <w:szCs w:val="20"/>
              </w:rPr>
              <w:t>概算</w:t>
            </w:r>
          </w:p>
          <w:p>
            <w:pPr>
              <w:widowControl/>
              <w:jc w:val="center"/>
              <w:rPr>
                <w:kern w:val="0"/>
                <w:sz w:val="20"/>
                <w:szCs w:val="20"/>
              </w:rPr>
            </w:pPr>
            <w:r>
              <w:rPr>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c>
          <w:tcPr>
            <w:tcW w:w="805"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r>
              <w:rPr>
                <w:rFonts w:hint="eastAsia"/>
                <w:kern w:val="0"/>
                <w:sz w:val="20"/>
                <w:szCs w:val="20"/>
              </w:rPr>
              <w:t>0</w:t>
            </w:r>
          </w:p>
        </w:tc>
        <w:tc>
          <w:tcPr>
            <w:tcW w:w="1296"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r>
              <w:rPr>
                <w:rFonts w:hint="eastAsia"/>
                <w:kern w:val="0"/>
                <w:sz w:val="20"/>
                <w:szCs w:val="20"/>
              </w:rPr>
              <w:t>0</w:t>
            </w:r>
          </w:p>
        </w:tc>
        <w:tc>
          <w:tcPr>
            <w:tcW w:w="1089"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r>
              <w:rPr>
                <w:rFonts w:hint="eastAsia"/>
                <w:kern w:val="0"/>
                <w:sz w:val="20"/>
                <w:szCs w:val="20"/>
              </w:rPr>
              <w:t>0</w:t>
            </w:r>
          </w:p>
        </w:tc>
        <w:tc>
          <w:tcPr>
            <w:tcW w:w="949"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r>
              <w:rPr>
                <w:rFonts w:hint="eastAsia"/>
                <w:kern w:val="0"/>
                <w:sz w:val="20"/>
                <w:szCs w:val="20"/>
              </w:rPr>
              <w:t>0</w:t>
            </w:r>
          </w:p>
        </w:tc>
        <w:tc>
          <w:tcPr>
            <w:tcW w:w="978" w:type="dxa"/>
            <w:tcBorders>
              <w:top w:val="nil"/>
              <w:left w:val="nil"/>
              <w:bottom w:val="single" w:color="auto" w:sz="4" w:space="0"/>
              <w:right w:val="single" w:color="auto" w:sz="4" w:space="0"/>
            </w:tcBorders>
            <w:vAlign w:val="center"/>
          </w:tcPr>
          <w:p>
            <w:pPr>
              <w:widowControl/>
              <w:jc w:val="left"/>
              <w:rPr>
                <w:kern w:val="0"/>
                <w:sz w:val="20"/>
                <w:szCs w:val="20"/>
              </w:rPr>
            </w:pPr>
            <w:r>
              <w:rPr>
                <w:rFonts w:hint="eastAsia"/>
                <w:kern w:val="0"/>
                <w:sz w:val="20"/>
                <w:szCs w:val="20"/>
              </w:rPr>
              <w:t xml:space="preserve"> </w:t>
            </w:r>
            <w:r>
              <w:rPr>
                <w:kern w:val="0"/>
                <w:sz w:val="20"/>
                <w:szCs w:val="20"/>
              </w:rPr>
              <w:t>　</w:t>
            </w:r>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勤俭节约，压缩非刚需支出</w:t>
            </w:r>
          </w:p>
        </w:tc>
      </w:tr>
    </w:tbl>
    <w:p>
      <w:pPr>
        <w:spacing w:beforeLines="50" w:line="300" w:lineRule="exact"/>
        <w:ind w:left="720" w:hanging="720" w:hangingChars="300"/>
        <w:rPr>
          <w:rFonts w:eastAsia="楷体_GB2312"/>
          <w:sz w:val="24"/>
        </w:rPr>
      </w:pPr>
      <w:r>
        <w:rPr>
          <w:rFonts w:eastAsia="楷体_GB2312"/>
          <w:kern w:val="0"/>
          <w:sz w:val="24"/>
        </w:rPr>
        <w:t>说明：“项目支出”需要填报除公共专项资金和基本支出以外的所有项目情况，包括业务工作项目、运行维护项目等；“公用经费”填报基本支出中的一般商品和服务支出。</w:t>
      </w:r>
      <w:r>
        <w:rPr>
          <w:rFonts w:eastAsia="楷体_GB2312"/>
          <w:sz w:val="24"/>
        </w:rPr>
        <w:t xml:space="preserve"> </w:t>
      </w:r>
    </w:p>
    <w:p>
      <w:pPr>
        <w:spacing w:line="600" w:lineRule="exact"/>
        <w:rPr>
          <w:rFonts w:eastAsia="黑体"/>
          <w:kern w:val="0"/>
          <w:sz w:val="32"/>
          <w:szCs w:val="32"/>
        </w:rPr>
      </w:pPr>
    </w:p>
    <w:p>
      <w:pPr>
        <w:spacing w:line="600" w:lineRule="exact"/>
        <w:rPr>
          <w:rFonts w:eastAsia="方正小标宋_GBK"/>
          <w:kern w:val="0"/>
          <w:sz w:val="36"/>
          <w:szCs w:val="36"/>
        </w:rPr>
      </w:pPr>
      <w:r>
        <w:rPr>
          <w:rFonts w:eastAsia="黑体"/>
          <w:kern w:val="0"/>
          <w:sz w:val="32"/>
          <w:szCs w:val="32"/>
        </w:rPr>
        <w:t>附件</w:t>
      </w:r>
      <w:r>
        <w:rPr>
          <w:rFonts w:hint="eastAsia" w:eastAsia="黑体"/>
          <w:kern w:val="0"/>
          <w:sz w:val="32"/>
          <w:szCs w:val="32"/>
        </w:rPr>
        <w:t>2</w:t>
      </w:r>
    </w:p>
    <w:p>
      <w:pPr>
        <w:widowControl/>
        <w:ind w:left="91"/>
        <w:jc w:val="center"/>
        <w:rPr>
          <w:rFonts w:eastAsia="方正小标宋简体"/>
          <w:kern w:val="0"/>
          <w:sz w:val="44"/>
          <w:szCs w:val="44"/>
        </w:rPr>
      </w:pPr>
      <w:r>
        <w:rPr>
          <w:rFonts w:eastAsia="方正小标宋简体"/>
          <w:kern w:val="0"/>
          <w:sz w:val="44"/>
          <w:szCs w:val="44"/>
        </w:rPr>
        <w:t>部门整体支出绩效自评表</w:t>
      </w:r>
    </w:p>
    <w:tbl>
      <w:tblPr>
        <w:tblStyle w:val="7"/>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59"/>
        <w:gridCol w:w="739"/>
        <w:gridCol w:w="832"/>
        <w:gridCol w:w="330"/>
        <w:gridCol w:w="2986"/>
        <w:gridCol w:w="3311"/>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一级</w:t>
            </w:r>
            <w:r>
              <w:rPr>
                <w:rFonts w:eastAsia="黑体"/>
                <w:color w:val="000000"/>
                <w:kern w:val="0"/>
                <w:sz w:val="20"/>
                <w:szCs w:val="20"/>
              </w:rPr>
              <w:br w:type="textWrapping"/>
            </w:r>
            <w:r>
              <w:rPr>
                <w:rFonts w:eastAsia="黑体"/>
                <w:color w:val="000000"/>
                <w:kern w:val="0"/>
                <w:sz w:val="20"/>
                <w:szCs w:val="20"/>
              </w:rPr>
              <w:t>指标</w:t>
            </w:r>
          </w:p>
        </w:tc>
        <w:tc>
          <w:tcPr>
            <w:tcW w:w="373"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二级</w:t>
            </w:r>
            <w:r>
              <w:rPr>
                <w:rFonts w:eastAsia="黑体"/>
                <w:color w:val="000000"/>
                <w:kern w:val="0"/>
                <w:sz w:val="20"/>
                <w:szCs w:val="20"/>
              </w:rPr>
              <w:br w:type="textWrapping"/>
            </w:r>
            <w:r>
              <w:rPr>
                <w:rFonts w:eastAsia="黑体"/>
                <w:color w:val="000000"/>
                <w:kern w:val="0"/>
                <w:sz w:val="20"/>
                <w:szCs w:val="20"/>
              </w:rPr>
              <w:t>指标</w:t>
            </w:r>
          </w:p>
        </w:tc>
        <w:tc>
          <w:tcPr>
            <w:tcW w:w="420"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eastAsia="黑体"/>
                <w:color w:val="000000"/>
                <w:kern w:val="0"/>
                <w:sz w:val="20"/>
                <w:szCs w:val="20"/>
              </w:rPr>
              <w:t>三级</w:t>
            </w:r>
          </w:p>
          <w:p>
            <w:pPr>
              <w:widowControl/>
              <w:spacing w:line="280" w:lineRule="exact"/>
              <w:jc w:val="center"/>
              <w:textAlignment w:val="center"/>
              <w:rPr>
                <w:rFonts w:eastAsia="黑体"/>
                <w:color w:val="000000"/>
                <w:sz w:val="20"/>
                <w:szCs w:val="20"/>
              </w:rPr>
            </w:pPr>
            <w:r>
              <w:rPr>
                <w:rFonts w:eastAsia="黑体"/>
                <w:color w:val="000000"/>
                <w:kern w:val="0"/>
                <w:sz w:val="20"/>
                <w:szCs w:val="20"/>
              </w:rPr>
              <w:t>指标</w:t>
            </w:r>
          </w:p>
        </w:tc>
        <w:tc>
          <w:tcPr>
            <w:tcW w:w="166"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分值</w:t>
            </w:r>
          </w:p>
        </w:tc>
        <w:tc>
          <w:tcPr>
            <w:tcW w:w="1507"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评分要点</w:t>
            </w:r>
          </w:p>
        </w:tc>
        <w:tc>
          <w:tcPr>
            <w:tcW w:w="1671"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评分标准</w:t>
            </w:r>
          </w:p>
        </w:tc>
        <w:tc>
          <w:tcPr>
            <w:tcW w:w="477"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hint="eastAsia" w:eastAsia="黑体"/>
                <w:color w:val="000000"/>
                <w:kern w:val="0"/>
                <w:sz w:val="20"/>
                <w:szCs w:val="2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tcMar>
              <w:top w:w="15" w:type="dxa"/>
              <w:left w:w="15" w:type="dxa"/>
              <w:right w:w="15" w:type="dxa"/>
            </w:tcMar>
            <w:vAlign w:val="center"/>
          </w:tcPr>
          <w:p>
            <w:pPr>
              <w:widowControl/>
              <w:spacing w:line="270" w:lineRule="exact"/>
              <w:jc w:val="center"/>
              <w:textAlignment w:val="center"/>
              <w:rPr>
                <w:color w:val="000000"/>
                <w:sz w:val="20"/>
                <w:szCs w:val="20"/>
              </w:rPr>
            </w:pPr>
            <w:r>
              <w:rPr>
                <w:rStyle w:val="13"/>
                <w:rFonts w:hint="default" w:ascii="Times New Roman" w:hAnsi="Times New Roman" w:cs="Times New Roman"/>
                <w:sz w:val="20"/>
                <w:szCs w:val="20"/>
              </w:rPr>
              <w:t>投入</w:t>
            </w:r>
            <w:r>
              <w:rPr>
                <w:rStyle w:val="11"/>
                <w:sz w:val="20"/>
                <w:szCs w:val="20"/>
              </w:rPr>
              <w:br w:type="textWrapping"/>
            </w:r>
            <w:r>
              <w:rPr>
                <w:rStyle w:val="13"/>
                <w:rFonts w:hint="default" w:ascii="Times New Roman" w:hAnsi="Times New Roman" w:cs="Times New Roman"/>
                <w:sz w:val="20"/>
                <w:szCs w:val="20"/>
              </w:rPr>
              <w:t>（10分）</w:t>
            </w:r>
          </w:p>
        </w:tc>
        <w:tc>
          <w:tcPr>
            <w:tcW w:w="373" w:type="pct"/>
            <w:vMerge w:val="restart"/>
            <w:tcMar>
              <w:top w:w="15" w:type="dxa"/>
              <w:left w:w="15" w:type="dxa"/>
              <w:right w:w="15" w:type="dxa"/>
            </w:tcMar>
            <w:vAlign w:val="center"/>
          </w:tcPr>
          <w:p>
            <w:pPr>
              <w:widowControl/>
              <w:spacing w:line="270" w:lineRule="exact"/>
              <w:jc w:val="center"/>
              <w:textAlignment w:val="center"/>
              <w:rPr>
                <w:color w:val="000000"/>
                <w:sz w:val="20"/>
                <w:szCs w:val="20"/>
              </w:rPr>
            </w:pPr>
            <w:r>
              <w:rPr>
                <w:rStyle w:val="13"/>
                <w:rFonts w:hint="default" w:ascii="Times New Roman" w:hAnsi="Times New Roman" w:cs="Times New Roman"/>
                <w:sz w:val="20"/>
                <w:szCs w:val="20"/>
              </w:rPr>
              <w:t>目标</w:t>
            </w:r>
            <w:r>
              <w:rPr>
                <w:rStyle w:val="11"/>
                <w:sz w:val="20"/>
                <w:szCs w:val="20"/>
              </w:rPr>
              <w:br w:type="textWrapping"/>
            </w:r>
            <w:r>
              <w:rPr>
                <w:rStyle w:val="13"/>
                <w:rFonts w:hint="default" w:ascii="Times New Roman" w:hAnsi="Times New Roman" w:cs="Times New Roman"/>
                <w:sz w:val="20"/>
                <w:szCs w:val="20"/>
              </w:rPr>
              <w:t>设定</w:t>
            </w:r>
            <w:r>
              <w:rPr>
                <w:rStyle w:val="11"/>
                <w:sz w:val="20"/>
                <w:szCs w:val="20"/>
              </w:rPr>
              <w:br w:type="textWrapping"/>
            </w:r>
            <w:r>
              <w:rPr>
                <w:rStyle w:val="13"/>
                <w:rFonts w:hint="default" w:ascii="Times New Roman" w:hAnsi="Times New Roman" w:cs="Times New Roman"/>
                <w:sz w:val="20"/>
                <w:szCs w:val="20"/>
              </w:rPr>
              <w:t>（</w:t>
            </w:r>
            <w:r>
              <w:rPr>
                <w:rStyle w:val="11"/>
                <w:sz w:val="20"/>
                <w:szCs w:val="20"/>
              </w:rPr>
              <w:t>6</w:t>
            </w:r>
            <w:r>
              <w:rPr>
                <w:rStyle w:val="13"/>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13"/>
                <w:rFonts w:hint="default" w:ascii="Times New Roman" w:hAnsi="Times New Roman" w:cs="Times New Roman"/>
                <w:sz w:val="20"/>
                <w:szCs w:val="20"/>
              </w:rPr>
              <w:t>绩效目标</w:t>
            </w:r>
            <w:r>
              <w:rPr>
                <w:rStyle w:val="11"/>
                <w:sz w:val="20"/>
                <w:szCs w:val="20"/>
              </w:rPr>
              <w:br w:type="textWrapping"/>
            </w:r>
            <w:r>
              <w:rPr>
                <w:rStyle w:val="13"/>
                <w:rFonts w:hint="default" w:ascii="Times New Roman" w:hAnsi="Times New Roman" w:cs="Times New Roman"/>
                <w:sz w:val="20"/>
                <w:szCs w:val="20"/>
              </w:rPr>
              <w:t>合理性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13"/>
                <w:rFonts w:hint="default" w:ascii="Times New Roman" w:hAnsi="Times New Roman" w:cs="Times New Roman"/>
                <w:sz w:val="20"/>
                <w:szCs w:val="20"/>
              </w:rPr>
              <w:t>①是否符合国家法律法规、国民经济和社会发展总体规划；</w:t>
            </w:r>
            <w:r>
              <w:rPr>
                <w:rStyle w:val="11"/>
                <w:sz w:val="20"/>
                <w:szCs w:val="20"/>
              </w:rPr>
              <w:br w:type="textWrapping"/>
            </w:r>
            <w:r>
              <w:rPr>
                <w:rStyle w:val="13"/>
                <w:rFonts w:hint="default" w:ascii="Times New Roman" w:hAnsi="Times New Roman" w:cs="Times New Roman"/>
                <w:sz w:val="20"/>
                <w:szCs w:val="20"/>
              </w:rPr>
              <w:t>②是否符合部门</w:t>
            </w:r>
            <w:r>
              <w:rPr>
                <w:rStyle w:val="11"/>
                <w:sz w:val="20"/>
                <w:szCs w:val="20"/>
              </w:rPr>
              <w:t>“</w:t>
            </w:r>
            <w:r>
              <w:rPr>
                <w:rStyle w:val="13"/>
                <w:rFonts w:hint="default" w:ascii="Times New Roman" w:hAnsi="Times New Roman" w:cs="Times New Roman"/>
                <w:sz w:val="20"/>
                <w:szCs w:val="20"/>
              </w:rPr>
              <w:t>三定</w:t>
            </w:r>
            <w:r>
              <w:rPr>
                <w:rStyle w:val="11"/>
                <w:sz w:val="20"/>
                <w:szCs w:val="20"/>
              </w:rPr>
              <w:t>”</w:t>
            </w:r>
            <w:r>
              <w:rPr>
                <w:rStyle w:val="13"/>
                <w:rFonts w:hint="default" w:ascii="Times New Roman" w:hAnsi="Times New Roman" w:cs="Times New Roman"/>
                <w:sz w:val="20"/>
                <w:szCs w:val="20"/>
              </w:rPr>
              <w:t>方案确定的职责；</w:t>
            </w:r>
            <w:r>
              <w:rPr>
                <w:rStyle w:val="11"/>
                <w:sz w:val="20"/>
                <w:szCs w:val="20"/>
              </w:rPr>
              <w:br w:type="textWrapping"/>
            </w:r>
            <w:r>
              <w:rPr>
                <w:rStyle w:val="13"/>
                <w:rFonts w:hint="default" w:ascii="Times New Roman" w:hAnsi="Times New Roman" w:cs="Times New Roman"/>
                <w:sz w:val="20"/>
                <w:szCs w:val="20"/>
              </w:rPr>
              <w:t>③是否符合部门制定的发展实施规划。</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13"/>
                <w:rFonts w:hint="default" w:ascii="Times New Roman" w:hAnsi="Times New Roman" w:cs="Times New Roman"/>
                <w:sz w:val="20"/>
                <w:szCs w:val="20"/>
              </w:rPr>
              <w:t>①符合国家相关法律法规，本</w:t>
            </w:r>
            <w:r>
              <w:rPr>
                <w:rStyle w:val="13"/>
                <w:rFonts w:hint="default" w:cs="Times New Roman"/>
                <w:sz w:val="20"/>
                <w:szCs w:val="20"/>
              </w:rPr>
              <w:t>区</w:t>
            </w:r>
            <w:r>
              <w:rPr>
                <w:rStyle w:val="13"/>
                <w:rFonts w:hint="default" w:ascii="Times New Roman" w:hAnsi="Times New Roman" w:cs="Times New Roman"/>
                <w:sz w:val="20"/>
                <w:szCs w:val="20"/>
              </w:rPr>
              <w:t>国民经济和社会发展规划，计</w:t>
            </w:r>
            <w:r>
              <w:rPr>
                <w:rStyle w:val="11"/>
                <w:sz w:val="20"/>
                <w:szCs w:val="20"/>
              </w:rPr>
              <w:t>0.5</w:t>
            </w:r>
            <w:r>
              <w:rPr>
                <w:rStyle w:val="13"/>
                <w:rFonts w:hint="default" w:ascii="Times New Roman" w:hAnsi="Times New Roman" w:cs="Times New Roman"/>
                <w:sz w:val="20"/>
                <w:szCs w:val="20"/>
              </w:rPr>
              <w:t>分，否则不得分；</w:t>
            </w:r>
            <w:r>
              <w:rPr>
                <w:rStyle w:val="11"/>
                <w:sz w:val="20"/>
                <w:szCs w:val="20"/>
              </w:rPr>
              <w:br w:type="textWrapping"/>
            </w:r>
            <w:r>
              <w:rPr>
                <w:rStyle w:val="13"/>
                <w:rFonts w:hint="default" w:ascii="Times New Roman" w:hAnsi="Times New Roman" w:cs="Times New Roman"/>
                <w:sz w:val="20"/>
                <w:szCs w:val="20"/>
              </w:rPr>
              <w:t>②与部门（单位）职责密切相关，计</w:t>
            </w:r>
            <w:r>
              <w:rPr>
                <w:rStyle w:val="11"/>
                <w:sz w:val="20"/>
                <w:szCs w:val="20"/>
              </w:rPr>
              <w:t>0.5</w:t>
            </w:r>
            <w:r>
              <w:rPr>
                <w:rStyle w:val="13"/>
                <w:rFonts w:hint="default" w:ascii="Times New Roman" w:hAnsi="Times New Roman" w:cs="Times New Roman"/>
                <w:sz w:val="20"/>
                <w:szCs w:val="20"/>
              </w:rPr>
              <w:t>分，否则不得分；</w:t>
            </w:r>
            <w:r>
              <w:rPr>
                <w:rStyle w:val="11"/>
                <w:sz w:val="20"/>
                <w:szCs w:val="20"/>
              </w:rPr>
              <w:br w:type="textWrapping"/>
            </w:r>
            <w:r>
              <w:rPr>
                <w:rStyle w:val="13"/>
                <w:rFonts w:hint="default" w:ascii="Times New Roman" w:hAnsi="Times New Roman" w:cs="Times New Roman"/>
                <w:sz w:val="20"/>
                <w:szCs w:val="20"/>
              </w:rPr>
              <w:t>③符合部门制定的发展实施规划，计</w:t>
            </w:r>
            <w:r>
              <w:rPr>
                <w:rStyle w:val="11"/>
                <w:sz w:val="20"/>
                <w:szCs w:val="20"/>
              </w:rPr>
              <w:t>1</w:t>
            </w:r>
            <w:r>
              <w:rPr>
                <w:rStyle w:val="13"/>
                <w:rFonts w:hint="default" w:ascii="Times New Roman" w:hAnsi="Times New Roman" w:cs="Times New Roman"/>
                <w:sz w:val="20"/>
                <w:szCs w:val="20"/>
              </w:rPr>
              <w:t>分，否则不得分。</w:t>
            </w:r>
          </w:p>
        </w:tc>
        <w:tc>
          <w:tcPr>
            <w:tcW w:w="477" w:type="pct"/>
            <w:tcMar>
              <w:top w:w="15" w:type="dxa"/>
              <w:left w:w="15" w:type="dxa"/>
              <w:right w:w="15" w:type="dxa"/>
            </w:tcMar>
            <w:vAlign w:val="center"/>
          </w:tcPr>
          <w:p>
            <w:pPr>
              <w:widowControl/>
              <w:spacing w:line="27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420"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13"/>
                <w:rFonts w:hint="default" w:ascii="Times New Roman" w:hAnsi="Times New Roman" w:cs="Times New Roman"/>
                <w:sz w:val="20"/>
                <w:szCs w:val="20"/>
              </w:rPr>
              <w:t>绩效指标</w:t>
            </w:r>
            <w:r>
              <w:rPr>
                <w:rStyle w:val="11"/>
                <w:sz w:val="20"/>
                <w:szCs w:val="20"/>
              </w:rPr>
              <w:br w:type="textWrapping"/>
            </w:r>
            <w:r>
              <w:rPr>
                <w:rStyle w:val="13"/>
                <w:rFonts w:hint="default" w:ascii="Times New Roman" w:hAnsi="Times New Roman" w:cs="Times New Roman"/>
                <w:sz w:val="20"/>
                <w:szCs w:val="20"/>
              </w:rPr>
              <w:t>明确性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13"/>
                <w:rFonts w:hint="default" w:ascii="Times New Roman" w:hAnsi="Times New Roman" w:cs="Times New Roman"/>
                <w:sz w:val="20"/>
                <w:szCs w:val="20"/>
              </w:rPr>
              <w:t>①是否将部门整体的绩效目标细化分解为具体的工作任务；</w:t>
            </w:r>
            <w:r>
              <w:rPr>
                <w:rStyle w:val="11"/>
                <w:sz w:val="20"/>
                <w:szCs w:val="20"/>
              </w:rPr>
              <w:br w:type="textWrapping"/>
            </w:r>
            <w:r>
              <w:rPr>
                <w:rStyle w:val="13"/>
                <w:rFonts w:hint="default" w:ascii="Times New Roman" w:hAnsi="Times New Roman" w:cs="Times New Roman"/>
                <w:sz w:val="20"/>
                <w:szCs w:val="20"/>
              </w:rPr>
              <w:t>②是否通过清晰、可衡量的指标值予以体现。</w:t>
            </w:r>
            <w:r>
              <w:rPr>
                <w:rStyle w:val="11"/>
                <w:sz w:val="20"/>
                <w:szCs w:val="20"/>
              </w:rPr>
              <w:br w:type="textWrapping"/>
            </w:r>
            <w:r>
              <w:rPr>
                <w:rStyle w:val="13"/>
                <w:rFonts w:hint="default" w:ascii="Times New Roman" w:hAnsi="Times New Roman" w:cs="Times New Roman"/>
                <w:sz w:val="20"/>
                <w:szCs w:val="20"/>
              </w:rPr>
              <w:t>③是否与部门年度的任务数或计划数相对应；</w:t>
            </w:r>
            <w:r>
              <w:rPr>
                <w:rStyle w:val="11"/>
                <w:sz w:val="20"/>
                <w:szCs w:val="20"/>
              </w:rPr>
              <w:br w:type="textWrapping"/>
            </w:r>
            <w:r>
              <w:rPr>
                <w:rStyle w:val="13"/>
                <w:rFonts w:hint="default" w:ascii="Times New Roman" w:hAnsi="Times New Roman" w:cs="Times New Roman"/>
                <w:sz w:val="20"/>
                <w:szCs w:val="20"/>
              </w:rPr>
              <w:t>④是否与本年度部门预算资金相匹配。</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13"/>
                <w:rFonts w:hint="default" w:ascii="Times New Roman" w:hAnsi="Times New Roman" w:cs="Times New Roman"/>
                <w:sz w:val="20"/>
                <w:szCs w:val="20"/>
              </w:rPr>
              <w:t>①有目标，计1分，否则不得分；</w:t>
            </w:r>
            <w:r>
              <w:rPr>
                <w:rStyle w:val="11"/>
                <w:sz w:val="20"/>
                <w:szCs w:val="20"/>
              </w:rPr>
              <w:br w:type="textWrapping"/>
            </w:r>
            <w:r>
              <w:rPr>
                <w:rStyle w:val="13"/>
                <w:rFonts w:hint="default" w:ascii="Times New Roman" w:hAnsi="Times New Roman" w:cs="Times New Roman"/>
                <w:sz w:val="20"/>
                <w:szCs w:val="20"/>
              </w:rPr>
              <w:t>②目标明确，细化量化良好，个性指标中量化指标超过</w:t>
            </w:r>
            <w:r>
              <w:rPr>
                <w:rStyle w:val="11"/>
                <w:sz w:val="20"/>
                <w:szCs w:val="20"/>
              </w:rPr>
              <w:t>3</w:t>
            </w:r>
            <w:r>
              <w:rPr>
                <w:rStyle w:val="13"/>
                <w:rFonts w:hint="default" w:ascii="Times New Roman" w:hAnsi="Times New Roman" w:cs="Times New Roman"/>
                <w:sz w:val="20"/>
                <w:szCs w:val="20"/>
              </w:rPr>
              <w:t>个，计1分，量化指标为</w:t>
            </w:r>
            <w:r>
              <w:rPr>
                <w:rStyle w:val="11"/>
                <w:sz w:val="20"/>
                <w:szCs w:val="20"/>
              </w:rPr>
              <w:t>2</w:t>
            </w:r>
            <w:r>
              <w:rPr>
                <w:rStyle w:val="13"/>
                <w:rFonts w:hint="default" w:ascii="Times New Roman" w:hAnsi="Times New Roman" w:cs="Times New Roman"/>
                <w:sz w:val="20"/>
                <w:szCs w:val="20"/>
              </w:rPr>
              <w:t>个，计</w:t>
            </w:r>
            <w:r>
              <w:rPr>
                <w:rStyle w:val="11"/>
                <w:sz w:val="20"/>
                <w:szCs w:val="20"/>
              </w:rPr>
              <w:t>0.5</w:t>
            </w:r>
            <w:r>
              <w:rPr>
                <w:rStyle w:val="13"/>
                <w:rFonts w:hint="default" w:ascii="Times New Roman" w:hAnsi="Times New Roman" w:cs="Times New Roman"/>
                <w:sz w:val="20"/>
                <w:szCs w:val="20"/>
              </w:rPr>
              <w:t>分，</w:t>
            </w:r>
            <w:r>
              <w:rPr>
                <w:rStyle w:val="11"/>
                <w:sz w:val="20"/>
                <w:szCs w:val="20"/>
              </w:rPr>
              <w:t>2</w:t>
            </w:r>
            <w:r>
              <w:rPr>
                <w:rStyle w:val="13"/>
                <w:rFonts w:hint="default" w:ascii="Times New Roman" w:hAnsi="Times New Roman" w:cs="Times New Roman"/>
                <w:sz w:val="20"/>
                <w:szCs w:val="20"/>
              </w:rPr>
              <w:t>个以下不得分；</w:t>
            </w:r>
            <w:r>
              <w:rPr>
                <w:rStyle w:val="11"/>
                <w:sz w:val="20"/>
                <w:szCs w:val="20"/>
              </w:rPr>
              <w:br w:type="textWrapping"/>
            </w:r>
            <w:r>
              <w:rPr>
                <w:rStyle w:val="13"/>
                <w:rFonts w:hint="default" w:ascii="Times New Roman" w:hAnsi="Times New Roman" w:cs="Times New Roman"/>
                <w:sz w:val="20"/>
                <w:szCs w:val="20"/>
              </w:rPr>
              <w:t>③与年度任务数或计划数相对应，计1分，低于</w:t>
            </w:r>
            <w:r>
              <w:rPr>
                <w:rStyle w:val="11"/>
                <w:sz w:val="20"/>
                <w:szCs w:val="20"/>
              </w:rPr>
              <w:t>2</w:t>
            </w:r>
            <w:r>
              <w:rPr>
                <w:rStyle w:val="13"/>
                <w:rFonts w:hint="default" w:ascii="Times New Roman" w:hAnsi="Times New Roman" w:cs="Times New Roman"/>
                <w:sz w:val="20"/>
                <w:szCs w:val="20"/>
              </w:rPr>
              <w:t>个，计0.5分，低于</w:t>
            </w:r>
            <w:r>
              <w:rPr>
                <w:rStyle w:val="11"/>
                <w:sz w:val="20"/>
                <w:szCs w:val="20"/>
              </w:rPr>
              <w:t>4</w:t>
            </w:r>
            <w:r>
              <w:rPr>
                <w:rStyle w:val="13"/>
                <w:rFonts w:hint="default" w:ascii="Times New Roman" w:hAnsi="Times New Roman" w:cs="Times New Roman"/>
                <w:sz w:val="20"/>
                <w:szCs w:val="20"/>
              </w:rPr>
              <w:t>个不得分；</w:t>
            </w:r>
            <w:r>
              <w:rPr>
                <w:rStyle w:val="11"/>
                <w:sz w:val="20"/>
                <w:szCs w:val="20"/>
              </w:rPr>
              <w:br w:type="textWrapping"/>
            </w:r>
            <w:r>
              <w:rPr>
                <w:rStyle w:val="13"/>
                <w:rFonts w:hint="default" w:ascii="Times New Roman" w:hAnsi="Times New Roman" w:cs="Times New Roman"/>
                <w:sz w:val="20"/>
                <w:szCs w:val="20"/>
              </w:rPr>
              <w:t>④目标与资金匹配良好，逻辑关系明确，计1分，否则不得分。</w:t>
            </w:r>
          </w:p>
        </w:tc>
        <w:tc>
          <w:tcPr>
            <w:tcW w:w="477" w:type="pct"/>
            <w:tcMar>
              <w:top w:w="15" w:type="dxa"/>
              <w:left w:w="15" w:type="dxa"/>
              <w:right w:w="15" w:type="dxa"/>
            </w:tcMar>
            <w:vAlign w:val="center"/>
          </w:tcPr>
          <w:p>
            <w:pPr>
              <w:widowControl/>
              <w:spacing w:line="27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13"/>
                <w:rFonts w:hint="default" w:ascii="Times New Roman" w:hAnsi="Times New Roman" w:cs="Times New Roman"/>
                <w:sz w:val="20"/>
                <w:szCs w:val="20"/>
              </w:rPr>
              <w:t>预算</w:t>
            </w:r>
            <w:r>
              <w:rPr>
                <w:rStyle w:val="11"/>
                <w:sz w:val="20"/>
                <w:szCs w:val="20"/>
              </w:rPr>
              <w:br w:type="textWrapping"/>
            </w:r>
            <w:r>
              <w:rPr>
                <w:rStyle w:val="13"/>
                <w:rFonts w:hint="default" w:ascii="Times New Roman" w:hAnsi="Times New Roman" w:cs="Times New Roman"/>
                <w:sz w:val="20"/>
                <w:szCs w:val="20"/>
              </w:rPr>
              <w:t>配置</w:t>
            </w:r>
            <w:r>
              <w:rPr>
                <w:rStyle w:val="11"/>
                <w:sz w:val="20"/>
                <w:szCs w:val="20"/>
              </w:rPr>
              <w:br w:type="textWrapping"/>
            </w:r>
            <w:r>
              <w:rPr>
                <w:rStyle w:val="13"/>
                <w:rFonts w:hint="default" w:ascii="Times New Roman" w:hAnsi="Times New Roman" w:cs="Times New Roman"/>
                <w:sz w:val="20"/>
                <w:szCs w:val="20"/>
              </w:rPr>
              <w:t>（</w:t>
            </w:r>
            <w:r>
              <w:rPr>
                <w:rStyle w:val="11"/>
                <w:sz w:val="20"/>
                <w:szCs w:val="20"/>
              </w:rPr>
              <w:t>4</w:t>
            </w:r>
            <w:r>
              <w:rPr>
                <w:rStyle w:val="13"/>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7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人员</w:t>
            </w:r>
          </w:p>
          <w:p>
            <w:pPr>
              <w:widowControl/>
              <w:spacing w:line="270" w:lineRule="exact"/>
              <w:jc w:val="center"/>
              <w:textAlignment w:val="center"/>
              <w:rPr>
                <w:color w:val="000000"/>
                <w:sz w:val="20"/>
                <w:szCs w:val="20"/>
              </w:rPr>
            </w:pPr>
            <w:r>
              <w:rPr>
                <w:rStyle w:val="13"/>
                <w:rFonts w:hint="default" w:ascii="Times New Roman" w:hAnsi="Times New Roman" w:cs="Times New Roman"/>
                <w:sz w:val="20"/>
                <w:szCs w:val="20"/>
              </w:rPr>
              <w:t>控制率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13"/>
                <w:rFonts w:hint="default" w:ascii="Times New Roman" w:hAnsi="Times New Roman" w:cs="Times New Roman"/>
                <w:sz w:val="20"/>
                <w:szCs w:val="20"/>
              </w:rPr>
              <w:t>在职人员控制率</w:t>
            </w:r>
            <w:r>
              <w:rPr>
                <w:rStyle w:val="11"/>
                <w:sz w:val="20"/>
                <w:szCs w:val="20"/>
              </w:rPr>
              <w:t>=</w:t>
            </w:r>
            <w:r>
              <w:rPr>
                <w:rStyle w:val="13"/>
                <w:rFonts w:hint="default" w:ascii="Times New Roman" w:hAnsi="Times New Roman" w:cs="Times New Roman"/>
                <w:sz w:val="20"/>
                <w:szCs w:val="20"/>
              </w:rPr>
              <w:t>（在职人员数</w:t>
            </w:r>
            <w:r>
              <w:rPr>
                <w:rStyle w:val="11"/>
                <w:sz w:val="20"/>
                <w:szCs w:val="20"/>
              </w:rPr>
              <w:t>/</w:t>
            </w:r>
            <w:r>
              <w:rPr>
                <w:rStyle w:val="13"/>
                <w:rFonts w:hint="default" w:ascii="Times New Roman" w:hAnsi="Times New Roman" w:cs="Times New Roman"/>
                <w:sz w:val="20"/>
                <w:szCs w:val="20"/>
              </w:rPr>
              <w:t>编制数）</w:t>
            </w:r>
            <w:r>
              <w:rPr>
                <w:rStyle w:val="11"/>
                <w:sz w:val="20"/>
                <w:szCs w:val="20"/>
              </w:rPr>
              <w:t>×100%</w:t>
            </w:r>
            <w:r>
              <w:rPr>
                <w:rStyle w:val="13"/>
                <w:rFonts w:hint="default" w:ascii="Times New Roman" w:hAnsi="Times New Roman" w:cs="Times New Roman"/>
                <w:sz w:val="20"/>
                <w:szCs w:val="20"/>
              </w:rPr>
              <w:t>。</w:t>
            </w:r>
            <w:r>
              <w:rPr>
                <w:rStyle w:val="11"/>
                <w:sz w:val="20"/>
                <w:szCs w:val="20"/>
              </w:rPr>
              <w:br w:type="textWrapping"/>
            </w:r>
            <w:r>
              <w:rPr>
                <w:rStyle w:val="13"/>
                <w:rFonts w:hint="default" w:ascii="Times New Roman" w:hAnsi="Times New Roman" w:cs="Times New Roman"/>
                <w:sz w:val="20"/>
                <w:szCs w:val="20"/>
              </w:rPr>
              <w:t>聘用人员控制率≦人社和编办共同批复的人数；</w:t>
            </w:r>
            <w:r>
              <w:rPr>
                <w:rStyle w:val="11"/>
                <w:sz w:val="20"/>
                <w:szCs w:val="20"/>
              </w:rPr>
              <w:br w:type="textWrapping"/>
            </w:r>
            <w:r>
              <w:rPr>
                <w:rStyle w:val="13"/>
                <w:rFonts w:hint="default" w:ascii="Times New Roman" w:hAnsi="Times New Roman" w:cs="Times New Roman"/>
                <w:sz w:val="20"/>
                <w:szCs w:val="20"/>
              </w:rPr>
              <w:t>在职人员数：部门（单位）实际在职人数</w:t>
            </w:r>
            <w:r>
              <w:rPr>
                <w:rStyle w:val="11"/>
                <w:sz w:val="20"/>
                <w:szCs w:val="20"/>
              </w:rPr>
              <w:t>，</w:t>
            </w:r>
            <w:r>
              <w:rPr>
                <w:rStyle w:val="13"/>
                <w:rFonts w:hint="default" w:ascii="Times New Roman" w:hAnsi="Times New Roman" w:cs="Times New Roman"/>
                <w:sz w:val="20"/>
                <w:szCs w:val="20"/>
              </w:rPr>
              <w:t>以财政部门确定的部门决算编制口径为准。</w:t>
            </w:r>
            <w:r>
              <w:rPr>
                <w:rStyle w:val="11"/>
                <w:sz w:val="20"/>
                <w:szCs w:val="20"/>
              </w:rPr>
              <w:br w:type="textWrapping"/>
            </w:r>
            <w:r>
              <w:rPr>
                <w:rStyle w:val="13"/>
                <w:rFonts w:hint="default" w:ascii="Times New Roman" w:hAnsi="Times New Roman" w:cs="Times New Roman"/>
                <w:sz w:val="20"/>
                <w:szCs w:val="20"/>
              </w:rPr>
              <w:t>编制数：机构编制部门核定批复的部门（单位）的人员编制数。</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13"/>
                <w:rFonts w:hint="default" w:ascii="Times New Roman" w:hAnsi="Times New Roman" w:cs="Times New Roman"/>
                <w:sz w:val="20"/>
                <w:szCs w:val="20"/>
              </w:rPr>
              <w:t>在职人员控制率≦</w:t>
            </w:r>
            <w:r>
              <w:rPr>
                <w:rStyle w:val="11"/>
                <w:sz w:val="20"/>
                <w:szCs w:val="20"/>
              </w:rPr>
              <w:t>100%</w:t>
            </w:r>
            <w:r>
              <w:rPr>
                <w:rStyle w:val="13"/>
                <w:rFonts w:hint="default" w:ascii="Times New Roman" w:hAnsi="Times New Roman" w:cs="Times New Roman"/>
                <w:sz w:val="20"/>
                <w:szCs w:val="20"/>
              </w:rPr>
              <w:t>计</w:t>
            </w:r>
            <w:r>
              <w:rPr>
                <w:rStyle w:val="11"/>
                <w:sz w:val="20"/>
                <w:szCs w:val="20"/>
              </w:rPr>
              <w:t>2</w:t>
            </w:r>
            <w:r>
              <w:rPr>
                <w:rStyle w:val="13"/>
                <w:rFonts w:hint="default" w:ascii="Times New Roman" w:hAnsi="Times New Roman" w:cs="Times New Roman"/>
                <w:sz w:val="20"/>
                <w:szCs w:val="20"/>
              </w:rPr>
              <w:t>分，每超出</w:t>
            </w:r>
            <w:r>
              <w:rPr>
                <w:rStyle w:val="11"/>
                <w:sz w:val="20"/>
                <w:szCs w:val="20"/>
              </w:rPr>
              <w:t>1%</w:t>
            </w:r>
            <w:r>
              <w:rPr>
                <w:rStyle w:val="13"/>
                <w:rFonts w:hint="default" w:ascii="Times New Roman" w:hAnsi="Times New Roman" w:cs="Times New Roman"/>
                <w:sz w:val="20"/>
                <w:szCs w:val="20"/>
              </w:rPr>
              <w:t>扣</w:t>
            </w:r>
            <w:r>
              <w:rPr>
                <w:rStyle w:val="11"/>
                <w:sz w:val="20"/>
                <w:szCs w:val="20"/>
              </w:rPr>
              <w:t>0.2</w:t>
            </w:r>
            <w:r>
              <w:rPr>
                <w:rStyle w:val="13"/>
                <w:rFonts w:hint="default" w:ascii="Times New Roman" w:hAnsi="Times New Roman" w:cs="Times New Roman"/>
                <w:sz w:val="20"/>
                <w:szCs w:val="20"/>
              </w:rPr>
              <w:t>分，扣完为止。</w:t>
            </w:r>
            <w:r>
              <w:rPr>
                <w:rStyle w:val="11"/>
                <w:sz w:val="20"/>
                <w:szCs w:val="20"/>
              </w:rPr>
              <w:br w:type="textWrapping"/>
            </w:r>
            <w:r>
              <w:rPr>
                <w:rStyle w:val="12"/>
                <w:rFonts w:hint="default" w:ascii="Times New Roman" w:hAnsi="Times New Roman" w:cs="Times New Roman"/>
                <w:color w:val="auto"/>
                <w:sz w:val="20"/>
                <w:szCs w:val="20"/>
              </w:rPr>
              <w:t>聘用人员实际使用数小于等于编办人社部门批复数，计</w:t>
            </w:r>
            <w:r>
              <w:rPr>
                <w:rStyle w:val="10"/>
                <w:color w:val="auto"/>
                <w:sz w:val="20"/>
                <w:szCs w:val="20"/>
              </w:rPr>
              <w:t>2</w:t>
            </w:r>
            <w:r>
              <w:rPr>
                <w:rStyle w:val="12"/>
                <w:rFonts w:hint="default" w:ascii="Times New Roman" w:hAnsi="Times New Roman" w:cs="Times New Roman"/>
                <w:color w:val="auto"/>
                <w:sz w:val="20"/>
                <w:szCs w:val="20"/>
              </w:rPr>
              <w:t>分，否则不得分。</w:t>
            </w:r>
          </w:p>
        </w:tc>
        <w:tc>
          <w:tcPr>
            <w:tcW w:w="477" w:type="pct"/>
            <w:tcMar>
              <w:top w:w="15" w:type="dxa"/>
              <w:left w:w="15" w:type="dxa"/>
              <w:right w:w="15" w:type="dxa"/>
            </w:tcMar>
            <w:vAlign w:val="center"/>
          </w:tcPr>
          <w:p>
            <w:pPr>
              <w:widowControl/>
              <w:spacing w:line="27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13"/>
                <w:rFonts w:hint="default" w:ascii="Times New Roman" w:hAnsi="Times New Roman" w:cs="Times New Roman"/>
                <w:sz w:val="20"/>
                <w:szCs w:val="20"/>
              </w:rPr>
              <w:t>过程</w:t>
            </w:r>
            <w:r>
              <w:rPr>
                <w:rStyle w:val="11"/>
                <w:sz w:val="20"/>
                <w:szCs w:val="20"/>
              </w:rPr>
              <w:br w:type="textWrapping"/>
            </w:r>
            <w:r>
              <w:rPr>
                <w:rStyle w:val="13"/>
                <w:rFonts w:hint="default" w:ascii="Times New Roman" w:hAnsi="Times New Roman" w:cs="Times New Roman"/>
                <w:sz w:val="20"/>
                <w:szCs w:val="20"/>
              </w:rPr>
              <w:t>（</w:t>
            </w:r>
            <w:r>
              <w:rPr>
                <w:rStyle w:val="11"/>
                <w:sz w:val="20"/>
                <w:szCs w:val="20"/>
              </w:rPr>
              <w:t>40</w:t>
            </w:r>
            <w:r>
              <w:rPr>
                <w:rStyle w:val="13"/>
                <w:rFonts w:hint="default" w:ascii="Times New Roman" w:hAnsi="Times New Roman" w:cs="Times New Roman"/>
                <w:sz w:val="20"/>
                <w:szCs w:val="20"/>
              </w:rPr>
              <w:t>分）</w:t>
            </w:r>
          </w:p>
        </w:tc>
        <w:tc>
          <w:tcPr>
            <w:tcW w:w="373"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预算</w:t>
            </w:r>
            <w:r>
              <w:rPr>
                <w:color w:val="000000"/>
                <w:kern w:val="0"/>
                <w:sz w:val="20"/>
                <w:szCs w:val="20"/>
              </w:rPr>
              <w:br w:type="textWrapping"/>
            </w:r>
            <w:r>
              <w:rPr>
                <w:color w:val="000000"/>
                <w:kern w:val="0"/>
                <w:sz w:val="20"/>
                <w:szCs w:val="20"/>
              </w:rPr>
              <w:t>执行</w:t>
            </w:r>
            <w:r>
              <w:rPr>
                <w:color w:val="000000"/>
                <w:kern w:val="0"/>
                <w:sz w:val="20"/>
                <w:szCs w:val="20"/>
              </w:rPr>
              <w:br w:type="textWrapping"/>
            </w:r>
            <w:r>
              <w:rPr>
                <w:color w:val="000000"/>
                <w:kern w:val="0"/>
                <w:sz w:val="20"/>
                <w:szCs w:val="20"/>
              </w:rPr>
              <w:t>（15分）</w:t>
            </w:r>
          </w:p>
        </w:tc>
        <w:tc>
          <w:tcPr>
            <w:tcW w:w="420" w:type="pct"/>
            <w:tcMar>
              <w:top w:w="15" w:type="dxa"/>
              <w:left w:w="15" w:type="dxa"/>
              <w:right w:w="15" w:type="dxa"/>
            </w:tcMar>
            <w:vAlign w:val="center"/>
          </w:tcPr>
          <w:p>
            <w:pPr>
              <w:widowControl/>
              <w:spacing w:line="27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预算</w:t>
            </w:r>
          </w:p>
          <w:p>
            <w:pPr>
              <w:widowControl/>
              <w:spacing w:line="270" w:lineRule="exact"/>
              <w:jc w:val="center"/>
              <w:textAlignment w:val="center"/>
              <w:rPr>
                <w:color w:val="000000"/>
                <w:sz w:val="20"/>
                <w:szCs w:val="20"/>
              </w:rPr>
            </w:pPr>
            <w:r>
              <w:rPr>
                <w:rStyle w:val="13"/>
                <w:rFonts w:hint="default" w:ascii="Times New Roman" w:hAnsi="Times New Roman" w:cs="Times New Roman"/>
                <w:sz w:val="20"/>
                <w:szCs w:val="20"/>
              </w:rPr>
              <w:t>执行率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6</w:t>
            </w:r>
          </w:p>
        </w:tc>
        <w:tc>
          <w:tcPr>
            <w:tcW w:w="1507" w:type="pct"/>
            <w:tcMar>
              <w:top w:w="15" w:type="dxa"/>
              <w:left w:w="15" w:type="dxa"/>
              <w:right w:w="15" w:type="dxa"/>
            </w:tcMar>
            <w:vAlign w:val="center"/>
          </w:tcPr>
          <w:p>
            <w:pPr>
              <w:widowControl/>
              <w:spacing w:line="270" w:lineRule="exact"/>
              <w:jc w:val="left"/>
              <w:textAlignment w:val="center"/>
              <w:rPr>
                <w:rStyle w:val="13"/>
                <w:rFonts w:hint="default" w:ascii="Times New Roman" w:hAnsi="Times New Roman" w:cs="Times New Roman"/>
                <w:color w:val="auto"/>
                <w:sz w:val="20"/>
                <w:szCs w:val="20"/>
              </w:rPr>
            </w:pPr>
            <w:r>
              <w:rPr>
                <w:rStyle w:val="13"/>
                <w:rFonts w:hint="default" w:ascii="Times New Roman" w:hAnsi="Times New Roman" w:cs="Times New Roman"/>
                <w:color w:val="auto"/>
                <w:sz w:val="20"/>
                <w:szCs w:val="20"/>
              </w:rPr>
              <w:t>①预算完成率=（预算完成数/预算数）×100%。</w:t>
            </w:r>
            <w:r>
              <w:rPr>
                <w:rStyle w:val="13"/>
                <w:rFonts w:hint="default" w:ascii="Times New Roman" w:hAnsi="Times New Roman" w:cs="Times New Roman"/>
                <w:color w:val="auto"/>
                <w:sz w:val="20"/>
                <w:szCs w:val="20"/>
              </w:rPr>
              <w:br w:type="textWrapping"/>
            </w:r>
            <w:r>
              <w:rPr>
                <w:rStyle w:val="13"/>
                <w:rFonts w:hint="default" w:ascii="Times New Roman" w:hAnsi="Times New Roman" w:cs="Times New Roman"/>
                <w:color w:val="auto"/>
                <w:sz w:val="20"/>
                <w:szCs w:val="20"/>
              </w:rPr>
              <w:t>预算完成数：部门（单位）本年度实际完成的预算数。</w:t>
            </w:r>
            <w:r>
              <w:rPr>
                <w:rStyle w:val="13"/>
                <w:rFonts w:hint="default" w:ascii="Times New Roman" w:hAnsi="Times New Roman" w:cs="Times New Roman"/>
                <w:color w:val="auto"/>
                <w:sz w:val="20"/>
                <w:szCs w:val="20"/>
              </w:rPr>
              <w:br w:type="textWrapping"/>
            </w:r>
            <w:r>
              <w:rPr>
                <w:rStyle w:val="13"/>
                <w:rFonts w:hint="default" w:ascii="Times New Roman" w:hAnsi="Times New Roman" w:cs="Times New Roman"/>
                <w:color w:val="auto"/>
                <w:sz w:val="20"/>
                <w:szCs w:val="20"/>
              </w:rPr>
              <w:t>预算数：财政部门批复的本年度部门（单位）预算数及追加的项目预算数。</w:t>
            </w:r>
            <w:r>
              <w:rPr>
                <w:rStyle w:val="13"/>
                <w:rFonts w:hint="default" w:ascii="Times New Roman" w:hAnsi="Times New Roman" w:cs="Times New Roman"/>
                <w:color w:val="auto"/>
                <w:sz w:val="20"/>
                <w:szCs w:val="20"/>
              </w:rPr>
              <w:br w:type="textWrapping"/>
            </w:r>
            <w:r>
              <w:rPr>
                <w:rStyle w:val="13"/>
                <w:rFonts w:hint="default" w:ascii="Times New Roman" w:hAnsi="Times New Roman" w:cs="Times New Roman"/>
                <w:color w:val="auto"/>
                <w:sz w:val="20"/>
                <w:szCs w:val="20"/>
              </w:rPr>
              <w:t>②支付序时进度=（序时执行数/序时指标下达数）×100%。</w:t>
            </w:r>
            <w:r>
              <w:rPr>
                <w:rStyle w:val="13"/>
                <w:rFonts w:hint="default" w:ascii="Times New Roman" w:hAnsi="Times New Roman" w:cs="Times New Roman"/>
                <w:color w:val="auto"/>
                <w:sz w:val="20"/>
                <w:szCs w:val="20"/>
              </w:rPr>
              <w:br w:type="textWrapping"/>
            </w:r>
            <w:r>
              <w:rPr>
                <w:rStyle w:val="13"/>
                <w:rFonts w:hint="default" w:ascii="Times New Roman" w:hAnsi="Times New Roman" w:cs="Times New Roman"/>
                <w:color w:val="auto"/>
                <w:sz w:val="20"/>
                <w:szCs w:val="20"/>
              </w:rPr>
              <w:t>序时执行数：指按时间节点部门预算项目实际支出数。序时指标下达数：按时间节点给部门预算下达的项目支出和追加的项目支出指标数之和。</w:t>
            </w:r>
            <w:r>
              <w:rPr>
                <w:rStyle w:val="13"/>
                <w:rFonts w:hint="default" w:ascii="Times New Roman" w:hAnsi="Times New Roman" w:cs="Times New Roman"/>
                <w:color w:val="auto"/>
                <w:sz w:val="20"/>
                <w:szCs w:val="20"/>
              </w:rPr>
              <w:br w:type="textWrapping"/>
            </w:r>
            <w:r>
              <w:rPr>
                <w:rStyle w:val="13"/>
                <w:rFonts w:hint="default" w:ascii="Times New Roman" w:hAnsi="Times New Roman" w:cs="Times New Roman"/>
                <w:color w:val="auto"/>
                <w:sz w:val="20"/>
                <w:szCs w:val="20"/>
              </w:rPr>
              <w:t>③部门预算项目支出调剂到单位。</w:t>
            </w:r>
          </w:p>
        </w:tc>
        <w:tc>
          <w:tcPr>
            <w:tcW w:w="1671" w:type="pct"/>
            <w:tcMar>
              <w:top w:w="15" w:type="dxa"/>
              <w:left w:w="15" w:type="dxa"/>
              <w:right w:w="15" w:type="dxa"/>
            </w:tcMar>
            <w:vAlign w:val="center"/>
          </w:tcPr>
          <w:p>
            <w:pPr>
              <w:widowControl/>
              <w:spacing w:line="270" w:lineRule="exact"/>
              <w:textAlignment w:val="center"/>
              <w:rPr>
                <w:rStyle w:val="13"/>
                <w:rFonts w:hint="default" w:ascii="Times New Roman" w:hAnsi="Times New Roman" w:cs="Times New Roman"/>
                <w:color w:val="auto"/>
                <w:sz w:val="20"/>
                <w:szCs w:val="20"/>
              </w:rPr>
            </w:pPr>
            <w:r>
              <w:rPr>
                <w:rStyle w:val="13"/>
                <w:rFonts w:hint="default" w:ascii="Times New Roman" w:hAnsi="Times New Roman" w:cs="Times New Roman"/>
                <w:color w:val="auto"/>
                <w:sz w:val="20"/>
                <w:szCs w:val="20"/>
              </w:rPr>
              <w:t>①全年预算完成率95%以上计2分，95-90%（含），计1.5分，90-80%（含），计1分，小于80%不得分；</w:t>
            </w:r>
            <w:r>
              <w:rPr>
                <w:rStyle w:val="13"/>
                <w:rFonts w:hint="default" w:ascii="Times New Roman" w:hAnsi="Times New Roman" w:cs="Times New Roman"/>
                <w:color w:val="auto"/>
                <w:sz w:val="20"/>
                <w:szCs w:val="20"/>
              </w:rPr>
              <w:br w:type="textWrapping"/>
            </w:r>
            <w:r>
              <w:rPr>
                <w:rStyle w:val="13"/>
                <w:rFonts w:hint="default" w:ascii="Times New Roman" w:hAnsi="Times New Roman" w:cs="Times New Roman"/>
                <w:color w:val="auto"/>
                <w:sz w:val="20"/>
                <w:szCs w:val="20"/>
              </w:rPr>
              <w:t>②一、二、三季度末支付序时进度分别达到20%、50%、80%（含）以上计2分，每低1个百分点扣0.2分，扣完为止。</w:t>
            </w:r>
            <w:r>
              <w:rPr>
                <w:rStyle w:val="13"/>
                <w:rFonts w:hint="default" w:ascii="Times New Roman" w:hAnsi="Times New Roman" w:cs="Times New Roman"/>
                <w:color w:val="auto"/>
                <w:sz w:val="20"/>
                <w:szCs w:val="20"/>
              </w:rPr>
              <w:br w:type="textWrapping"/>
            </w:r>
            <w:r>
              <w:rPr>
                <w:rStyle w:val="13"/>
                <w:rFonts w:hint="default" w:ascii="Times New Roman" w:hAnsi="Times New Roman" w:cs="Times New Roman"/>
                <w:color w:val="auto"/>
                <w:sz w:val="20"/>
                <w:szCs w:val="20"/>
              </w:rPr>
              <w:t>③部门预算项目支出调剂到单位小于等于项目支出2%，计2分；大于2%，不计分；</w:t>
            </w:r>
          </w:p>
        </w:tc>
        <w:tc>
          <w:tcPr>
            <w:tcW w:w="477" w:type="pct"/>
            <w:tcMar>
              <w:top w:w="15" w:type="dxa"/>
              <w:left w:w="15" w:type="dxa"/>
              <w:right w:w="15" w:type="dxa"/>
            </w:tcMar>
            <w:vAlign w:val="center"/>
          </w:tcPr>
          <w:p>
            <w:pPr>
              <w:widowControl/>
              <w:spacing w:line="27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tcMar>
              <w:top w:w="15" w:type="dxa"/>
              <w:left w:w="15" w:type="dxa"/>
              <w:right w:w="15" w:type="dxa"/>
            </w:tcMar>
            <w:vAlign w:val="center"/>
          </w:tcPr>
          <w:p>
            <w:pPr>
              <w:spacing w:line="260" w:lineRule="exact"/>
              <w:jc w:val="center"/>
              <w:rPr>
                <w:color w:val="000000"/>
                <w:sz w:val="20"/>
                <w:szCs w:val="20"/>
              </w:rPr>
            </w:pPr>
            <w:r>
              <w:rPr>
                <w:rStyle w:val="13"/>
                <w:rFonts w:hint="default" w:ascii="Times New Roman" w:hAnsi="Times New Roman" w:cs="Times New Roman"/>
                <w:sz w:val="20"/>
                <w:szCs w:val="20"/>
              </w:rPr>
              <w:t>过程</w:t>
            </w:r>
            <w:r>
              <w:rPr>
                <w:rStyle w:val="11"/>
                <w:sz w:val="20"/>
                <w:szCs w:val="20"/>
              </w:rPr>
              <w:br w:type="textWrapping"/>
            </w:r>
            <w:r>
              <w:rPr>
                <w:rStyle w:val="13"/>
                <w:rFonts w:hint="default" w:ascii="Times New Roman" w:hAnsi="Times New Roman" w:cs="Times New Roman"/>
                <w:sz w:val="20"/>
                <w:szCs w:val="20"/>
              </w:rPr>
              <w:t>（</w:t>
            </w:r>
            <w:r>
              <w:rPr>
                <w:rStyle w:val="11"/>
                <w:sz w:val="20"/>
                <w:szCs w:val="20"/>
              </w:rPr>
              <w:t>40</w:t>
            </w:r>
            <w:r>
              <w:rPr>
                <w:rStyle w:val="13"/>
                <w:rFonts w:hint="default" w:ascii="Times New Roman" w:hAnsi="Times New Roman" w:cs="Times New Roman"/>
                <w:sz w:val="20"/>
                <w:szCs w:val="20"/>
              </w:rPr>
              <w:t>分）</w:t>
            </w: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预算</w:t>
            </w:r>
            <w:r>
              <w:rPr>
                <w:color w:val="000000"/>
                <w:kern w:val="0"/>
                <w:sz w:val="20"/>
                <w:szCs w:val="20"/>
              </w:rPr>
              <w:br w:type="textWrapping"/>
            </w:r>
            <w:r>
              <w:rPr>
                <w:color w:val="000000"/>
                <w:kern w:val="0"/>
                <w:sz w:val="20"/>
                <w:szCs w:val="20"/>
              </w:rPr>
              <w:t>执行</w:t>
            </w:r>
            <w:r>
              <w:rPr>
                <w:color w:val="000000"/>
                <w:kern w:val="0"/>
                <w:sz w:val="20"/>
                <w:szCs w:val="20"/>
              </w:rPr>
              <w:br w:type="textWrapping"/>
            </w:r>
            <w:r>
              <w:rPr>
                <w:color w:val="000000"/>
                <w:kern w:val="0"/>
                <w:sz w:val="20"/>
                <w:szCs w:val="20"/>
              </w:rPr>
              <w:t>（15分）</w:t>
            </w:r>
          </w:p>
        </w:tc>
        <w:tc>
          <w:tcPr>
            <w:tcW w:w="420" w:type="pct"/>
            <w:tcMar>
              <w:top w:w="15" w:type="dxa"/>
              <w:left w:w="15" w:type="dxa"/>
              <w:right w:w="15" w:type="dxa"/>
            </w:tcMar>
            <w:vAlign w:val="center"/>
          </w:tcPr>
          <w:p>
            <w:pPr>
              <w:widowControl/>
              <w:spacing w:line="26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预算</w:t>
            </w:r>
          </w:p>
          <w:p>
            <w:pPr>
              <w:widowControl/>
              <w:spacing w:line="260" w:lineRule="exact"/>
              <w:jc w:val="center"/>
              <w:textAlignment w:val="center"/>
              <w:rPr>
                <w:color w:val="000000"/>
                <w:sz w:val="20"/>
                <w:szCs w:val="20"/>
              </w:rPr>
            </w:pPr>
            <w:r>
              <w:rPr>
                <w:rStyle w:val="13"/>
                <w:rFonts w:hint="default" w:ascii="Times New Roman" w:hAnsi="Times New Roman" w:cs="Times New Roman"/>
                <w:sz w:val="20"/>
                <w:szCs w:val="20"/>
              </w:rPr>
              <w:t>调整率</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1507" w:type="pct"/>
            <w:tcMar>
              <w:top w:w="15" w:type="dxa"/>
              <w:left w:w="15" w:type="dxa"/>
              <w:right w:w="15" w:type="dxa"/>
            </w:tcMar>
            <w:vAlign w:val="center"/>
          </w:tcPr>
          <w:p>
            <w:pPr>
              <w:widowControl/>
              <w:spacing w:line="270" w:lineRule="exact"/>
              <w:textAlignment w:val="center"/>
              <w:rPr>
                <w:rStyle w:val="13"/>
                <w:rFonts w:hint="default" w:ascii="Times New Roman" w:hAnsi="Times New Roman" w:cs="Times New Roman"/>
                <w:color w:val="auto"/>
                <w:sz w:val="20"/>
                <w:szCs w:val="20"/>
              </w:rPr>
            </w:pPr>
            <w:r>
              <w:rPr>
                <w:rStyle w:val="13"/>
                <w:rFonts w:hint="default" w:ascii="Times New Roman" w:hAnsi="Times New Roman" w:cs="Times New Roman"/>
                <w:color w:val="auto"/>
                <w:sz w:val="20"/>
                <w:szCs w:val="20"/>
              </w:rPr>
              <w:t>预算调整率=（预算调整数/预算数）×100%。</w:t>
            </w:r>
            <w:r>
              <w:rPr>
                <w:rStyle w:val="13"/>
                <w:rFonts w:hint="default" w:ascii="Times New Roman" w:hAnsi="Times New Roman" w:cs="Times New Roman"/>
                <w:color w:val="auto"/>
                <w:sz w:val="20"/>
                <w:szCs w:val="20"/>
              </w:rPr>
              <w:br w:type="textWrapping"/>
            </w:r>
            <w:r>
              <w:rPr>
                <w:rStyle w:val="13"/>
                <w:rFonts w:hint="default" w:ascii="Times New Roman" w:hAnsi="Times New Roman" w:cs="Times New Roman"/>
                <w:color w:val="auto"/>
                <w:sz w:val="20"/>
                <w:szCs w:val="20"/>
              </w:rPr>
              <w:t>预算调整数：部门（单位）在本年度内涉及预算的追加、追减或结构调整的资金总和（因落实国家政策、发生不可抗力，市委、市政府临时交办而产生的调整及经济科目非跨类调整除外）。</w:t>
            </w:r>
          </w:p>
        </w:tc>
        <w:tc>
          <w:tcPr>
            <w:tcW w:w="1671" w:type="pct"/>
            <w:tcMar>
              <w:top w:w="15" w:type="dxa"/>
              <w:left w:w="15" w:type="dxa"/>
              <w:right w:w="15" w:type="dxa"/>
            </w:tcMar>
            <w:vAlign w:val="center"/>
          </w:tcPr>
          <w:p>
            <w:pPr>
              <w:widowControl/>
              <w:spacing w:line="270" w:lineRule="exact"/>
              <w:textAlignment w:val="center"/>
              <w:rPr>
                <w:rStyle w:val="13"/>
                <w:rFonts w:hint="default" w:ascii="Times New Roman" w:hAnsi="Times New Roman" w:cs="Times New Roman"/>
                <w:color w:val="auto"/>
                <w:sz w:val="20"/>
                <w:szCs w:val="20"/>
              </w:rPr>
            </w:pPr>
            <w:r>
              <w:rPr>
                <w:rStyle w:val="13"/>
                <w:rFonts w:hint="default" w:ascii="Times New Roman" w:hAnsi="Times New Roman" w:cs="Times New Roman"/>
                <w:color w:val="auto"/>
                <w:sz w:val="20"/>
                <w:szCs w:val="20"/>
              </w:rPr>
              <w:t>预算调整率&lt;5%，计3分；5-10%（含），计1.5分；大于10%不得分。</w:t>
            </w:r>
          </w:p>
        </w:tc>
        <w:tc>
          <w:tcPr>
            <w:tcW w:w="477" w:type="pct"/>
            <w:tcMar>
              <w:top w:w="15" w:type="dxa"/>
              <w:left w:w="15" w:type="dxa"/>
              <w:right w:w="15" w:type="dxa"/>
            </w:tcMar>
            <w:vAlign w:val="center"/>
          </w:tcPr>
          <w:p>
            <w:pPr>
              <w:widowControl/>
              <w:spacing w:line="26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结转结余</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70" w:lineRule="exact"/>
              <w:textAlignment w:val="center"/>
              <w:rPr>
                <w:rStyle w:val="13"/>
                <w:rFonts w:hint="default" w:ascii="Times New Roman" w:hAnsi="Times New Roman" w:cs="Times New Roman"/>
                <w:color w:val="auto"/>
                <w:sz w:val="20"/>
                <w:szCs w:val="20"/>
              </w:rPr>
            </w:pPr>
            <w:r>
              <w:rPr>
                <w:rStyle w:val="13"/>
                <w:rFonts w:hint="default" w:ascii="Times New Roman" w:hAnsi="Times New Roman" w:cs="Times New Roman"/>
                <w:color w:val="auto"/>
                <w:sz w:val="20"/>
                <w:szCs w:val="20"/>
              </w:rPr>
              <w:t>根据区政府文件规定，预算单位年度安排的区级预算资金不能结转。</w:t>
            </w:r>
          </w:p>
        </w:tc>
        <w:tc>
          <w:tcPr>
            <w:tcW w:w="1671" w:type="pct"/>
            <w:tcMar>
              <w:top w:w="15" w:type="dxa"/>
              <w:left w:w="15" w:type="dxa"/>
              <w:right w:w="15" w:type="dxa"/>
            </w:tcMar>
            <w:vAlign w:val="center"/>
          </w:tcPr>
          <w:p>
            <w:pPr>
              <w:widowControl/>
              <w:spacing w:line="270" w:lineRule="exact"/>
              <w:textAlignment w:val="center"/>
              <w:rPr>
                <w:rStyle w:val="13"/>
                <w:rFonts w:hint="default" w:ascii="Times New Roman" w:hAnsi="Times New Roman" w:cs="Times New Roman"/>
                <w:color w:val="auto"/>
                <w:sz w:val="20"/>
                <w:szCs w:val="20"/>
              </w:rPr>
            </w:pPr>
            <w:r>
              <w:rPr>
                <w:rStyle w:val="13"/>
                <w:rFonts w:hint="default" w:ascii="Times New Roman" w:hAnsi="Times New Roman" w:cs="Times New Roman"/>
                <w:color w:val="auto"/>
                <w:sz w:val="20"/>
                <w:szCs w:val="20"/>
              </w:rPr>
              <w:t>区本级资金无结转，计2分；有结转，不计分；</w:t>
            </w:r>
          </w:p>
        </w:tc>
        <w:tc>
          <w:tcPr>
            <w:tcW w:w="477" w:type="pct"/>
            <w:tcMar>
              <w:top w:w="15" w:type="dxa"/>
              <w:left w:w="15" w:type="dxa"/>
              <w:right w:w="15" w:type="dxa"/>
            </w:tcMar>
            <w:vAlign w:val="center"/>
          </w:tcPr>
          <w:p>
            <w:pPr>
              <w:widowControl/>
              <w:spacing w:line="260" w:lineRule="exact"/>
              <w:textAlignment w:val="center"/>
              <w:rPr>
                <w:color w:val="000000"/>
                <w:kern w:val="0"/>
                <w:sz w:val="20"/>
                <w:szCs w:val="20"/>
              </w:rPr>
            </w:pPr>
            <w:r>
              <w:rPr>
                <w:rFonts w:hint="eastAsia"/>
                <w:color w:val="000000"/>
                <w:kern w:val="0"/>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373"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rStyle w:val="13"/>
                <w:rFonts w:hint="default" w:ascii="Times New Roman" w:hAnsi="Times New Roman" w:cs="Times New Roman"/>
                <w:sz w:val="20"/>
                <w:szCs w:val="20"/>
              </w:rPr>
            </w:pPr>
            <w:r>
              <w:rPr>
                <w:rStyle w:val="11"/>
                <w:sz w:val="20"/>
                <w:szCs w:val="20"/>
              </w:rPr>
              <w:t>“</w:t>
            </w:r>
            <w:r>
              <w:rPr>
                <w:rStyle w:val="13"/>
                <w:rFonts w:hint="default" w:ascii="Times New Roman" w:hAnsi="Times New Roman" w:cs="Times New Roman"/>
                <w:sz w:val="20"/>
                <w:szCs w:val="20"/>
              </w:rPr>
              <w:t>三公</w:t>
            </w:r>
          </w:p>
          <w:p>
            <w:pPr>
              <w:widowControl/>
              <w:spacing w:line="260" w:lineRule="exact"/>
              <w:jc w:val="center"/>
              <w:textAlignment w:val="center"/>
              <w:rPr>
                <w:rStyle w:val="11"/>
                <w:sz w:val="20"/>
                <w:szCs w:val="20"/>
              </w:rPr>
            </w:pPr>
            <w:r>
              <w:rPr>
                <w:rStyle w:val="13"/>
                <w:rFonts w:hint="default" w:ascii="Times New Roman" w:hAnsi="Times New Roman" w:cs="Times New Roman"/>
                <w:sz w:val="20"/>
                <w:szCs w:val="20"/>
              </w:rPr>
              <w:t>经费</w:t>
            </w:r>
            <w:r>
              <w:rPr>
                <w:rStyle w:val="11"/>
                <w:sz w:val="20"/>
                <w:szCs w:val="20"/>
              </w:rPr>
              <w:t>”</w:t>
            </w:r>
          </w:p>
          <w:p>
            <w:pPr>
              <w:widowControl/>
              <w:spacing w:line="260" w:lineRule="exact"/>
              <w:jc w:val="center"/>
              <w:textAlignment w:val="center"/>
              <w:rPr>
                <w:color w:val="000000"/>
                <w:sz w:val="20"/>
                <w:szCs w:val="20"/>
              </w:rPr>
            </w:pPr>
            <w:r>
              <w:rPr>
                <w:rStyle w:val="13"/>
                <w:rFonts w:hint="default" w:ascii="Times New Roman" w:hAnsi="Times New Roman" w:cs="Times New Roman"/>
                <w:sz w:val="20"/>
                <w:szCs w:val="20"/>
              </w:rPr>
              <w:t>控制率</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70" w:lineRule="exact"/>
              <w:textAlignment w:val="center"/>
              <w:rPr>
                <w:rStyle w:val="13"/>
                <w:rFonts w:hint="default" w:ascii="Times New Roman" w:hAnsi="Times New Roman" w:cs="Times New Roman"/>
                <w:color w:val="auto"/>
                <w:sz w:val="20"/>
                <w:szCs w:val="20"/>
              </w:rPr>
            </w:pPr>
            <w:r>
              <w:rPr>
                <w:rStyle w:val="13"/>
                <w:rFonts w:hint="default" w:ascii="Times New Roman" w:hAnsi="Times New Roman" w:cs="Times New Roman"/>
                <w:color w:val="auto"/>
                <w:sz w:val="20"/>
                <w:szCs w:val="20"/>
              </w:rPr>
              <w:t>“三公经费”控制率=（“三公经费”实际支出数/“三公经费”预算安排数）×100%。不超当年预算，不超上年决算。</w:t>
            </w:r>
          </w:p>
        </w:tc>
        <w:tc>
          <w:tcPr>
            <w:tcW w:w="1671" w:type="pct"/>
            <w:tcMar>
              <w:top w:w="15" w:type="dxa"/>
              <w:left w:w="15" w:type="dxa"/>
              <w:right w:w="15" w:type="dxa"/>
            </w:tcMar>
            <w:vAlign w:val="center"/>
          </w:tcPr>
          <w:p>
            <w:pPr>
              <w:widowControl/>
              <w:spacing w:line="270" w:lineRule="exact"/>
              <w:textAlignment w:val="center"/>
              <w:rPr>
                <w:rStyle w:val="13"/>
                <w:rFonts w:hint="default" w:ascii="Times New Roman" w:hAnsi="Times New Roman" w:cs="Times New Roman"/>
                <w:color w:val="auto"/>
                <w:sz w:val="20"/>
                <w:szCs w:val="20"/>
              </w:rPr>
            </w:pPr>
            <w:r>
              <w:rPr>
                <w:rStyle w:val="13"/>
                <w:rFonts w:hint="default" w:ascii="Times New Roman" w:hAnsi="Times New Roman" w:cs="Times New Roman"/>
                <w:color w:val="auto"/>
                <w:sz w:val="20"/>
                <w:szCs w:val="20"/>
              </w:rPr>
              <w:t>“三公经费”控制率100%以下（含）计2分，每超出1%扣0.15分，扣完为止。</w:t>
            </w:r>
          </w:p>
        </w:tc>
        <w:tc>
          <w:tcPr>
            <w:tcW w:w="477" w:type="pct"/>
            <w:tcMar>
              <w:top w:w="15" w:type="dxa"/>
              <w:left w:w="15" w:type="dxa"/>
              <w:right w:w="15" w:type="dxa"/>
            </w:tcMar>
            <w:vAlign w:val="center"/>
          </w:tcPr>
          <w:p>
            <w:pPr>
              <w:widowControl/>
              <w:spacing w:line="260" w:lineRule="exact"/>
              <w:textAlignment w:val="center"/>
              <w:rPr>
                <w:rStyle w:val="11"/>
                <w:sz w:val="20"/>
                <w:szCs w:val="20"/>
              </w:rPr>
            </w:pPr>
            <w:r>
              <w:rPr>
                <w:rStyle w:val="11"/>
                <w:rFonts w:hint="eastAsia"/>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政府采购</w:t>
            </w:r>
            <w:r>
              <w:rPr>
                <w:color w:val="000000"/>
                <w:kern w:val="0"/>
                <w:sz w:val="20"/>
                <w:szCs w:val="20"/>
              </w:rPr>
              <w:br w:type="textWrapping"/>
            </w:r>
            <w:r>
              <w:rPr>
                <w:color w:val="000000"/>
                <w:kern w:val="0"/>
                <w:sz w:val="20"/>
                <w:szCs w:val="20"/>
              </w:rPr>
              <w:t>执行率和</w:t>
            </w:r>
            <w:r>
              <w:rPr>
                <w:color w:val="000000"/>
                <w:kern w:val="0"/>
                <w:sz w:val="20"/>
                <w:szCs w:val="20"/>
              </w:rPr>
              <w:br w:type="textWrapping"/>
            </w:r>
            <w:r>
              <w:rPr>
                <w:color w:val="000000"/>
                <w:kern w:val="0"/>
                <w:sz w:val="20"/>
                <w:szCs w:val="20"/>
              </w:rPr>
              <w:t>规范性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13"/>
                <w:rFonts w:hint="default" w:ascii="Times New Roman" w:hAnsi="Times New Roman" w:cs="Times New Roman"/>
                <w:sz w:val="20"/>
                <w:szCs w:val="20"/>
              </w:rPr>
              <w:t>政府采购执行率</w:t>
            </w:r>
            <w:r>
              <w:rPr>
                <w:rStyle w:val="11"/>
                <w:sz w:val="20"/>
                <w:szCs w:val="20"/>
              </w:rPr>
              <w:t>=</w:t>
            </w:r>
            <w:r>
              <w:rPr>
                <w:rStyle w:val="13"/>
                <w:rFonts w:hint="default" w:ascii="Times New Roman" w:hAnsi="Times New Roman" w:cs="Times New Roman"/>
                <w:sz w:val="20"/>
                <w:szCs w:val="20"/>
              </w:rPr>
              <w:t>（实际政府采购金额</w:t>
            </w:r>
            <w:r>
              <w:rPr>
                <w:rStyle w:val="11"/>
                <w:sz w:val="20"/>
                <w:szCs w:val="20"/>
              </w:rPr>
              <w:t>/</w:t>
            </w:r>
            <w:r>
              <w:rPr>
                <w:rStyle w:val="13"/>
                <w:rFonts w:hint="default" w:ascii="Times New Roman" w:hAnsi="Times New Roman" w:cs="Times New Roman"/>
                <w:sz w:val="20"/>
                <w:szCs w:val="20"/>
              </w:rPr>
              <w:t>政府采购预算数）</w:t>
            </w:r>
            <w:r>
              <w:rPr>
                <w:rStyle w:val="11"/>
                <w:sz w:val="20"/>
                <w:szCs w:val="20"/>
              </w:rPr>
              <w:t>×100%</w:t>
            </w:r>
            <w:r>
              <w:rPr>
                <w:rStyle w:val="13"/>
                <w:rFonts w:hint="default" w:ascii="Times New Roman" w:hAnsi="Times New Roman" w:cs="Times New Roman"/>
                <w:sz w:val="20"/>
                <w:szCs w:val="20"/>
              </w:rPr>
              <w:t>；</w:t>
            </w:r>
            <w:r>
              <w:rPr>
                <w:rStyle w:val="11"/>
                <w:sz w:val="20"/>
                <w:szCs w:val="20"/>
              </w:rPr>
              <w:br w:type="textWrapping"/>
            </w:r>
            <w:r>
              <w:rPr>
                <w:rStyle w:val="13"/>
                <w:rFonts w:hint="default" w:ascii="Times New Roman" w:hAnsi="Times New Roman" w:cs="Times New Roman"/>
                <w:spacing w:val="-6"/>
                <w:sz w:val="20"/>
                <w:szCs w:val="20"/>
              </w:rPr>
              <w:t>政府采购预算：采购机关根据事业发展计划和行政任务编制的、并经过规定程序批准的年度政府采购计划。</w:t>
            </w:r>
            <w:r>
              <w:rPr>
                <w:rStyle w:val="13"/>
                <w:rFonts w:hint="default" w:ascii="Times New Roman" w:hAnsi="Times New Roman" w:cs="Times New Roman"/>
                <w:sz w:val="20"/>
                <w:szCs w:val="20"/>
              </w:rPr>
              <w:br w:type="textWrapping"/>
            </w:r>
            <w:r>
              <w:rPr>
                <w:rStyle w:val="13"/>
                <w:rFonts w:hint="default" w:ascii="Times New Roman" w:hAnsi="Times New Roman" w:cs="Times New Roman"/>
                <w:sz w:val="20"/>
                <w:szCs w:val="20"/>
              </w:rPr>
              <w:t>预算单位严格执行《政府采购法》，无规避政府采购或化整为零进行政府采购的行为。所有项目必须依法采购，履行验收手续。</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13"/>
                <w:rFonts w:hint="default" w:ascii="Times New Roman" w:hAnsi="Times New Roman" w:cs="Times New Roman"/>
                <w:sz w:val="20"/>
                <w:szCs w:val="20"/>
              </w:rPr>
              <w:t>政府采购执行率</w:t>
            </w:r>
            <w:r>
              <w:rPr>
                <w:rStyle w:val="11"/>
                <w:sz w:val="20"/>
                <w:szCs w:val="20"/>
              </w:rPr>
              <w:t>100%</w:t>
            </w:r>
            <w:r>
              <w:rPr>
                <w:rStyle w:val="13"/>
                <w:rFonts w:hint="default" w:ascii="Times New Roman" w:hAnsi="Times New Roman" w:cs="Times New Roman"/>
                <w:sz w:val="20"/>
                <w:szCs w:val="20"/>
              </w:rPr>
              <w:t>计</w:t>
            </w:r>
            <w:r>
              <w:rPr>
                <w:rStyle w:val="11"/>
                <w:sz w:val="20"/>
                <w:szCs w:val="20"/>
              </w:rPr>
              <w:t>1</w:t>
            </w:r>
            <w:r>
              <w:rPr>
                <w:rStyle w:val="13"/>
                <w:rFonts w:hint="default" w:ascii="Times New Roman" w:hAnsi="Times New Roman" w:cs="Times New Roman"/>
                <w:sz w:val="20"/>
                <w:szCs w:val="20"/>
              </w:rPr>
              <w:t>分，每超过（降低）</w:t>
            </w:r>
            <w:r>
              <w:rPr>
                <w:rStyle w:val="11"/>
                <w:sz w:val="20"/>
                <w:szCs w:val="20"/>
              </w:rPr>
              <w:t>1%</w:t>
            </w:r>
            <w:r>
              <w:rPr>
                <w:rStyle w:val="13"/>
                <w:rFonts w:hint="default" w:ascii="Times New Roman" w:hAnsi="Times New Roman" w:cs="Times New Roman"/>
                <w:sz w:val="20"/>
                <w:szCs w:val="20"/>
              </w:rPr>
              <w:t>扣</w:t>
            </w:r>
            <w:r>
              <w:rPr>
                <w:rStyle w:val="11"/>
                <w:sz w:val="20"/>
                <w:szCs w:val="20"/>
              </w:rPr>
              <w:t>0.1</w:t>
            </w:r>
            <w:r>
              <w:rPr>
                <w:rStyle w:val="13"/>
                <w:rFonts w:hint="default" w:ascii="Times New Roman" w:hAnsi="Times New Roman" w:cs="Times New Roman"/>
                <w:sz w:val="20"/>
                <w:szCs w:val="20"/>
              </w:rPr>
              <w:t>分，扣完为止。</w:t>
            </w:r>
            <w:r>
              <w:rPr>
                <w:rStyle w:val="11"/>
                <w:sz w:val="20"/>
                <w:szCs w:val="20"/>
              </w:rPr>
              <w:br w:type="textWrapping"/>
            </w:r>
            <w:r>
              <w:rPr>
                <w:rStyle w:val="13"/>
                <w:rFonts w:hint="default" w:ascii="Times New Roman" w:hAnsi="Times New Roman" w:cs="Times New Roman"/>
                <w:sz w:val="20"/>
                <w:szCs w:val="20"/>
              </w:rPr>
              <w:t>所有项目依法采购，无规避政府采购或化整为零进行政府采购的行为，并履行验收手续计1分，否则不得分。</w:t>
            </w:r>
          </w:p>
        </w:tc>
        <w:tc>
          <w:tcPr>
            <w:tcW w:w="477" w:type="pct"/>
            <w:tcMar>
              <w:top w:w="15" w:type="dxa"/>
              <w:left w:w="15" w:type="dxa"/>
              <w:right w:w="15" w:type="dxa"/>
            </w:tcMar>
            <w:vAlign w:val="center"/>
          </w:tcPr>
          <w:p>
            <w:pPr>
              <w:widowControl/>
              <w:spacing w:line="26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rStyle w:val="13"/>
                <w:rFonts w:hint="default" w:ascii="Times New Roman" w:hAnsi="Times New Roman" w:cs="Times New Roman"/>
                <w:sz w:val="20"/>
                <w:szCs w:val="20"/>
              </w:rPr>
              <w:t>预算</w:t>
            </w:r>
            <w:r>
              <w:rPr>
                <w:rStyle w:val="11"/>
                <w:sz w:val="20"/>
                <w:szCs w:val="20"/>
              </w:rPr>
              <w:br w:type="textWrapping"/>
            </w:r>
            <w:r>
              <w:rPr>
                <w:rStyle w:val="13"/>
                <w:rFonts w:hint="default" w:ascii="Times New Roman" w:hAnsi="Times New Roman" w:cs="Times New Roman"/>
                <w:sz w:val="20"/>
                <w:szCs w:val="20"/>
              </w:rPr>
              <w:t>管理</w:t>
            </w:r>
            <w:r>
              <w:rPr>
                <w:rStyle w:val="11"/>
                <w:sz w:val="20"/>
                <w:szCs w:val="20"/>
              </w:rPr>
              <w:br w:type="textWrapping"/>
            </w:r>
            <w:r>
              <w:rPr>
                <w:rStyle w:val="13"/>
                <w:rFonts w:hint="default" w:ascii="Times New Roman" w:hAnsi="Times New Roman" w:cs="Times New Roman"/>
                <w:sz w:val="20"/>
                <w:szCs w:val="20"/>
              </w:rPr>
              <w:t>（</w:t>
            </w:r>
            <w:r>
              <w:rPr>
                <w:rStyle w:val="11"/>
                <w:sz w:val="20"/>
                <w:szCs w:val="20"/>
              </w:rPr>
              <w:t>20</w:t>
            </w:r>
            <w:r>
              <w:rPr>
                <w:rStyle w:val="13"/>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rStyle w:val="13"/>
                <w:rFonts w:hint="default" w:ascii="Times New Roman" w:hAnsi="Times New Roman" w:cs="Times New Roman"/>
                <w:sz w:val="20"/>
                <w:szCs w:val="20"/>
              </w:rPr>
              <w:t>管理制度</w:t>
            </w:r>
            <w:r>
              <w:rPr>
                <w:rStyle w:val="11"/>
                <w:sz w:val="20"/>
                <w:szCs w:val="20"/>
              </w:rPr>
              <w:br w:type="textWrapping"/>
            </w:r>
            <w:r>
              <w:rPr>
                <w:rStyle w:val="13"/>
                <w:rFonts w:hint="default" w:ascii="Times New Roman" w:hAnsi="Times New Roman" w:cs="Times New Roman"/>
                <w:sz w:val="20"/>
                <w:szCs w:val="20"/>
              </w:rPr>
              <w:t>健全性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13"/>
                <w:rFonts w:hint="default" w:ascii="Times New Roman" w:hAnsi="Times New Roman" w:cs="Times New Roman"/>
                <w:sz w:val="20"/>
                <w:szCs w:val="20"/>
              </w:rPr>
              <w:t>①部门（单位）内控制度、内部财务管理制度和会计核算制度是否健全；</w:t>
            </w:r>
            <w:r>
              <w:rPr>
                <w:rStyle w:val="11"/>
                <w:sz w:val="20"/>
                <w:szCs w:val="20"/>
              </w:rPr>
              <w:br w:type="textWrapping"/>
            </w:r>
            <w:r>
              <w:rPr>
                <w:rStyle w:val="13"/>
                <w:rFonts w:hint="default" w:ascii="Times New Roman" w:hAnsi="Times New Roman" w:cs="Times New Roman"/>
                <w:sz w:val="20"/>
                <w:szCs w:val="20"/>
              </w:rPr>
              <w:t>②相关管理制度是否合法、合规、完整；</w:t>
            </w:r>
            <w:r>
              <w:rPr>
                <w:rStyle w:val="11"/>
                <w:sz w:val="20"/>
                <w:szCs w:val="20"/>
              </w:rPr>
              <w:br w:type="textWrapping"/>
            </w:r>
            <w:r>
              <w:rPr>
                <w:rStyle w:val="13"/>
                <w:rFonts w:hint="default" w:ascii="Times New Roman" w:hAnsi="Times New Roman" w:cs="Times New Roman"/>
                <w:sz w:val="20"/>
                <w:szCs w:val="20"/>
              </w:rPr>
              <w:t>③相关管理制度是否得到有效执行。</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13"/>
                <w:rFonts w:hint="default" w:ascii="Times New Roman" w:hAnsi="Times New Roman" w:cs="Times New Roman"/>
                <w:sz w:val="20"/>
                <w:szCs w:val="20"/>
              </w:rPr>
              <w:t>①部门（单位）内控制度、内部财务管理制度和会计核算制度健全，计</w:t>
            </w:r>
            <w:r>
              <w:rPr>
                <w:rStyle w:val="11"/>
                <w:sz w:val="20"/>
                <w:szCs w:val="20"/>
              </w:rPr>
              <w:t>1</w:t>
            </w:r>
            <w:r>
              <w:rPr>
                <w:rStyle w:val="13"/>
                <w:rFonts w:hint="default" w:ascii="Times New Roman" w:hAnsi="Times New Roman" w:cs="Times New Roman"/>
                <w:sz w:val="20"/>
                <w:szCs w:val="20"/>
              </w:rPr>
              <w:t>分，否则酌情扣分；</w:t>
            </w:r>
            <w:r>
              <w:rPr>
                <w:rStyle w:val="11"/>
                <w:sz w:val="20"/>
                <w:szCs w:val="20"/>
              </w:rPr>
              <w:br w:type="textWrapping"/>
            </w:r>
            <w:r>
              <w:rPr>
                <w:rStyle w:val="13"/>
                <w:rFonts w:hint="default" w:ascii="Times New Roman" w:hAnsi="Times New Roman" w:cs="Times New Roman"/>
                <w:sz w:val="20"/>
                <w:szCs w:val="20"/>
              </w:rPr>
              <w:t>②管理制度合法、合规、完整，计</w:t>
            </w:r>
            <w:r>
              <w:rPr>
                <w:rStyle w:val="11"/>
                <w:sz w:val="20"/>
                <w:szCs w:val="20"/>
              </w:rPr>
              <w:t>1</w:t>
            </w:r>
            <w:r>
              <w:rPr>
                <w:rStyle w:val="13"/>
                <w:rFonts w:hint="default" w:ascii="Times New Roman" w:hAnsi="Times New Roman" w:cs="Times New Roman"/>
                <w:sz w:val="20"/>
                <w:szCs w:val="20"/>
              </w:rPr>
              <w:t>分，否则酌情扣分；</w:t>
            </w:r>
            <w:r>
              <w:rPr>
                <w:rStyle w:val="11"/>
                <w:sz w:val="20"/>
                <w:szCs w:val="20"/>
              </w:rPr>
              <w:br w:type="textWrapping"/>
            </w:r>
            <w:r>
              <w:rPr>
                <w:rStyle w:val="13"/>
                <w:rFonts w:hint="default" w:ascii="Times New Roman" w:hAnsi="Times New Roman" w:cs="Times New Roman"/>
                <w:sz w:val="20"/>
                <w:szCs w:val="20"/>
              </w:rPr>
              <w:t>③管理制度得到有效执行，计</w:t>
            </w:r>
            <w:r>
              <w:rPr>
                <w:rStyle w:val="11"/>
                <w:sz w:val="20"/>
                <w:szCs w:val="20"/>
              </w:rPr>
              <w:t>1</w:t>
            </w:r>
            <w:r>
              <w:rPr>
                <w:rStyle w:val="13"/>
                <w:rFonts w:hint="default" w:ascii="Times New Roman" w:hAnsi="Times New Roman" w:cs="Times New Roman"/>
                <w:sz w:val="20"/>
                <w:szCs w:val="20"/>
              </w:rPr>
              <w:t>分，</w:t>
            </w:r>
            <w:r>
              <w:rPr>
                <w:rStyle w:val="11"/>
                <w:sz w:val="20"/>
                <w:szCs w:val="20"/>
              </w:rPr>
              <w:t>1</w:t>
            </w:r>
            <w:r>
              <w:rPr>
                <w:rStyle w:val="13"/>
                <w:rFonts w:hint="default" w:ascii="Times New Roman" w:hAnsi="Times New Roman" w:cs="Times New Roman"/>
                <w:sz w:val="20"/>
                <w:szCs w:val="20"/>
              </w:rPr>
              <w:t>例不符合扣</w:t>
            </w:r>
            <w:r>
              <w:rPr>
                <w:rStyle w:val="11"/>
                <w:sz w:val="20"/>
                <w:szCs w:val="20"/>
              </w:rPr>
              <w:t>0.2</w:t>
            </w:r>
            <w:r>
              <w:rPr>
                <w:rStyle w:val="13"/>
                <w:rFonts w:hint="default" w:ascii="Times New Roman" w:hAnsi="Times New Roman" w:cs="Times New Roman"/>
                <w:sz w:val="20"/>
                <w:szCs w:val="20"/>
              </w:rPr>
              <w:t>分。</w:t>
            </w:r>
          </w:p>
        </w:tc>
        <w:tc>
          <w:tcPr>
            <w:tcW w:w="477" w:type="pct"/>
            <w:tcMar>
              <w:top w:w="15" w:type="dxa"/>
              <w:left w:w="15" w:type="dxa"/>
              <w:right w:w="15" w:type="dxa"/>
            </w:tcMar>
            <w:vAlign w:val="center"/>
          </w:tcPr>
          <w:p>
            <w:pPr>
              <w:widowControl/>
              <w:spacing w:line="26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rStyle w:val="13"/>
                <w:rFonts w:hint="default" w:ascii="Times New Roman" w:hAnsi="Times New Roman" w:cs="Times New Roman"/>
                <w:sz w:val="20"/>
                <w:szCs w:val="20"/>
              </w:rPr>
              <w:t>资金使用</w:t>
            </w:r>
            <w:r>
              <w:rPr>
                <w:rStyle w:val="11"/>
                <w:sz w:val="20"/>
                <w:szCs w:val="20"/>
              </w:rPr>
              <w:br w:type="textWrapping"/>
            </w:r>
            <w:r>
              <w:rPr>
                <w:rStyle w:val="13"/>
                <w:rFonts w:hint="default" w:ascii="Times New Roman" w:hAnsi="Times New Roman" w:cs="Times New Roman"/>
                <w:sz w:val="20"/>
                <w:szCs w:val="20"/>
              </w:rPr>
              <w:t>合规性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6</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13"/>
                <w:rFonts w:hint="default" w:ascii="Times New Roman" w:hAnsi="Times New Roman" w:cs="Times New Roman"/>
                <w:sz w:val="20"/>
                <w:szCs w:val="20"/>
              </w:rPr>
              <w:t>①是否符合国家财经法规和财务管理制度以及有关专项资金管理办法的规定；</w:t>
            </w:r>
            <w:r>
              <w:rPr>
                <w:rStyle w:val="11"/>
                <w:sz w:val="20"/>
                <w:szCs w:val="20"/>
              </w:rPr>
              <w:br w:type="textWrapping"/>
            </w:r>
            <w:r>
              <w:rPr>
                <w:rStyle w:val="13"/>
                <w:rFonts w:hint="default" w:ascii="Times New Roman" w:hAnsi="Times New Roman" w:cs="Times New Roman"/>
                <w:sz w:val="20"/>
                <w:szCs w:val="20"/>
              </w:rPr>
              <w:t>②资金的支付是否有完整的审批程序和手续；</w:t>
            </w:r>
            <w:r>
              <w:rPr>
                <w:rStyle w:val="11"/>
                <w:sz w:val="20"/>
                <w:szCs w:val="20"/>
              </w:rPr>
              <w:br w:type="textWrapping"/>
            </w:r>
            <w:r>
              <w:rPr>
                <w:rStyle w:val="13"/>
                <w:rFonts w:hint="default" w:ascii="Times New Roman" w:hAnsi="Times New Roman" w:cs="Times New Roman"/>
                <w:sz w:val="20"/>
                <w:szCs w:val="20"/>
              </w:rPr>
              <w:t>③重大项目开支和大额资金使用是否经单位党组集体研究决策；</w:t>
            </w:r>
            <w:r>
              <w:rPr>
                <w:rStyle w:val="11"/>
                <w:sz w:val="20"/>
                <w:szCs w:val="20"/>
              </w:rPr>
              <w:br w:type="textWrapping"/>
            </w:r>
            <w:r>
              <w:rPr>
                <w:rStyle w:val="13"/>
                <w:rFonts w:hint="default" w:ascii="Times New Roman" w:hAnsi="Times New Roman" w:cs="Times New Roman"/>
                <w:sz w:val="20"/>
                <w:szCs w:val="20"/>
              </w:rPr>
              <w:t>④是否符合项目预算批复或合同规定的用途；</w:t>
            </w:r>
            <w:r>
              <w:rPr>
                <w:rStyle w:val="11"/>
                <w:sz w:val="20"/>
                <w:szCs w:val="20"/>
              </w:rPr>
              <w:br w:type="textWrapping"/>
            </w:r>
            <w:r>
              <w:rPr>
                <w:rStyle w:val="13"/>
                <w:rFonts w:hint="default" w:ascii="Times New Roman" w:hAnsi="Times New Roman" w:cs="Times New Roman"/>
                <w:sz w:val="20"/>
                <w:szCs w:val="20"/>
              </w:rPr>
              <w:t>⑤是否存在截留、挤占、挪用、虚列支出等情况；</w:t>
            </w:r>
            <w:r>
              <w:rPr>
                <w:rStyle w:val="11"/>
                <w:sz w:val="20"/>
                <w:szCs w:val="20"/>
              </w:rPr>
              <w:br w:type="textWrapping"/>
            </w:r>
            <w:r>
              <w:rPr>
                <w:rStyle w:val="13"/>
                <w:rFonts w:hint="default" w:ascii="Times New Roman" w:hAnsi="Times New Roman" w:cs="Times New Roman"/>
                <w:sz w:val="20"/>
                <w:szCs w:val="20"/>
              </w:rPr>
              <w:t>⑥是否存在重复申报项目、虚报冒领资金。</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13"/>
                <w:rFonts w:hint="default" w:ascii="Times New Roman" w:hAnsi="Times New Roman" w:cs="Times New Roman"/>
                <w:sz w:val="20"/>
                <w:szCs w:val="20"/>
              </w:rPr>
              <w:t>①符合国家财经法规和财务管理制度以及有关专项资金管理办法的规定，计</w:t>
            </w:r>
            <w:r>
              <w:rPr>
                <w:rStyle w:val="11"/>
                <w:sz w:val="20"/>
                <w:szCs w:val="20"/>
              </w:rPr>
              <w:t>1</w:t>
            </w:r>
            <w:r>
              <w:rPr>
                <w:rStyle w:val="13"/>
                <w:rFonts w:hint="default" w:ascii="Times New Roman" w:hAnsi="Times New Roman" w:cs="Times New Roman"/>
                <w:sz w:val="20"/>
                <w:szCs w:val="20"/>
              </w:rPr>
              <w:t>分，</w:t>
            </w:r>
            <w:r>
              <w:rPr>
                <w:rStyle w:val="11"/>
                <w:sz w:val="20"/>
                <w:szCs w:val="20"/>
              </w:rPr>
              <w:t>1</w:t>
            </w:r>
            <w:r>
              <w:rPr>
                <w:rStyle w:val="13"/>
                <w:rFonts w:hint="default" w:ascii="Times New Roman" w:hAnsi="Times New Roman" w:cs="Times New Roman"/>
                <w:sz w:val="20"/>
                <w:szCs w:val="20"/>
              </w:rPr>
              <w:t>例不符合扣</w:t>
            </w:r>
            <w:r>
              <w:rPr>
                <w:rStyle w:val="11"/>
                <w:sz w:val="20"/>
                <w:szCs w:val="20"/>
              </w:rPr>
              <w:t>0.2</w:t>
            </w:r>
            <w:r>
              <w:rPr>
                <w:rStyle w:val="13"/>
                <w:rFonts w:hint="default" w:ascii="Times New Roman" w:hAnsi="Times New Roman" w:cs="Times New Roman"/>
                <w:sz w:val="20"/>
                <w:szCs w:val="20"/>
              </w:rPr>
              <w:t>分；</w:t>
            </w:r>
            <w:r>
              <w:rPr>
                <w:rStyle w:val="11"/>
                <w:sz w:val="20"/>
                <w:szCs w:val="20"/>
              </w:rPr>
              <w:br w:type="textWrapping"/>
            </w:r>
            <w:r>
              <w:rPr>
                <w:rStyle w:val="13"/>
                <w:rFonts w:hint="default" w:ascii="Times New Roman" w:hAnsi="Times New Roman" w:cs="Times New Roman"/>
                <w:sz w:val="20"/>
                <w:szCs w:val="20"/>
              </w:rPr>
              <w:t>②资金的支付有完整的审批程序和手续，计</w:t>
            </w:r>
            <w:r>
              <w:rPr>
                <w:rStyle w:val="11"/>
                <w:sz w:val="20"/>
                <w:szCs w:val="20"/>
              </w:rPr>
              <w:t>1</w:t>
            </w:r>
            <w:r>
              <w:rPr>
                <w:rStyle w:val="13"/>
                <w:rFonts w:hint="default" w:ascii="Times New Roman" w:hAnsi="Times New Roman" w:cs="Times New Roman"/>
                <w:sz w:val="20"/>
                <w:szCs w:val="20"/>
              </w:rPr>
              <w:t>分，</w:t>
            </w:r>
            <w:r>
              <w:rPr>
                <w:rStyle w:val="11"/>
                <w:sz w:val="20"/>
                <w:szCs w:val="20"/>
              </w:rPr>
              <w:t>1</w:t>
            </w:r>
            <w:r>
              <w:rPr>
                <w:rStyle w:val="13"/>
                <w:rFonts w:hint="default" w:ascii="Times New Roman" w:hAnsi="Times New Roman" w:cs="Times New Roman"/>
                <w:sz w:val="20"/>
                <w:szCs w:val="20"/>
              </w:rPr>
              <w:t>例不符合扣</w:t>
            </w:r>
            <w:r>
              <w:rPr>
                <w:rStyle w:val="11"/>
                <w:sz w:val="20"/>
                <w:szCs w:val="20"/>
              </w:rPr>
              <w:t>0.2</w:t>
            </w:r>
            <w:r>
              <w:rPr>
                <w:rStyle w:val="13"/>
                <w:rFonts w:hint="default" w:ascii="Times New Roman" w:hAnsi="Times New Roman" w:cs="Times New Roman"/>
                <w:sz w:val="20"/>
                <w:szCs w:val="20"/>
              </w:rPr>
              <w:t>分；</w:t>
            </w:r>
            <w:r>
              <w:rPr>
                <w:rStyle w:val="11"/>
                <w:sz w:val="20"/>
                <w:szCs w:val="20"/>
              </w:rPr>
              <w:br w:type="textWrapping"/>
            </w:r>
            <w:r>
              <w:rPr>
                <w:rStyle w:val="13"/>
                <w:rFonts w:hint="default" w:ascii="Times New Roman" w:hAnsi="Times New Roman" w:cs="Times New Roman"/>
                <w:sz w:val="20"/>
                <w:szCs w:val="20"/>
              </w:rPr>
              <w:t>③重大项目开支和大额资金使用经过单位党组集体研究决策，计</w:t>
            </w:r>
            <w:r>
              <w:rPr>
                <w:rStyle w:val="11"/>
                <w:sz w:val="20"/>
                <w:szCs w:val="20"/>
              </w:rPr>
              <w:t>1</w:t>
            </w:r>
            <w:r>
              <w:rPr>
                <w:rStyle w:val="13"/>
                <w:rFonts w:hint="default" w:ascii="Times New Roman" w:hAnsi="Times New Roman" w:cs="Times New Roman"/>
                <w:sz w:val="20"/>
                <w:szCs w:val="20"/>
              </w:rPr>
              <w:t>分，</w:t>
            </w:r>
            <w:r>
              <w:rPr>
                <w:rStyle w:val="11"/>
                <w:sz w:val="20"/>
                <w:szCs w:val="20"/>
              </w:rPr>
              <w:t>1</w:t>
            </w:r>
            <w:r>
              <w:rPr>
                <w:rStyle w:val="13"/>
                <w:rFonts w:hint="default" w:ascii="Times New Roman" w:hAnsi="Times New Roman" w:cs="Times New Roman"/>
                <w:sz w:val="20"/>
                <w:szCs w:val="20"/>
              </w:rPr>
              <w:t>例不符合扣</w:t>
            </w:r>
            <w:r>
              <w:rPr>
                <w:rStyle w:val="11"/>
                <w:sz w:val="20"/>
                <w:szCs w:val="20"/>
              </w:rPr>
              <w:t>0.2</w:t>
            </w:r>
            <w:r>
              <w:rPr>
                <w:rStyle w:val="13"/>
                <w:rFonts w:hint="default" w:ascii="Times New Roman" w:hAnsi="Times New Roman" w:cs="Times New Roman"/>
                <w:sz w:val="20"/>
                <w:szCs w:val="20"/>
              </w:rPr>
              <w:t>分；</w:t>
            </w:r>
            <w:r>
              <w:rPr>
                <w:rStyle w:val="11"/>
                <w:sz w:val="20"/>
                <w:szCs w:val="20"/>
              </w:rPr>
              <w:br w:type="textWrapping"/>
            </w:r>
            <w:r>
              <w:rPr>
                <w:rStyle w:val="13"/>
                <w:rFonts w:hint="default" w:ascii="Times New Roman" w:hAnsi="Times New Roman" w:cs="Times New Roman"/>
                <w:sz w:val="20"/>
                <w:szCs w:val="20"/>
              </w:rPr>
              <w:t>④符合项目预算批复或合同规定的用途，计</w:t>
            </w:r>
            <w:r>
              <w:rPr>
                <w:rStyle w:val="11"/>
                <w:sz w:val="20"/>
                <w:szCs w:val="20"/>
              </w:rPr>
              <w:t>1</w:t>
            </w:r>
            <w:r>
              <w:rPr>
                <w:rStyle w:val="13"/>
                <w:rFonts w:hint="default" w:ascii="Times New Roman" w:hAnsi="Times New Roman" w:cs="Times New Roman"/>
                <w:sz w:val="20"/>
                <w:szCs w:val="20"/>
              </w:rPr>
              <w:t>分，</w:t>
            </w:r>
            <w:r>
              <w:rPr>
                <w:rStyle w:val="11"/>
                <w:sz w:val="20"/>
                <w:szCs w:val="20"/>
              </w:rPr>
              <w:t>1</w:t>
            </w:r>
            <w:r>
              <w:rPr>
                <w:rStyle w:val="13"/>
                <w:rFonts w:hint="default" w:ascii="Times New Roman" w:hAnsi="Times New Roman" w:cs="Times New Roman"/>
                <w:sz w:val="20"/>
                <w:szCs w:val="20"/>
              </w:rPr>
              <w:t>例不符合扣</w:t>
            </w:r>
            <w:r>
              <w:rPr>
                <w:rStyle w:val="11"/>
                <w:sz w:val="20"/>
                <w:szCs w:val="20"/>
              </w:rPr>
              <w:t>0.2</w:t>
            </w:r>
            <w:r>
              <w:rPr>
                <w:rStyle w:val="13"/>
                <w:rFonts w:hint="default" w:ascii="Times New Roman" w:hAnsi="Times New Roman" w:cs="Times New Roman"/>
                <w:sz w:val="20"/>
                <w:szCs w:val="20"/>
              </w:rPr>
              <w:t>分；</w:t>
            </w:r>
            <w:r>
              <w:rPr>
                <w:rStyle w:val="11"/>
                <w:sz w:val="20"/>
                <w:szCs w:val="20"/>
              </w:rPr>
              <w:br w:type="textWrapping"/>
            </w:r>
            <w:r>
              <w:rPr>
                <w:rStyle w:val="13"/>
                <w:rFonts w:hint="default" w:ascii="Times New Roman" w:hAnsi="Times New Roman" w:cs="Times New Roman"/>
                <w:sz w:val="20"/>
                <w:szCs w:val="20"/>
              </w:rPr>
              <w:t>⑤不存在截留、挤占、挪用、虚列支出等情况，计</w:t>
            </w:r>
            <w:r>
              <w:rPr>
                <w:rStyle w:val="11"/>
                <w:sz w:val="20"/>
                <w:szCs w:val="20"/>
              </w:rPr>
              <w:t>1</w:t>
            </w:r>
            <w:r>
              <w:rPr>
                <w:rStyle w:val="13"/>
                <w:rFonts w:hint="default" w:ascii="Times New Roman" w:hAnsi="Times New Roman" w:cs="Times New Roman"/>
                <w:sz w:val="20"/>
                <w:szCs w:val="20"/>
              </w:rPr>
              <w:t>分，</w:t>
            </w:r>
            <w:r>
              <w:rPr>
                <w:rStyle w:val="11"/>
                <w:sz w:val="20"/>
                <w:szCs w:val="20"/>
              </w:rPr>
              <w:t>1</w:t>
            </w:r>
            <w:r>
              <w:rPr>
                <w:rStyle w:val="13"/>
                <w:rFonts w:hint="default" w:ascii="Times New Roman" w:hAnsi="Times New Roman" w:cs="Times New Roman"/>
                <w:sz w:val="20"/>
                <w:szCs w:val="20"/>
              </w:rPr>
              <w:t>例不符合本指标</w:t>
            </w:r>
            <w:r>
              <w:rPr>
                <w:rStyle w:val="11"/>
                <w:sz w:val="20"/>
                <w:szCs w:val="20"/>
              </w:rPr>
              <w:t>6</w:t>
            </w:r>
            <w:r>
              <w:rPr>
                <w:rStyle w:val="13"/>
                <w:rFonts w:hint="default" w:ascii="Times New Roman" w:hAnsi="Times New Roman" w:cs="Times New Roman"/>
                <w:sz w:val="20"/>
                <w:szCs w:val="20"/>
              </w:rPr>
              <w:t>分全扣；</w:t>
            </w:r>
            <w:r>
              <w:rPr>
                <w:rStyle w:val="11"/>
                <w:sz w:val="20"/>
                <w:szCs w:val="20"/>
              </w:rPr>
              <w:br w:type="textWrapping"/>
            </w:r>
            <w:r>
              <w:rPr>
                <w:rStyle w:val="13"/>
                <w:rFonts w:hint="default" w:ascii="Times New Roman" w:hAnsi="Times New Roman" w:cs="Times New Roman"/>
                <w:sz w:val="20"/>
                <w:szCs w:val="20"/>
              </w:rPr>
              <w:t>⑥</w:t>
            </w:r>
            <w:r>
              <w:rPr>
                <w:rStyle w:val="13"/>
                <w:rFonts w:hint="default" w:ascii="Times New Roman" w:hAnsi="Times New Roman" w:cs="Times New Roman"/>
                <w:spacing w:val="-6"/>
                <w:sz w:val="20"/>
                <w:szCs w:val="20"/>
              </w:rPr>
              <w:t>不存在重复申报项目、虚报冒领资金，计</w:t>
            </w:r>
            <w:r>
              <w:rPr>
                <w:rStyle w:val="11"/>
                <w:spacing w:val="-6"/>
                <w:sz w:val="20"/>
                <w:szCs w:val="20"/>
              </w:rPr>
              <w:t>1</w:t>
            </w:r>
            <w:r>
              <w:rPr>
                <w:rStyle w:val="13"/>
                <w:rFonts w:hint="default" w:ascii="Times New Roman" w:hAnsi="Times New Roman" w:cs="Times New Roman"/>
                <w:spacing w:val="-6"/>
                <w:sz w:val="20"/>
                <w:szCs w:val="20"/>
              </w:rPr>
              <w:t>分，</w:t>
            </w:r>
            <w:r>
              <w:rPr>
                <w:rStyle w:val="11"/>
                <w:spacing w:val="-6"/>
                <w:sz w:val="20"/>
                <w:szCs w:val="20"/>
              </w:rPr>
              <w:t>1</w:t>
            </w:r>
            <w:r>
              <w:rPr>
                <w:rStyle w:val="13"/>
                <w:rFonts w:hint="default" w:ascii="Times New Roman" w:hAnsi="Times New Roman" w:cs="Times New Roman"/>
                <w:spacing w:val="-6"/>
                <w:sz w:val="20"/>
                <w:szCs w:val="20"/>
              </w:rPr>
              <w:t>例不符合本指标6分全扣；</w:t>
            </w:r>
            <w:r>
              <w:rPr>
                <w:rStyle w:val="13"/>
                <w:rFonts w:hint="default" w:ascii="Times New Roman" w:hAnsi="Times New Roman" w:cs="Times New Roman"/>
                <w:sz w:val="20"/>
                <w:szCs w:val="20"/>
              </w:rPr>
              <w:br w:type="textWrapping"/>
            </w:r>
            <w:r>
              <w:rPr>
                <w:rStyle w:val="13"/>
                <w:rFonts w:hint="default" w:ascii="Times New Roman" w:hAnsi="Times New Roman" w:cs="Times New Roman"/>
                <w:sz w:val="20"/>
                <w:szCs w:val="20"/>
              </w:rPr>
              <w:t>⑦违规情况特别严重的，重点绩效评价等级定为“差”。</w:t>
            </w:r>
          </w:p>
        </w:tc>
        <w:tc>
          <w:tcPr>
            <w:tcW w:w="477" w:type="pct"/>
            <w:tcMar>
              <w:top w:w="15" w:type="dxa"/>
              <w:left w:w="15" w:type="dxa"/>
              <w:right w:w="15" w:type="dxa"/>
            </w:tcMar>
            <w:vAlign w:val="center"/>
          </w:tcPr>
          <w:p>
            <w:pPr>
              <w:widowControl/>
              <w:spacing w:line="26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rStyle w:val="13"/>
                <w:rFonts w:hint="default" w:ascii="Times New Roman" w:hAnsi="Times New Roman" w:cs="Times New Roman"/>
                <w:sz w:val="20"/>
                <w:szCs w:val="20"/>
              </w:rPr>
              <w:t>过程</w:t>
            </w:r>
            <w:r>
              <w:rPr>
                <w:rStyle w:val="11"/>
                <w:sz w:val="20"/>
                <w:szCs w:val="20"/>
              </w:rPr>
              <w:br w:type="textWrapping"/>
            </w:r>
            <w:r>
              <w:rPr>
                <w:rStyle w:val="13"/>
                <w:rFonts w:hint="default" w:ascii="Times New Roman" w:hAnsi="Times New Roman" w:cs="Times New Roman"/>
                <w:sz w:val="20"/>
                <w:szCs w:val="20"/>
              </w:rPr>
              <w:t>（</w:t>
            </w:r>
            <w:r>
              <w:rPr>
                <w:rStyle w:val="11"/>
                <w:sz w:val="20"/>
                <w:szCs w:val="20"/>
              </w:rPr>
              <w:t>40</w:t>
            </w:r>
            <w:r>
              <w:rPr>
                <w:rStyle w:val="13"/>
                <w:rFonts w:hint="default" w:ascii="Times New Roman" w:hAnsi="Times New Roman" w:cs="Times New Roman"/>
                <w:sz w:val="20"/>
                <w:szCs w:val="20"/>
              </w:rPr>
              <w:t>分）</w:t>
            </w: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rStyle w:val="13"/>
                <w:rFonts w:hint="default" w:ascii="Times New Roman" w:hAnsi="Times New Roman" w:cs="Times New Roman"/>
                <w:sz w:val="20"/>
                <w:szCs w:val="20"/>
              </w:rPr>
              <w:t>预算</w:t>
            </w:r>
            <w:r>
              <w:rPr>
                <w:rStyle w:val="11"/>
                <w:sz w:val="20"/>
                <w:szCs w:val="20"/>
              </w:rPr>
              <w:br w:type="textWrapping"/>
            </w:r>
            <w:r>
              <w:rPr>
                <w:rStyle w:val="13"/>
                <w:rFonts w:hint="default" w:ascii="Times New Roman" w:hAnsi="Times New Roman" w:cs="Times New Roman"/>
                <w:sz w:val="20"/>
                <w:szCs w:val="20"/>
              </w:rPr>
              <w:t>管理</w:t>
            </w:r>
            <w:r>
              <w:rPr>
                <w:rStyle w:val="11"/>
                <w:sz w:val="20"/>
                <w:szCs w:val="20"/>
              </w:rPr>
              <w:br w:type="textWrapping"/>
            </w:r>
            <w:r>
              <w:rPr>
                <w:rStyle w:val="13"/>
                <w:rFonts w:hint="default" w:ascii="Times New Roman" w:hAnsi="Times New Roman" w:cs="Times New Roman"/>
                <w:sz w:val="20"/>
                <w:szCs w:val="20"/>
              </w:rPr>
              <w:t>（</w:t>
            </w:r>
            <w:r>
              <w:rPr>
                <w:rStyle w:val="11"/>
                <w:sz w:val="20"/>
                <w:szCs w:val="20"/>
              </w:rPr>
              <w:t>20</w:t>
            </w:r>
            <w:r>
              <w:rPr>
                <w:rStyle w:val="13"/>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信息</w:t>
            </w:r>
          </w:p>
          <w:p>
            <w:pPr>
              <w:widowControl/>
              <w:spacing w:line="280" w:lineRule="exact"/>
              <w:jc w:val="center"/>
              <w:textAlignment w:val="center"/>
              <w:rPr>
                <w:color w:val="000000"/>
                <w:sz w:val="20"/>
                <w:szCs w:val="20"/>
              </w:rPr>
            </w:pPr>
            <w:r>
              <w:rPr>
                <w:color w:val="000000"/>
                <w:kern w:val="0"/>
                <w:sz w:val="20"/>
                <w:szCs w:val="20"/>
              </w:rPr>
              <w:t>公开性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13"/>
                <w:rFonts w:hint="default" w:ascii="Times New Roman" w:hAnsi="Times New Roman" w:cs="Times New Roman"/>
                <w:sz w:val="20"/>
                <w:szCs w:val="20"/>
              </w:rPr>
              <w:t>①预算单位按规定及时、准确、完整的公开预决算和绩效管理信息；</w:t>
            </w:r>
            <w:r>
              <w:rPr>
                <w:rStyle w:val="11"/>
                <w:sz w:val="20"/>
                <w:szCs w:val="20"/>
              </w:rPr>
              <w:br w:type="textWrapping"/>
            </w:r>
            <w:r>
              <w:rPr>
                <w:rStyle w:val="13"/>
                <w:rFonts w:hint="default" w:ascii="Times New Roman" w:hAnsi="Times New Roman" w:cs="Times New Roman"/>
                <w:sz w:val="20"/>
                <w:szCs w:val="20"/>
              </w:rPr>
              <w:t>②基础数据信息和会计信息资料真实、准确、完整；</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13"/>
                <w:rFonts w:hint="default" w:ascii="Times New Roman" w:hAnsi="Times New Roman" w:cs="Times New Roman"/>
                <w:sz w:val="20"/>
                <w:szCs w:val="20"/>
              </w:rPr>
              <w:t>①、②各计</w:t>
            </w:r>
            <w:r>
              <w:rPr>
                <w:rStyle w:val="11"/>
                <w:sz w:val="20"/>
                <w:szCs w:val="20"/>
              </w:rPr>
              <w:t>1</w:t>
            </w:r>
            <w:r>
              <w:rPr>
                <w:rStyle w:val="13"/>
                <w:rFonts w:hint="default" w:ascii="Times New Roman" w:hAnsi="Times New Roman" w:cs="Times New Roman"/>
                <w:sz w:val="20"/>
                <w:szCs w:val="20"/>
              </w:rPr>
              <w:t>分，否则，酌情扣分；</w:t>
            </w:r>
          </w:p>
        </w:tc>
        <w:tc>
          <w:tcPr>
            <w:tcW w:w="477" w:type="pct"/>
            <w:tcMar>
              <w:top w:w="15" w:type="dxa"/>
              <w:left w:w="15" w:type="dxa"/>
              <w:right w:w="15" w:type="dxa"/>
            </w:tcMar>
            <w:vAlign w:val="center"/>
          </w:tcPr>
          <w:p>
            <w:pPr>
              <w:widowControl/>
              <w:spacing w:line="28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13"/>
                <w:rFonts w:hint="default" w:ascii="Times New Roman" w:hAnsi="Times New Roman" w:cs="Times New Roman"/>
                <w:sz w:val="20"/>
                <w:szCs w:val="20"/>
              </w:rPr>
              <w:t>绩效自评</w:t>
            </w:r>
            <w:r>
              <w:rPr>
                <w:rStyle w:val="11"/>
                <w:sz w:val="20"/>
                <w:szCs w:val="20"/>
              </w:rPr>
              <w:br w:type="textWrapping"/>
            </w:r>
            <w:r>
              <w:rPr>
                <w:rStyle w:val="13"/>
                <w:rFonts w:hint="default" w:ascii="Times New Roman" w:hAnsi="Times New Roman" w:cs="Times New Roman"/>
                <w:sz w:val="20"/>
                <w:szCs w:val="20"/>
              </w:rPr>
              <w:t>管理情况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13"/>
                <w:rFonts w:hint="default" w:ascii="Times New Roman" w:hAnsi="Times New Roman" w:cs="Times New Roman"/>
                <w:sz w:val="20"/>
                <w:szCs w:val="20"/>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13"/>
                <w:rFonts w:hint="default" w:ascii="Times New Roman" w:hAnsi="Times New Roman" w:cs="Times New Roman"/>
                <w:sz w:val="20"/>
                <w:szCs w:val="20"/>
              </w:rPr>
              <w:t>根据区财政局2020年考核结果，评审为优，计</w:t>
            </w:r>
            <w:r>
              <w:rPr>
                <w:rStyle w:val="11"/>
                <w:sz w:val="20"/>
                <w:szCs w:val="20"/>
              </w:rPr>
              <w:t>4</w:t>
            </w:r>
            <w:r>
              <w:rPr>
                <w:rStyle w:val="13"/>
                <w:rFonts w:hint="default" w:ascii="Times New Roman" w:hAnsi="Times New Roman" w:cs="Times New Roman"/>
                <w:sz w:val="20"/>
                <w:szCs w:val="20"/>
              </w:rPr>
              <w:t>分；评审为良，计</w:t>
            </w:r>
            <w:r>
              <w:rPr>
                <w:rStyle w:val="11"/>
                <w:sz w:val="20"/>
                <w:szCs w:val="20"/>
              </w:rPr>
              <w:t>3</w:t>
            </w:r>
            <w:r>
              <w:rPr>
                <w:rStyle w:val="13"/>
                <w:rFonts w:hint="default" w:ascii="Times New Roman" w:hAnsi="Times New Roman" w:cs="Times New Roman"/>
                <w:sz w:val="20"/>
                <w:szCs w:val="20"/>
              </w:rPr>
              <w:t>分；评审为中，计</w:t>
            </w:r>
            <w:r>
              <w:rPr>
                <w:rStyle w:val="11"/>
                <w:sz w:val="20"/>
                <w:szCs w:val="20"/>
              </w:rPr>
              <w:t>2</w:t>
            </w:r>
            <w:r>
              <w:rPr>
                <w:rStyle w:val="13"/>
                <w:rFonts w:hint="default" w:ascii="Times New Roman" w:hAnsi="Times New Roman" w:cs="Times New Roman"/>
                <w:sz w:val="20"/>
                <w:szCs w:val="20"/>
              </w:rPr>
              <w:t>分；评审为低，计</w:t>
            </w:r>
            <w:r>
              <w:rPr>
                <w:rStyle w:val="11"/>
                <w:sz w:val="20"/>
                <w:szCs w:val="20"/>
              </w:rPr>
              <w:t>1</w:t>
            </w:r>
            <w:r>
              <w:rPr>
                <w:rStyle w:val="13"/>
                <w:rFonts w:hint="default" w:ascii="Times New Roman" w:hAnsi="Times New Roman" w:cs="Times New Roman"/>
                <w:sz w:val="20"/>
                <w:szCs w:val="20"/>
              </w:rPr>
              <w:t>分；评审为差，计</w:t>
            </w:r>
            <w:r>
              <w:rPr>
                <w:rStyle w:val="11"/>
                <w:sz w:val="20"/>
                <w:szCs w:val="20"/>
              </w:rPr>
              <w:t>0</w:t>
            </w:r>
            <w:r>
              <w:rPr>
                <w:rStyle w:val="13"/>
                <w:rFonts w:hint="default" w:ascii="Times New Roman" w:hAnsi="Times New Roman" w:cs="Times New Roman"/>
                <w:sz w:val="20"/>
                <w:szCs w:val="20"/>
              </w:rPr>
              <w:t>分。</w:t>
            </w:r>
          </w:p>
        </w:tc>
        <w:tc>
          <w:tcPr>
            <w:tcW w:w="477" w:type="pct"/>
            <w:tcMar>
              <w:top w:w="15" w:type="dxa"/>
              <w:left w:w="15" w:type="dxa"/>
              <w:right w:w="15" w:type="dxa"/>
            </w:tcMar>
            <w:vAlign w:val="center"/>
          </w:tcPr>
          <w:p>
            <w:pPr>
              <w:widowControl/>
              <w:spacing w:line="28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13"/>
                <w:rFonts w:hint="default" w:ascii="Times New Roman" w:hAnsi="Times New Roman" w:cs="Times New Roman"/>
                <w:sz w:val="20"/>
                <w:szCs w:val="20"/>
              </w:rPr>
              <w:t>重点绩效评价整改情况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13"/>
                <w:rFonts w:hint="default" w:ascii="Times New Roman" w:hAnsi="Times New Roman" w:cs="Times New Roman"/>
                <w:sz w:val="20"/>
                <w:szCs w:val="20"/>
              </w:rPr>
              <w:t>对上年度财政重点评价中存在的问题是否进行整改。</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13"/>
                <w:rFonts w:hint="default" w:ascii="Times New Roman" w:hAnsi="Times New Roman" w:cs="Times New Roman"/>
                <w:sz w:val="20"/>
                <w:szCs w:val="20"/>
              </w:rPr>
              <w:t>2019年重点评价问题全部整改，计</w:t>
            </w:r>
            <w:r>
              <w:rPr>
                <w:rStyle w:val="11"/>
                <w:sz w:val="20"/>
                <w:szCs w:val="20"/>
              </w:rPr>
              <w:t>5</w:t>
            </w:r>
            <w:r>
              <w:rPr>
                <w:rStyle w:val="13"/>
                <w:rFonts w:hint="default" w:ascii="Times New Roman" w:hAnsi="Times New Roman" w:cs="Times New Roman"/>
                <w:sz w:val="20"/>
                <w:szCs w:val="20"/>
              </w:rPr>
              <w:t>分；2019年重点评价问题部分整改，计</w:t>
            </w:r>
            <w:r>
              <w:rPr>
                <w:rStyle w:val="11"/>
                <w:sz w:val="20"/>
                <w:szCs w:val="20"/>
              </w:rPr>
              <w:t>3</w:t>
            </w:r>
            <w:r>
              <w:rPr>
                <w:rStyle w:val="13"/>
                <w:rFonts w:hint="default" w:ascii="Times New Roman" w:hAnsi="Times New Roman" w:cs="Times New Roman"/>
                <w:sz w:val="20"/>
                <w:szCs w:val="20"/>
              </w:rPr>
              <w:t>分；2019年重点评价问题未整改且无整改情况说明的不计分。</w:t>
            </w:r>
          </w:p>
        </w:tc>
        <w:tc>
          <w:tcPr>
            <w:tcW w:w="477" w:type="pct"/>
            <w:tcMar>
              <w:top w:w="15" w:type="dxa"/>
              <w:left w:w="15" w:type="dxa"/>
              <w:right w:w="15" w:type="dxa"/>
            </w:tcMar>
            <w:vAlign w:val="center"/>
          </w:tcPr>
          <w:p>
            <w:pPr>
              <w:widowControl/>
              <w:spacing w:line="28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tcMar>
              <w:top w:w="15" w:type="dxa"/>
              <w:left w:w="15" w:type="dxa"/>
              <w:right w:w="15" w:type="dxa"/>
            </w:tcMar>
            <w:vAlign w:val="center"/>
          </w:tcPr>
          <w:p>
            <w:pPr>
              <w:widowControl/>
              <w:spacing w:line="280" w:lineRule="exact"/>
              <w:jc w:val="center"/>
              <w:textAlignment w:val="center"/>
              <w:rPr>
                <w:color w:val="000000"/>
                <w:sz w:val="20"/>
                <w:szCs w:val="20"/>
              </w:rPr>
            </w:pPr>
          </w:p>
        </w:tc>
        <w:tc>
          <w:tcPr>
            <w:tcW w:w="373" w:type="pct"/>
            <w:vMerge w:val="restart"/>
            <w:tcMar>
              <w:top w:w="15" w:type="dxa"/>
              <w:left w:w="15" w:type="dxa"/>
              <w:right w:w="15" w:type="dxa"/>
            </w:tcMar>
            <w:vAlign w:val="center"/>
          </w:tcPr>
          <w:p>
            <w:pPr>
              <w:widowControl/>
              <w:spacing w:line="280" w:lineRule="exact"/>
              <w:jc w:val="center"/>
              <w:textAlignment w:val="center"/>
              <w:rPr>
                <w:color w:val="000000"/>
                <w:sz w:val="20"/>
                <w:szCs w:val="20"/>
              </w:rPr>
            </w:pPr>
            <w:r>
              <w:rPr>
                <w:rStyle w:val="13"/>
                <w:rFonts w:hint="default" w:ascii="Times New Roman" w:hAnsi="Times New Roman" w:cs="Times New Roman"/>
                <w:sz w:val="20"/>
                <w:szCs w:val="20"/>
              </w:rPr>
              <w:t>资产</w:t>
            </w:r>
            <w:r>
              <w:rPr>
                <w:rStyle w:val="11"/>
                <w:sz w:val="20"/>
                <w:szCs w:val="20"/>
              </w:rPr>
              <w:br w:type="textWrapping"/>
            </w:r>
            <w:r>
              <w:rPr>
                <w:rStyle w:val="13"/>
                <w:rFonts w:hint="default" w:ascii="Times New Roman" w:hAnsi="Times New Roman" w:cs="Times New Roman"/>
                <w:sz w:val="20"/>
                <w:szCs w:val="20"/>
              </w:rPr>
              <w:t>管理</w:t>
            </w:r>
            <w:r>
              <w:rPr>
                <w:rStyle w:val="11"/>
                <w:sz w:val="20"/>
                <w:szCs w:val="20"/>
              </w:rPr>
              <w:br w:type="textWrapping"/>
            </w:r>
            <w:r>
              <w:rPr>
                <w:rStyle w:val="13"/>
                <w:rFonts w:hint="default" w:ascii="Times New Roman" w:hAnsi="Times New Roman" w:cs="Times New Roman"/>
                <w:sz w:val="20"/>
                <w:szCs w:val="20"/>
              </w:rPr>
              <w:t>（</w:t>
            </w:r>
            <w:r>
              <w:rPr>
                <w:rStyle w:val="11"/>
                <w:sz w:val="20"/>
                <w:szCs w:val="20"/>
              </w:rPr>
              <w:t>5</w:t>
            </w:r>
            <w:r>
              <w:rPr>
                <w:rStyle w:val="13"/>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资产</w:t>
            </w:r>
          </w:p>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管理</w:t>
            </w:r>
            <w:r>
              <w:rPr>
                <w:rStyle w:val="11"/>
                <w:sz w:val="20"/>
                <w:szCs w:val="20"/>
              </w:rPr>
              <w:br w:type="textWrapping"/>
            </w:r>
            <w:r>
              <w:rPr>
                <w:rStyle w:val="13"/>
                <w:rFonts w:hint="default" w:ascii="Times New Roman" w:hAnsi="Times New Roman" w:cs="Times New Roman"/>
                <w:sz w:val="20"/>
                <w:szCs w:val="20"/>
              </w:rPr>
              <w:t>制度</w:t>
            </w:r>
          </w:p>
          <w:p>
            <w:pPr>
              <w:widowControl/>
              <w:spacing w:line="280" w:lineRule="exact"/>
              <w:jc w:val="center"/>
              <w:textAlignment w:val="center"/>
              <w:rPr>
                <w:color w:val="000000"/>
                <w:sz w:val="20"/>
                <w:szCs w:val="20"/>
              </w:rPr>
            </w:pPr>
            <w:r>
              <w:rPr>
                <w:rStyle w:val="13"/>
                <w:rFonts w:hint="default" w:ascii="Times New Roman" w:hAnsi="Times New Roman" w:cs="Times New Roman"/>
                <w:sz w:val="20"/>
                <w:szCs w:val="20"/>
              </w:rPr>
              <w:t>健全性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13"/>
                <w:rFonts w:hint="default" w:ascii="Times New Roman" w:hAnsi="Times New Roman" w:cs="Times New Roman"/>
                <w:sz w:val="20"/>
                <w:szCs w:val="20"/>
              </w:rPr>
              <w:t>①是否已制定合法、合规、完整的资产管理制度；</w:t>
            </w:r>
            <w:r>
              <w:rPr>
                <w:rStyle w:val="11"/>
                <w:sz w:val="20"/>
                <w:szCs w:val="20"/>
              </w:rPr>
              <w:br w:type="textWrapping"/>
            </w:r>
            <w:r>
              <w:rPr>
                <w:rStyle w:val="13"/>
                <w:rFonts w:hint="default" w:ascii="Times New Roman" w:hAnsi="Times New Roman" w:cs="Times New Roman"/>
                <w:sz w:val="20"/>
                <w:szCs w:val="20"/>
              </w:rPr>
              <w:t>②相关资产管理制度是否得到有效执行；</w:t>
            </w:r>
            <w:r>
              <w:rPr>
                <w:rStyle w:val="11"/>
                <w:sz w:val="20"/>
                <w:szCs w:val="20"/>
              </w:rPr>
              <w:br w:type="textWrapping"/>
            </w:r>
            <w:r>
              <w:rPr>
                <w:rStyle w:val="13"/>
                <w:rFonts w:hint="default" w:ascii="Times New Roman" w:hAnsi="Times New Roman" w:cs="Times New Roman"/>
                <w:sz w:val="20"/>
                <w:szCs w:val="20"/>
              </w:rPr>
              <w:t>③资产配置是否编制年度预算；</w:t>
            </w:r>
            <w:r>
              <w:rPr>
                <w:rStyle w:val="13"/>
                <w:rFonts w:hint="default" w:ascii="Times New Roman" w:hAnsi="Times New Roman" w:cs="Times New Roman"/>
                <w:sz w:val="20"/>
                <w:szCs w:val="20"/>
              </w:rPr>
              <w:br w:type="textWrapping"/>
            </w:r>
            <w:r>
              <w:rPr>
                <w:rStyle w:val="13"/>
                <w:rFonts w:hint="default" w:ascii="Times New Roman" w:hAnsi="Times New Roman" w:cs="Times New Roman"/>
                <w:sz w:val="20"/>
                <w:szCs w:val="20"/>
              </w:rPr>
              <w:t>④资产配置预算实际执行情况。</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13"/>
                <w:rFonts w:hint="default" w:ascii="Times New Roman" w:hAnsi="Times New Roman" w:cs="Times New Roman"/>
                <w:sz w:val="20"/>
                <w:szCs w:val="20"/>
              </w:rPr>
              <w:t>①已制定合法、合规、完整的资产管理制度，计</w:t>
            </w:r>
            <w:r>
              <w:rPr>
                <w:rStyle w:val="11"/>
                <w:sz w:val="20"/>
                <w:szCs w:val="20"/>
              </w:rPr>
              <w:t>0.5</w:t>
            </w:r>
            <w:r>
              <w:rPr>
                <w:rStyle w:val="13"/>
                <w:rFonts w:hint="default" w:ascii="Times New Roman" w:hAnsi="Times New Roman" w:cs="Times New Roman"/>
                <w:sz w:val="20"/>
                <w:szCs w:val="20"/>
              </w:rPr>
              <w:t>分，否则不得分；</w:t>
            </w:r>
            <w:r>
              <w:rPr>
                <w:rStyle w:val="11"/>
                <w:sz w:val="20"/>
                <w:szCs w:val="20"/>
              </w:rPr>
              <w:br w:type="textWrapping"/>
            </w:r>
            <w:r>
              <w:rPr>
                <w:rStyle w:val="13"/>
                <w:rFonts w:hint="default" w:ascii="Times New Roman" w:hAnsi="Times New Roman" w:cs="Times New Roman"/>
                <w:sz w:val="20"/>
                <w:szCs w:val="20"/>
              </w:rPr>
              <w:t>②相关资产管理制度得到有效执行，计</w:t>
            </w:r>
            <w:r>
              <w:rPr>
                <w:rStyle w:val="11"/>
                <w:sz w:val="20"/>
                <w:szCs w:val="20"/>
              </w:rPr>
              <w:t>0.5</w:t>
            </w:r>
            <w:r>
              <w:rPr>
                <w:rStyle w:val="13"/>
                <w:rFonts w:hint="default" w:ascii="Times New Roman" w:hAnsi="Times New Roman" w:cs="Times New Roman"/>
                <w:sz w:val="20"/>
                <w:szCs w:val="20"/>
              </w:rPr>
              <w:t>分，否则，不得分；</w:t>
            </w:r>
            <w:r>
              <w:rPr>
                <w:rStyle w:val="11"/>
                <w:sz w:val="20"/>
                <w:szCs w:val="20"/>
              </w:rPr>
              <w:br w:type="textWrapping"/>
            </w:r>
            <w:r>
              <w:rPr>
                <w:rStyle w:val="13"/>
                <w:rFonts w:hint="default" w:ascii="Times New Roman" w:hAnsi="Times New Roman" w:cs="Times New Roman"/>
                <w:sz w:val="20"/>
                <w:szCs w:val="20"/>
              </w:rPr>
              <w:t>③资产管理编制年度预算，计</w:t>
            </w:r>
            <w:r>
              <w:rPr>
                <w:rStyle w:val="11"/>
                <w:sz w:val="20"/>
                <w:szCs w:val="20"/>
              </w:rPr>
              <w:t>0.5</w:t>
            </w:r>
            <w:r>
              <w:rPr>
                <w:rStyle w:val="13"/>
                <w:rFonts w:hint="default" w:ascii="Times New Roman" w:hAnsi="Times New Roman" w:cs="Times New Roman"/>
                <w:sz w:val="20"/>
                <w:szCs w:val="20"/>
              </w:rPr>
              <w:t>分，未编制不得分。</w:t>
            </w:r>
            <w:r>
              <w:rPr>
                <w:rStyle w:val="11"/>
                <w:sz w:val="20"/>
                <w:szCs w:val="20"/>
              </w:rPr>
              <w:br w:type="textWrapping"/>
            </w:r>
            <w:r>
              <w:rPr>
                <w:rStyle w:val="13"/>
                <w:rFonts w:hint="default" w:ascii="Times New Roman" w:hAnsi="Times New Roman" w:cs="Times New Roman"/>
                <w:sz w:val="20"/>
                <w:szCs w:val="20"/>
              </w:rPr>
              <w:t>④资产配置预算实际执行情况未超年度预算（按程序审批除外），计</w:t>
            </w:r>
            <w:r>
              <w:rPr>
                <w:rStyle w:val="11"/>
                <w:sz w:val="20"/>
                <w:szCs w:val="20"/>
              </w:rPr>
              <w:t>0.5</w:t>
            </w:r>
            <w:r>
              <w:rPr>
                <w:rStyle w:val="13"/>
                <w:rFonts w:hint="default" w:ascii="Times New Roman" w:hAnsi="Times New Roman" w:cs="Times New Roman"/>
                <w:sz w:val="20"/>
                <w:szCs w:val="20"/>
              </w:rPr>
              <w:t>分，否则，不得分。</w:t>
            </w:r>
          </w:p>
        </w:tc>
        <w:tc>
          <w:tcPr>
            <w:tcW w:w="477" w:type="pct"/>
            <w:tcMar>
              <w:top w:w="15" w:type="dxa"/>
              <w:left w:w="15" w:type="dxa"/>
              <w:right w:w="15" w:type="dxa"/>
            </w:tcMar>
            <w:vAlign w:val="center"/>
          </w:tcPr>
          <w:p>
            <w:pPr>
              <w:widowControl/>
              <w:spacing w:line="28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13"/>
                <w:rFonts w:hint="default" w:ascii="Times New Roman" w:hAnsi="Times New Roman" w:cs="Times New Roman"/>
                <w:sz w:val="20"/>
                <w:szCs w:val="20"/>
              </w:rPr>
              <w:t>资产管理</w:t>
            </w:r>
            <w:r>
              <w:rPr>
                <w:rStyle w:val="11"/>
                <w:sz w:val="20"/>
                <w:szCs w:val="20"/>
              </w:rPr>
              <w:br w:type="textWrapping"/>
            </w:r>
            <w:r>
              <w:rPr>
                <w:rStyle w:val="13"/>
                <w:rFonts w:hint="default" w:ascii="Times New Roman" w:hAnsi="Times New Roman" w:cs="Times New Roman"/>
                <w:sz w:val="20"/>
                <w:szCs w:val="20"/>
              </w:rPr>
              <w:t>安全性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13"/>
                <w:rFonts w:hint="default" w:ascii="Times New Roman" w:hAnsi="Times New Roman" w:cs="Times New Roman"/>
                <w:sz w:val="20"/>
                <w:szCs w:val="20"/>
              </w:rPr>
              <w:t>①资产保存是否完整并有台账；</w:t>
            </w:r>
            <w:r>
              <w:rPr>
                <w:rStyle w:val="11"/>
                <w:sz w:val="20"/>
                <w:szCs w:val="20"/>
              </w:rPr>
              <w:br w:type="textWrapping"/>
            </w:r>
            <w:r>
              <w:rPr>
                <w:rStyle w:val="13"/>
                <w:rFonts w:hint="default" w:ascii="Times New Roman" w:hAnsi="Times New Roman" w:cs="Times New Roman"/>
                <w:sz w:val="20"/>
                <w:szCs w:val="20"/>
              </w:rPr>
              <w:t>②资产配置是否合理；</w:t>
            </w:r>
            <w:r>
              <w:rPr>
                <w:rStyle w:val="11"/>
                <w:sz w:val="20"/>
                <w:szCs w:val="20"/>
              </w:rPr>
              <w:br w:type="textWrapping"/>
            </w:r>
            <w:r>
              <w:rPr>
                <w:rStyle w:val="13"/>
                <w:rFonts w:hint="default" w:ascii="Times New Roman" w:hAnsi="Times New Roman" w:cs="Times New Roman"/>
                <w:sz w:val="20"/>
                <w:szCs w:val="20"/>
              </w:rPr>
              <w:t>③资产处置是否规范；</w:t>
            </w:r>
            <w:r>
              <w:rPr>
                <w:rStyle w:val="11"/>
                <w:sz w:val="20"/>
                <w:szCs w:val="20"/>
              </w:rPr>
              <w:br w:type="textWrapping"/>
            </w:r>
            <w:r>
              <w:rPr>
                <w:rStyle w:val="13"/>
                <w:rFonts w:hint="default" w:ascii="Times New Roman" w:hAnsi="Times New Roman" w:cs="Times New Roman"/>
                <w:sz w:val="20"/>
                <w:szCs w:val="20"/>
              </w:rPr>
              <w:t>④资产账务管理是否合规，是否</w:t>
            </w:r>
            <w:r>
              <w:rPr>
                <w:rStyle w:val="13"/>
                <w:rFonts w:hint="eastAsia" w:cs="Times New Roman"/>
                <w:sz w:val="20"/>
                <w:szCs w:val="20"/>
                <w:lang w:val="en-US" w:eastAsia="zh-CN"/>
              </w:rPr>
              <w:t>账</w:t>
            </w:r>
            <w:bookmarkStart w:id="0" w:name="_GoBack"/>
            <w:bookmarkEnd w:id="0"/>
            <w:r>
              <w:rPr>
                <w:rStyle w:val="13"/>
                <w:rFonts w:hint="default" w:ascii="Times New Roman" w:hAnsi="Times New Roman" w:cs="Times New Roman"/>
                <w:sz w:val="20"/>
                <w:szCs w:val="20"/>
              </w:rPr>
              <w:t>实相符；</w:t>
            </w:r>
            <w:r>
              <w:rPr>
                <w:rStyle w:val="11"/>
                <w:sz w:val="20"/>
                <w:szCs w:val="20"/>
              </w:rPr>
              <w:br w:type="textWrapping"/>
            </w:r>
            <w:r>
              <w:rPr>
                <w:rStyle w:val="13"/>
                <w:rFonts w:hint="default" w:ascii="Times New Roman" w:hAnsi="Times New Roman" w:cs="Times New Roman"/>
                <w:sz w:val="20"/>
                <w:szCs w:val="20"/>
              </w:rPr>
              <w:t>⑤资产是否有偿使用或处置收入及时足额上缴；</w:t>
            </w:r>
            <w:r>
              <w:rPr>
                <w:rStyle w:val="11"/>
                <w:sz w:val="20"/>
                <w:szCs w:val="20"/>
              </w:rPr>
              <w:br w:type="textWrapping"/>
            </w:r>
            <w:r>
              <w:rPr>
                <w:rStyle w:val="13"/>
                <w:rFonts w:hint="default" w:ascii="Times New Roman" w:hAnsi="Times New Roman" w:cs="Times New Roman"/>
                <w:sz w:val="20"/>
                <w:szCs w:val="20"/>
              </w:rPr>
              <w:t>⑥相关资产购置是否履行政府采购手续；</w:t>
            </w:r>
            <w:r>
              <w:rPr>
                <w:rStyle w:val="11"/>
                <w:sz w:val="20"/>
                <w:szCs w:val="20"/>
              </w:rPr>
              <w:br w:type="textWrapping"/>
            </w:r>
            <w:r>
              <w:rPr>
                <w:rStyle w:val="13"/>
                <w:rFonts w:hint="default" w:ascii="Times New Roman" w:hAnsi="Times New Roman" w:cs="Times New Roman"/>
                <w:sz w:val="20"/>
                <w:szCs w:val="20"/>
              </w:rPr>
              <w:t>⑦资产是否定期进行盘点并有记录。</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13"/>
                <w:rFonts w:hint="default" w:ascii="Times New Roman" w:hAnsi="Times New Roman" w:cs="Times New Roman"/>
                <w:sz w:val="20"/>
                <w:szCs w:val="20"/>
              </w:rPr>
              <w:t>①资产配置合理符合标准、保管完整，账务管理规范，定期盘点并有台账，账实相符的，计</w:t>
            </w:r>
            <w:r>
              <w:rPr>
                <w:rStyle w:val="11"/>
                <w:sz w:val="20"/>
                <w:szCs w:val="20"/>
              </w:rPr>
              <w:t>0.5</w:t>
            </w:r>
            <w:r>
              <w:rPr>
                <w:rStyle w:val="13"/>
                <w:rFonts w:hint="default" w:ascii="Times New Roman" w:hAnsi="Times New Roman" w:cs="Times New Roman"/>
                <w:sz w:val="20"/>
                <w:szCs w:val="20"/>
              </w:rPr>
              <w:t>分，发现一例不符，扣</w:t>
            </w:r>
            <w:r>
              <w:rPr>
                <w:rStyle w:val="11"/>
                <w:sz w:val="20"/>
                <w:szCs w:val="20"/>
              </w:rPr>
              <w:t>0.1</w:t>
            </w:r>
            <w:r>
              <w:rPr>
                <w:rStyle w:val="13"/>
                <w:rFonts w:hint="default" w:ascii="Times New Roman" w:hAnsi="Times New Roman" w:cs="Times New Roman"/>
                <w:sz w:val="20"/>
                <w:szCs w:val="20"/>
              </w:rPr>
              <w:t>分，扣完为止；</w:t>
            </w:r>
            <w:r>
              <w:rPr>
                <w:rStyle w:val="11"/>
                <w:sz w:val="20"/>
                <w:szCs w:val="20"/>
              </w:rPr>
              <w:br w:type="textWrapping"/>
            </w:r>
            <w:r>
              <w:rPr>
                <w:rStyle w:val="13"/>
                <w:rFonts w:hint="default" w:ascii="Times New Roman" w:hAnsi="Times New Roman" w:cs="Times New Roman"/>
                <w:sz w:val="20"/>
                <w:szCs w:val="20"/>
              </w:rPr>
              <w:t>②资产处置规范，计0.5分，发现一例不符，扣0.1分，扣完为止；</w:t>
            </w:r>
            <w:r>
              <w:rPr>
                <w:rStyle w:val="11"/>
                <w:sz w:val="20"/>
                <w:szCs w:val="20"/>
              </w:rPr>
              <w:br w:type="textWrapping"/>
            </w:r>
            <w:r>
              <w:rPr>
                <w:rStyle w:val="13"/>
                <w:rFonts w:hint="default" w:ascii="Times New Roman" w:hAnsi="Times New Roman" w:cs="Times New Roman"/>
                <w:sz w:val="20"/>
                <w:szCs w:val="20"/>
              </w:rPr>
              <w:t>③资产有偿使用或处置收入及时足额上缴，计0.5分，发现未上缴，本项不得分；</w:t>
            </w:r>
            <w:r>
              <w:rPr>
                <w:rStyle w:val="11"/>
                <w:sz w:val="20"/>
                <w:szCs w:val="20"/>
              </w:rPr>
              <w:br w:type="textWrapping"/>
            </w:r>
            <w:r>
              <w:rPr>
                <w:rStyle w:val="13"/>
                <w:rFonts w:hint="default" w:ascii="Times New Roman" w:hAnsi="Times New Roman" w:cs="Times New Roman"/>
                <w:sz w:val="20"/>
                <w:szCs w:val="20"/>
              </w:rPr>
              <w:t>④资产购置履行政府采购手续，计0.5分，发现一例不符，扣0.1分，扣完为止；</w:t>
            </w:r>
          </w:p>
        </w:tc>
        <w:tc>
          <w:tcPr>
            <w:tcW w:w="477" w:type="pct"/>
            <w:tcMar>
              <w:top w:w="15" w:type="dxa"/>
              <w:left w:w="15" w:type="dxa"/>
              <w:right w:w="15" w:type="dxa"/>
            </w:tcMar>
            <w:vAlign w:val="center"/>
          </w:tcPr>
          <w:p>
            <w:pPr>
              <w:widowControl/>
              <w:spacing w:line="280" w:lineRule="exact"/>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13"/>
                <w:rFonts w:hint="default" w:ascii="Times New Roman" w:hAnsi="Times New Roman" w:cs="Times New Roman"/>
                <w:sz w:val="20"/>
                <w:szCs w:val="20"/>
              </w:rPr>
              <w:t>固定资产</w:t>
            </w:r>
            <w:r>
              <w:rPr>
                <w:rStyle w:val="11"/>
                <w:sz w:val="20"/>
                <w:szCs w:val="20"/>
              </w:rPr>
              <w:br w:type="textWrapping"/>
            </w:r>
            <w:r>
              <w:rPr>
                <w:rStyle w:val="13"/>
                <w:rFonts w:hint="default" w:ascii="Times New Roman" w:hAnsi="Times New Roman" w:cs="Times New Roman"/>
                <w:sz w:val="20"/>
                <w:szCs w:val="20"/>
              </w:rPr>
              <w:t>保管和使用情况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1</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color w:val="000000"/>
                <w:kern w:val="0"/>
                <w:sz w:val="20"/>
                <w:szCs w:val="20"/>
              </w:rPr>
              <w:t>①是否建立固定资产台账，实行编码管理；</w:t>
            </w:r>
            <w:r>
              <w:rPr>
                <w:color w:val="000000"/>
                <w:kern w:val="0"/>
                <w:sz w:val="20"/>
                <w:szCs w:val="20"/>
              </w:rPr>
              <w:br w:type="textWrapping"/>
            </w:r>
            <w:r>
              <w:rPr>
                <w:color w:val="000000"/>
                <w:kern w:val="0"/>
                <w:sz w:val="20"/>
                <w:szCs w:val="20"/>
              </w:rPr>
              <w:t>②固定资产增减变化是否建立审批程序；</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建了固定资产台账实行编码管理的计0.5分；建立了固定资产增减变化审批程序的计0.5分，否则不得分。</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（25分）</w:t>
            </w:r>
          </w:p>
        </w:tc>
        <w:tc>
          <w:tcPr>
            <w:tcW w:w="37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职责</w:t>
            </w:r>
          </w:p>
          <w:p>
            <w:pPr>
              <w:spacing w:line="280" w:lineRule="exact"/>
              <w:jc w:val="center"/>
              <w:rPr>
                <w:color w:val="000000"/>
                <w:sz w:val="20"/>
                <w:szCs w:val="20"/>
              </w:rPr>
            </w:pPr>
            <w:r>
              <w:rPr>
                <w:color w:val="000000"/>
                <w:sz w:val="20"/>
                <w:szCs w:val="20"/>
              </w:rPr>
              <w:t>履行</w:t>
            </w:r>
          </w:p>
          <w:p>
            <w:pPr>
              <w:spacing w:line="280" w:lineRule="exact"/>
              <w:jc w:val="center"/>
              <w:rPr>
                <w:color w:val="000000"/>
                <w:sz w:val="20"/>
                <w:szCs w:val="20"/>
              </w:rPr>
            </w:pPr>
            <w:r>
              <w:rPr>
                <w:color w:val="000000"/>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实际</w:t>
            </w:r>
          </w:p>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完成率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部门履行职责而实际完成工作数与计划工作数的比率，用以反映和考核部门履职工作任务目标的实现程度。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实际完成率=（实际完成工作数/计划工作数）*100%。实际完成工作数：一定时期（年度或规划期）内部门实际完成工作任务的数量。</w:t>
            </w:r>
          </w:p>
          <w:p>
            <w:pPr>
              <w:widowControl/>
              <w:spacing w:line="280" w:lineRule="exact"/>
              <w:textAlignment w:val="center"/>
              <w:rPr>
                <w:color w:val="000000"/>
                <w:kern w:val="0"/>
                <w:sz w:val="20"/>
                <w:szCs w:val="20"/>
              </w:rPr>
            </w:pPr>
            <w:r>
              <w:rPr>
                <w:color w:val="000000"/>
                <w:kern w:val="0"/>
                <w:sz w:val="20"/>
                <w:szCs w:val="20"/>
              </w:rPr>
              <w:t>计划工作数：部门整体绩效目标确定的一定时期（年度或规划期）内预计完成工作任务的数量。</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完成</w:t>
            </w:r>
          </w:p>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及时性</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部门在规定时限内及时完成的实际工作数与计划工作数的比率，用以反映和考核部门履职实效目标的实现程度。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完成及时率=（及时完成实际工作数/计划工作数）*100%。及时完成工作数：部门按照整体绩效目标确定的时限实际完成的工作任务数量。</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质量</w:t>
            </w:r>
          </w:p>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达标率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达到质量标准（绩效标准值）的实际工作数与计划工作数的比率，用以反映和考核部门履职时效目标的实现程度。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质量达标率=（质量达标实际工作数/计划工作数）*100%。质量达标实际工作数：一定时期（年度或规划期）内部门实际完成工作数中达到部门绩效目标要求（绩效标准值）的工作任务数量。</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重点工作办结率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6</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部门年度重点工作实际完成数与交办或下达数的比率，用以反映部门对重点工作的办理落实程度。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重点工作办结率=（重点工作实际完成数/交办或下达数）*100%。重点工作是指党委、政府、人大、相关部门交办或下达的工作任务。</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效果</w:t>
            </w:r>
          </w:p>
          <w:p>
            <w:pPr>
              <w:spacing w:line="280" w:lineRule="exact"/>
              <w:jc w:val="center"/>
              <w:rPr>
                <w:color w:val="000000"/>
                <w:sz w:val="20"/>
                <w:szCs w:val="20"/>
              </w:rPr>
            </w:pPr>
            <w:r>
              <w:rPr>
                <w:color w:val="000000"/>
                <w:sz w:val="20"/>
                <w:szCs w:val="20"/>
              </w:rPr>
              <w:t>（25分）</w:t>
            </w:r>
          </w:p>
        </w:tc>
        <w:tc>
          <w:tcPr>
            <w:tcW w:w="37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履职</w:t>
            </w:r>
          </w:p>
          <w:p>
            <w:pPr>
              <w:spacing w:line="280" w:lineRule="exact"/>
              <w:jc w:val="center"/>
              <w:rPr>
                <w:color w:val="000000"/>
                <w:sz w:val="20"/>
                <w:szCs w:val="20"/>
              </w:rPr>
            </w:pPr>
            <w:r>
              <w:rPr>
                <w:color w:val="000000"/>
                <w:sz w:val="20"/>
                <w:szCs w:val="20"/>
              </w:rPr>
              <w:t>效益</w:t>
            </w:r>
          </w:p>
          <w:p>
            <w:pPr>
              <w:spacing w:line="280" w:lineRule="exact"/>
              <w:jc w:val="center"/>
              <w:rPr>
                <w:color w:val="000000"/>
                <w:sz w:val="20"/>
                <w:szCs w:val="20"/>
              </w:rPr>
            </w:pPr>
            <w:r>
              <w:rPr>
                <w:color w:val="000000"/>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经济效益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部门履行职责对经济发展所带来的直接或间接影响</w:t>
            </w:r>
          </w:p>
        </w:tc>
        <w:tc>
          <w:tcPr>
            <w:tcW w:w="1671" w:type="pct"/>
            <w:vMerge w:val="restar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社会效益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部门履行职责对社会发展所带来的直接或间接影响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生态效益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部门履行职责对生态环境所带来的直接或间接影响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13"/>
                <w:rFonts w:hint="default" w:ascii="Times New Roman" w:hAnsi="Times New Roman" w:cs="Times New Roman"/>
                <w:sz w:val="20"/>
                <w:szCs w:val="20"/>
              </w:rPr>
            </w:pPr>
            <w:r>
              <w:rPr>
                <w:rStyle w:val="13"/>
                <w:rFonts w:hint="default" w:ascii="Times New Roman" w:hAnsi="Times New Roman" w:cs="Times New Roman"/>
                <w:sz w:val="20"/>
                <w:szCs w:val="20"/>
              </w:rPr>
              <w:t>社会公众或服务对象满意度</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8</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社会公众或部门的服务对象对部门履职效果的满意程度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社会公众或服务对象是指部门履行职责而影响到的部门、群体或个人。一般采取社会调查的方式。</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合计</w:t>
            </w:r>
          </w:p>
        </w:tc>
        <w:tc>
          <w:tcPr>
            <w:tcW w:w="37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 xml:space="preserve"> </w:t>
            </w:r>
          </w:p>
        </w:tc>
        <w:tc>
          <w:tcPr>
            <w:tcW w:w="420" w:type="pct"/>
            <w:tcMar>
              <w:top w:w="15" w:type="dxa"/>
              <w:left w:w="15" w:type="dxa"/>
              <w:right w:w="15" w:type="dxa"/>
            </w:tcMar>
            <w:vAlign w:val="center"/>
          </w:tcPr>
          <w:p>
            <w:pPr>
              <w:widowControl/>
              <w:spacing w:line="280" w:lineRule="exact"/>
              <w:jc w:val="center"/>
              <w:textAlignment w:val="center"/>
              <w:rPr>
                <w:rStyle w:val="13"/>
                <w:rFonts w:hint="default" w:ascii="Times New Roman" w:hAnsi="Times New Roman" w:cs="Times New Roman"/>
                <w:sz w:val="20"/>
                <w:szCs w:val="20"/>
              </w:rPr>
            </w:pP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100</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95.5</w:t>
            </w:r>
          </w:p>
        </w:tc>
      </w:tr>
    </w:tbl>
    <w:p/>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r>
        <w:rPr>
          <w:rFonts w:eastAsia="黑体"/>
          <w:kern w:val="0"/>
          <w:sz w:val="32"/>
          <w:szCs w:val="32"/>
        </w:rPr>
        <w:t>附件</w:t>
      </w:r>
      <w:r>
        <w:rPr>
          <w:rFonts w:hint="eastAsia" w:eastAsia="黑体"/>
          <w:kern w:val="0"/>
          <w:sz w:val="32"/>
          <w:szCs w:val="32"/>
        </w:rPr>
        <w:t>3</w:t>
      </w:r>
    </w:p>
    <w:p>
      <w:pPr>
        <w:jc w:val="left"/>
        <w:rPr>
          <w:rFonts w:ascii="仿宋_GB2312" w:hAnsi="仿宋_GB2312" w:eastAsia="仿宋_GB2312" w:cs="仿宋_GB2312"/>
          <w:kern w:val="0"/>
          <w:sz w:val="32"/>
          <w:szCs w:val="32"/>
        </w:rPr>
      </w:pP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2020年度长沙市雨花区疾病预防控制中心</w:t>
      </w: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单位部门整体支出预算绩效</w:t>
      </w: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自评报告</w:t>
      </w: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2"/>
          <w:szCs w:val="32"/>
        </w:rPr>
      </w:pPr>
    </w:p>
    <w:p>
      <w:pPr>
        <w:rPr>
          <w:rFonts w:eastAsia="黑体"/>
          <w:sz w:val="32"/>
          <w:szCs w:val="32"/>
        </w:rPr>
      </w:pPr>
    </w:p>
    <w:p>
      <w:pPr>
        <w:jc w:val="center"/>
        <w:rPr>
          <w:rFonts w:eastAsia="仿宋_GB2312"/>
          <w:sz w:val="32"/>
          <w:szCs w:val="32"/>
        </w:rPr>
      </w:pPr>
      <w:r>
        <w:rPr>
          <w:rFonts w:eastAsia="仿宋_GB2312"/>
          <w:sz w:val="32"/>
          <w:szCs w:val="32"/>
        </w:rPr>
        <w:t>（此页为封面）</w:t>
      </w:r>
    </w:p>
    <w:p>
      <w:pPr>
        <w:spacing w:line="600" w:lineRule="exact"/>
        <w:jc w:val="center"/>
        <w:rPr>
          <w:rFonts w:ascii="仿宋_GB2312" w:hAnsi="仿宋_GB2312" w:eastAsia="仿宋_GB2312" w:cs="仿宋_GB2312"/>
          <w:b/>
          <w:bCs/>
          <w:sz w:val="44"/>
          <w:szCs w:val="44"/>
        </w:rPr>
      </w:pPr>
    </w:p>
    <w:p>
      <w:pPr>
        <w:spacing w:line="600" w:lineRule="exact"/>
        <w:jc w:val="center"/>
        <w:rPr>
          <w:rFonts w:ascii="仿宋_GB2312" w:hAnsi="仿宋_GB2312" w:eastAsia="仿宋_GB2312" w:cs="仿宋_GB2312"/>
          <w:b/>
          <w:bCs/>
          <w:sz w:val="44"/>
          <w:szCs w:val="44"/>
        </w:rPr>
      </w:pPr>
    </w:p>
    <w:p>
      <w:pPr>
        <w:pStyle w:val="14"/>
        <w:widowControl/>
        <w:numPr>
          <w:ilvl w:val="0"/>
          <w:numId w:val="1"/>
        </w:numPr>
        <w:spacing w:line="520" w:lineRule="exact"/>
        <w:ind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部门、单位基本情况</w:t>
      </w:r>
    </w:p>
    <w:p>
      <w:pPr>
        <w:ind w:left="643" w:leftChars="306" w:firstLine="600" w:firstLineChars="200"/>
        <w:rPr>
          <w:rFonts w:ascii="仿宋_GB2312" w:eastAsia="仿宋_GB2312"/>
          <w:bCs/>
          <w:sz w:val="30"/>
          <w:szCs w:val="30"/>
        </w:rPr>
      </w:pPr>
      <w:r>
        <w:rPr>
          <w:rFonts w:hint="eastAsia" w:ascii="仿宋_GB2312" w:eastAsia="仿宋_GB2312"/>
          <w:bCs/>
          <w:sz w:val="30"/>
          <w:szCs w:val="30"/>
        </w:rPr>
        <w:t>长沙市雨花区疾病预防控制中心为全额拨款副科级事业单位，属于长沙市雨花区卫生健康局的二级机构，目前工作人员59人，其中在编在岗人员34人，雇员25人，设置办公室、财务科、质量管理科、传染病预防与控制科、免疫规划科、慢性非传染性疾病预防控制科、结核病艾滋病防治科、公共卫生健康危害因素控制科、检验科等8科1室。负责辖区内疾病预防控制具体工作的管理和落实、疫苗使用管理、突发公共卫生事件的处置；开展病原微生物常规检验和常见污染物的检验；对辖区内医疗卫生机构、城市社区卫生组织和农村乡镇卫生院开展卫生防病工作技术指导与培训；负责疫情和公共卫生健康危害因素监测；开展卫生宣传教育与健康促进活动，普及卫生防病知识。</w:t>
      </w:r>
    </w:p>
    <w:p>
      <w:pPr>
        <w:pStyle w:val="14"/>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二、部门整体预算支出情况</w:t>
      </w:r>
    </w:p>
    <w:p>
      <w:pPr>
        <w:pStyle w:val="14"/>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spacing w:line="360" w:lineRule="auto"/>
        <w:ind w:left="897" w:leftChars="427" w:firstLine="600" w:firstLineChars="200"/>
        <w:rPr>
          <w:rFonts w:ascii="仿宋_GB2312" w:eastAsia="仿宋_GB2312"/>
          <w:bCs/>
          <w:sz w:val="30"/>
          <w:szCs w:val="30"/>
        </w:rPr>
      </w:pPr>
      <w:r>
        <w:rPr>
          <w:rFonts w:hint="eastAsia" w:ascii="仿宋_GB2312" w:eastAsia="仿宋_GB2312"/>
          <w:bCs/>
          <w:sz w:val="30"/>
          <w:szCs w:val="30"/>
        </w:rPr>
        <w:t>基本支出的主要用于工资福利支出、商品和服务支出和对个人和家庭的补助。根据财政局的相关规定本中心制定了雨花区疾病预防控制中心财务管理制度、报账须知，每一笔资金严格按照规定支出。本年三公经费支出8.66万元，其中：公车运行维护费8.57万元，公务接待费0.09万元，因公出国费0元。</w:t>
      </w:r>
    </w:p>
    <w:p>
      <w:pPr>
        <w:pStyle w:val="14"/>
        <w:widowControl/>
        <w:spacing w:line="520" w:lineRule="exact"/>
        <w:ind w:left="640" w:firstLine="0" w:firstLineChars="0"/>
        <w:rPr>
          <w:rFonts w:ascii="仿宋_GB2312" w:hAnsi="仿宋_GB2312" w:eastAsia="仿宋_GB2312" w:cs="仿宋_GB2312"/>
          <w:b/>
          <w:bCs/>
          <w:sz w:val="32"/>
          <w:szCs w:val="32"/>
        </w:rPr>
      </w:pPr>
    </w:p>
    <w:p>
      <w:pPr>
        <w:pStyle w:val="14"/>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（二）项目支出情况</w:t>
      </w:r>
    </w:p>
    <w:p>
      <w:pPr>
        <w:spacing w:line="520" w:lineRule="exact"/>
        <w:ind w:firstLine="640" w:firstLineChars="200"/>
        <w:jc w:val="left"/>
        <w:rPr>
          <w:rFonts w:eastAsia="仿宋_GB2312"/>
          <w:sz w:val="32"/>
          <w:szCs w:val="32"/>
        </w:rPr>
      </w:pPr>
      <w:r>
        <w:rPr>
          <w:rFonts w:eastAsia="仿宋_GB2312"/>
          <w:sz w:val="32"/>
          <w:szCs w:val="32"/>
        </w:rPr>
        <w:t>1.项目资金安排落实、总投入等情况分析。</w:t>
      </w:r>
    </w:p>
    <w:p>
      <w:pPr>
        <w:spacing w:line="440" w:lineRule="exact"/>
        <w:ind w:firstLine="640" w:firstLineChars="200"/>
        <w:rPr>
          <w:rFonts w:eastAsia="仿宋_GB2312"/>
          <w:sz w:val="32"/>
          <w:szCs w:val="32"/>
        </w:rPr>
      </w:pPr>
      <w:r>
        <w:rPr>
          <w:rFonts w:hint="eastAsia" w:eastAsia="仿宋_GB2312"/>
          <w:sz w:val="32"/>
          <w:szCs w:val="32"/>
        </w:rPr>
        <w:t>2020年本单项目支出均为财政拨款资金，全部安排落实用于对应专项工作中。</w:t>
      </w:r>
    </w:p>
    <w:p>
      <w:pPr>
        <w:spacing w:line="520" w:lineRule="exact"/>
        <w:ind w:firstLine="640" w:firstLineChars="200"/>
        <w:jc w:val="left"/>
        <w:rPr>
          <w:rFonts w:eastAsia="仿宋_GB2312"/>
          <w:sz w:val="32"/>
          <w:szCs w:val="32"/>
        </w:rPr>
      </w:pPr>
      <w:r>
        <w:rPr>
          <w:rFonts w:hint="eastAsia" w:eastAsia="仿宋_GB2312"/>
          <w:sz w:val="32"/>
          <w:szCs w:val="32"/>
        </w:rPr>
        <w:t>2.</w:t>
      </w:r>
      <w:r>
        <w:rPr>
          <w:rFonts w:eastAsia="仿宋_GB2312"/>
          <w:sz w:val="32"/>
          <w:szCs w:val="32"/>
        </w:rPr>
        <w:t>项目资金实际使用情况分析。</w:t>
      </w:r>
    </w:p>
    <w:p>
      <w:pPr>
        <w:spacing w:line="440" w:lineRule="exact"/>
        <w:ind w:firstLine="640" w:firstLineChars="200"/>
        <w:rPr>
          <w:rFonts w:eastAsia="仿宋_GB2312"/>
          <w:sz w:val="32"/>
          <w:szCs w:val="32"/>
        </w:rPr>
      </w:pPr>
      <w:r>
        <w:rPr>
          <w:rFonts w:hint="eastAsia" w:eastAsia="仿宋_GB2312"/>
          <w:sz w:val="32"/>
          <w:szCs w:val="32"/>
        </w:rPr>
        <w:t>2020年本单项目支出9112.29万元，其中：用于疫苗成本款支出7516.30万元，用于新冠肺炎疫情防控支出以及各类经常性专项支出1595.99万元。</w:t>
      </w:r>
      <w:r>
        <w:rPr>
          <w:rFonts w:eastAsia="仿宋_GB2312"/>
          <w:sz w:val="32"/>
          <w:szCs w:val="32"/>
        </w:rPr>
        <w:t xml:space="preserve"> </w:t>
      </w:r>
    </w:p>
    <w:p>
      <w:pPr>
        <w:spacing w:line="520" w:lineRule="exact"/>
        <w:ind w:firstLine="640" w:firstLineChars="200"/>
        <w:jc w:val="left"/>
        <w:rPr>
          <w:rFonts w:eastAsia="仿宋_GB2312"/>
          <w:sz w:val="32"/>
          <w:szCs w:val="32"/>
        </w:rPr>
      </w:pPr>
      <w:r>
        <w:rPr>
          <w:rFonts w:hint="eastAsia" w:eastAsia="仿宋_GB2312"/>
          <w:sz w:val="32"/>
          <w:szCs w:val="32"/>
        </w:rPr>
        <w:t>3.</w:t>
      </w:r>
      <w:r>
        <w:rPr>
          <w:rFonts w:eastAsia="仿宋_GB2312"/>
          <w:sz w:val="32"/>
          <w:szCs w:val="32"/>
        </w:rPr>
        <w:t xml:space="preserve"> 项目资金管理情况分析</w:t>
      </w:r>
      <w:r>
        <w:rPr>
          <w:rFonts w:hint="eastAsia" w:eastAsia="仿宋_GB2312"/>
          <w:sz w:val="32"/>
          <w:szCs w:val="32"/>
        </w:rPr>
        <w:t>。</w:t>
      </w:r>
    </w:p>
    <w:p>
      <w:pPr>
        <w:spacing w:line="440" w:lineRule="exact"/>
        <w:ind w:firstLine="640" w:firstLineChars="200"/>
        <w:rPr>
          <w:rFonts w:eastAsia="仿宋_GB2312"/>
          <w:sz w:val="32"/>
          <w:szCs w:val="32"/>
        </w:rPr>
      </w:pPr>
      <w:r>
        <w:rPr>
          <w:rFonts w:hint="eastAsia" w:eastAsia="仿宋_GB2312"/>
          <w:sz w:val="32"/>
          <w:szCs w:val="32"/>
        </w:rPr>
        <w:t>我单位严格按照相关财务制度要求，严格落实专项资金使用计划，在实施过程中认真做到资金专项专用，不存在支出截留、挪用、挤占资金的现象。</w:t>
      </w:r>
    </w:p>
    <w:p>
      <w:pPr>
        <w:spacing w:line="520" w:lineRule="exact"/>
        <w:ind w:firstLine="640" w:firstLineChars="200"/>
        <w:jc w:val="left"/>
        <w:rPr>
          <w:rFonts w:eastAsia="仿宋_GB2312"/>
          <w:sz w:val="32"/>
          <w:szCs w:val="32"/>
        </w:rPr>
      </w:pPr>
    </w:p>
    <w:p>
      <w:pPr>
        <w:widowControl/>
        <w:spacing w:line="520" w:lineRule="exact"/>
        <w:ind w:firstLine="645"/>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三、部门整体支出绩效情况</w:t>
      </w:r>
    </w:p>
    <w:p>
      <w:pPr>
        <w:ind w:firstLine="960" w:firstLineChars="300"/>
        <w:rPr>
          <w:rFonts w:eastAsia="仿宋_GB2312"/>
          <w:sz w:val="32"/>
          <w:szCs w:val="32"/>
        </w:rPr>
      </w:pPr>
      <w:r>
        <w:rPr>
          <w:rFonts w:hint="eastAsia" w:ascii="仿宋" w:hAnsi="仿宋" w:eastAsia="仿宋" w:cs="仿宋"/>
          <w:sz w:val="32"/>
          <w:szCs w:val="32"/>
        </w:rPr>
        <w:t>2</w:t>
      </w:r>
      <w:r>
        <w:rPr>
          <w:rFonts w:hint="eastAsia" w:eastAsia="仿宋_GB2312"/>
          <w:sz w:val="32"/>
          <w:szCs w:val="32"/>
        </w:rPr>
        <w:t>020年度长沙市雨花区疾病预防控制中心整体支出绩效目标已经完成，总体评价为优。具体如下：</w:t>
      </w:r>
    </w:p>
    <w:p>
      <w:pPr>
        <w:ind w:firstLine="796" w:firstLineChars="249"/>
        <w:rPr>
          <w:rFonts w:eastAsia="仿宋_GB2312"/>
          <w:sz w:val="32"/>
          <w:szCs w:val="32"/>
        </w:rPr>
      </w:pPr>
      <w:r>
        <w:rPr>
          <w:rFonts w:hint="eastAsia" w:eastAsia="仿宋_GB2312"/>
          <w:sz w:val="32"/>
          <w:szCs w:val="32"/>
        </w:rPr>
        <w:t>经济性：项目在实施过程中，严格控制费用支出。</w:t>
      </w:r>
    </w:p>
    <w:p>
      <w:pPr>
        <w:ind w:firstLine="796" w:firstLineChars="249"/>
        <w:rPr>
          <w:rFonts w:eastAsia="仿宋_GB2312"/>
          <w:sz w:val="32"/>
          <w:szCs w:val="32"/>
        </w:rPr>
      </w:pPr>
      <w:r>
        <w:rPr>
          <w:rFonts w:hint="eastAsia" w:eastAsia="仿宋_GB2312"/>
          <w:sz w:val="32"/>
          <w:szCs w:val="32"/>
        </w:rPr>
        <w:t>效率性：项目资金的拨付基本在规定的时间内完成。</w:t>
      </w:r>
    </w:p>
    <w:p>
      <w:pPr>
        <w:ind w:firstLine="796" w:firstLineChars="249"/>
        <w:rPr>
          <w:rFonts w:eastAsia="仿宋_GB2312"/>
          <w:sz w:val="32"/>
          <w:szCs w:val="32"/>
        </w:rPr>
      </w:pPr>
      <w:r>
        <w:rPr>
          <w:rFonts w:hint="eastAsia" w:eastAsia="仿宋_GB2312"/>
          <w:sz w:val="32"/>
          <w:szCs w:val="32"/>
        </w:rPr>
        <w:t>有效性：项目实施后，进一步发挥了财政资金的作用，使疾病防控工作的开展更加顺利。</w:t>
      </w:r>
    </w:p>
    <w:p>
      <w:pPr>
        <w:ind w:firstLine="796" w:firstLineChars="249"/>
        <w:rPr>
          <w:rFonts w:eastAsia="仿宋_GB2312"/>
          <w:sz w:val="32"/>
          <w:szCs w:val="32"/>
        </w:rPr>
      </w:pPr>
      <w:r>
        <w:rPr>
          <w:rFonts w:hint="eastAsia" w:eastAsia="仿宋_GB2312"/>
          <w:sz w:val="32"/>
          <w:szCs w:val="32"/>
        </w:rPr>
        <w:t>可持续性：项目实施后，促进了本单位工作质量不断提高，激励了广大职工更加勤奋、科学和有效地开展工作。</w:t>
      </w:r>
    </w:p>
    <w:p>
      <w:pPr>
        <w:pStyle w:val="14"/>
        <w:widowControl/>
        <w:spacing w:line="520" w:lineRule="exact"/>
        <w:ind w:left="640" w:firstLine="0" w:firstLineChars="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四、存在的问题及原因分析</w:t>
      </w:r>
    </w:p>
    <w:p>
      <w:pPr>
        <w:widowControl/>
        <w:spacing w:line="520" w:lineRule="exact"/>
        <w:ind w:firstLine="960" w:firstLineChars="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widowControl/>
        <w:spacing w:line="52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五、下一步改进措施</w:t>
      </w:r>
    </w:p>
    <w:p>
      <w:pPr>
        <w:pStyle w:val="6"/>
        <w:spacing w:line="440" w:lineRule="exact"/>
        <w:ind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加强预算管理，尽量做到预算合理。</w:t>
      </w:r>
    </w:p>
    <w:p>
      <w:pPr>
        <w:numPr>
          <w:ilvl w:val="0"/>
          <w:numId w:val="2"/>
        </w:num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绩效自评结果拟应用和公开情况</w:t>
      </w:r>
    </w:p>
    <w:p>
      <w:pPr>
        <w:pStyle w:val="5"/>
        <w:spacing w:beforeAutospacing="0" w:afterAutospacing="0" w:line="440" w:lineRule="exact"/>
        <w:ind w:firstLine="420"/>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1、我单位根据专项绩效评定指标对各项目量化评价，自评指标得分95.5分。</w:t>
      </w:r>
    </w:p>
    <w:p>
      <w:pPr>
        <w:pStyle w:val="5"/>
        <w:spacing w:beforeAutospacing="0" w:afterAutospacing="0" w:line="440" w:lineRule="exact"/>
        <w:ind w:firstLine="420"/>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2、绩效自评结果按财政相关要求进行网上公开。</w:t>
      </w:r>
    </w:p>
    <w:p/>
    <w:p/>
    <w:p/>
    <w:p/>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sectPr>
      <w:footerReference r:id="rId3" w:type="default"/>
      <w:pgSz w:w="11906" w:h="16838"/>
      <w:pgMar w:top="1701" w:right="1587" w:bottom="1417" w:left="1701" w:header="851" w:footer="8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方正小标宋简体">
    <w:altName w:val="宋体-方正超大字符集"/>
    <w:panose1 w:val="00000000000000000000"/>
    <w:charset w:val="86"/>
    <w:family w:val="auto"/>
    <w:pitch w:val="default"/>
    <w:sig w:usb0="00000000" w:usb1="00000000" w:usb2="00000012"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w:t>
                          </w:r>
                          <w:r>
                            <w:rPr>
                              <w:sz w:val="18"/>
                            </w:rPr>
                            <w:t xml:space="preserve"> 1 -</w:t>
                          </w:r>
                          <w:r>
                            <w:rPr>
                              <w:rFonts w:hint="eastAsia"/>
                              <w:sz w:val="18"/>
                            </w:rPr>
                            <w:fldChar w:fldCharType="end"/>
                          </w:r>
                        </w:p>
                      </w:txbxContent>
                    </wps:txbx>
                    <wps:bodyPr wrap="none" lIns="0" tIns="0" rIns="0" bIns="0" upright="1">
                      <a:spAutoFit/>
                    </wps:bodyPr>
                  </wps:wsp>
                </a:graphicData>
              </a:graphic>
            </wp:anchor>
          </w:drawing>
        </mc:Choice>
        <mc:Fallback>
          <w:pict>
            <v:shape id="文本框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FQINMgBAACY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92V2&#10;pw9QY9N9wLY0vPND7pzygMkselDR5jfKIVhHb89Xb+WQiMgfrVfrdYUlgbX5gDjs4fMQIb2X3pIc&#10;NDTi5RVP+ekjpLF1bsnTnL/TxmCe18b9k0DMnGGZ+8gxR2nYDxPxvW/PqKfHe2+owzWnxHxwaGte&#10;kTmIc7Cfg2OI+tAhtWXhBeH2mJBE4ZYnjLDTYLywom5arrwRj8+l6+GH2v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BUCDTIAQAAmA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w:t>
                    </w:r>
                    <w:r>
                      <w:rPr>
                        <w:sz w:val="18"/>
                      </w:rPr>
                      <w:t xml:space="preserve"> 1 -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31ADE9"/>
    <w:multiLevelType w:val="singleLevel"/>
    <w:tmpl w:val="8F31ADE9"/>
    <w:lvl w:ilvl="0" w:tentative="0">
      <w:start w:val="6"/>
      <w:numFmt w:val="chineseCounting"/>
      <w:suff w:val="nothing"/>
      <w:lvlText w:val="%1、"/>
      <w:lvlJc w:val="left"/>
      <w:rPr>
        <w:rFonts w:hint="eastAsia"/>
      </w:rPr>
    </w:lvl>
  </w:abstractNum>
  <w:abstractNum w:abstractNumId="1">
    <w:nsid w:val="7F955AB1"/>
    <w:multiLevelType w:val="multilevel"/>
    <w:tmpl w:val="7F955AB1"/>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90E"/>
    <w:rsid w:val="00041E0E"/>
    <w:rsid w:val="0005595C"/>
    <w:rsid w:val="00086723"/>
    <w:rsid w:val="00091AEA"/>
    <w:rsid w:val="000A2661"/>
    <w:rsid w:val="000A31CC"/>
    <w:rsid w:val="000B4ABE"/>
    <w:rsid w:val="000B5F78"/>
    <w:rsid w:val="000C60C1"/>
    <w:rsid w:val="000D0C87"/>
    <w:rsid w:val="00100DFA"/>
    <w:rsid w:val="001060B8"/>
    <w:rsid w:val="001120ED"/>
    <w:rsid w:val="00121EF2"/>
    <w:rsid w:val="0013476B"/>
    <w:rsid w:val="00142FF3"/>
    <w:rsid w:val="00152D26"/>
    <w:rsid w:val="0015352B"/>
    <w:rsid w:val="001536BF"/>
    <w:rsid w:val="00172A27"/>
    <w:rsid w:val="001811E2"/>
    <w:rsid w:val="00195D23"/>
    <w:rsid w:val="001B1AAB"/>
    <w:rsid w:val="001B35DF"/>
    <w:rsid w:val="001B6540"/>
    <w:rsid w:val="001C4596"/>
    <w:rsid w:val="001E2008"/>
    <w:rsid w:val="001E24B6"/>
    <w:rsid w:val="001E5815"/>
    <w:rsid w:val="001F7FA2"/>
    <w:rsid w:val="002069C7"/>
    <w:rsid w:val="00224779"/>
    <w:rsid w:val="00230663"/>
    <w:rsid w:val="002319F4"/>
    <w:rsid w:val="00247281"/>
    <w:rsid w:val="002C1A15"/>
    <w:rsid w:val="002C348C"/>
    <w:rsid w:val="002E3FED"/>
    <w:rsid w:val="002E736D"/>
    <w:rsid w:val="00330925"/>
    <w:rsid w:val="00340C5A"/>
    <w:rsid w:val="00342E5D"/>
    <w:rsid w:val="00362424"/>
    <w:rsid w:val="00364D66"/>
    <w:rsid w:val="00367CBD"/>
    <w:rsid w:val="00373E95"/>
    <w:rsid w:val="00375A9F"/>
    <w:rsid w:val="00376C12"/>
    <w:rsid w:val="00385D23"/>
    <w:rsid w:val="003A37E2"/>
    <w:rsid w:val="003E156E"/>
    <w:rsid w:val="003E222A"/>
    <w:rsid w:val="003F56FF"/>
    <w:rsid w:val="0040358E"/>
    <w:rsid w:val="00412D0B"/>
    <w:rsid w:val="0041363E"/>
    <w:rsid w:val="00420905"/>
    <w:rsid w:val="00420B23"/>
    <w:rsid w:val="00423745"/>
    <w:rsid w:val="00443640"/>
    <w:rsid w:val="004506F7"/>
    <w:rsid w:val="004C70D9"/>
    <w:rsid w:val="005114E5"/>
    <w:rsid w:val="00520550"/>
    <w:rsid w:val="00543F67"/>
    <w:rsid w:val="005467E6"/>
    <w:rsid w:val="005503F6"/>
    <w:rsid w:val="00566F51"/>
    <w:rsid w:val="00597015"/>
    <w:rsid w:val="005A21B9"/>
    <w:rsid w:val="005A276C"/>
    <w:rsid w:val="005A2D29"/>
    <w:rsid w:val="005C5E05"/>
    <w:rsid w:val="005E3654"/>
    <w:rsid w:val="005F4BEF"/>
    <w:rsid w:val="00613C37"/>
    <w:rsid w:val="00625904"/>
    <w:rsid w:val="00631457"/>
    <w:rsid w:val="00645B8D"/>
    <w:rsid w:val="00662671"/>
    <w:rsid w:val="0068695A"/>
    <w:rsid w:val="00691CBD"/>
    <w:rsid w:val="00691D45"/>
    <w:rsid w:val="006B5172"/>
    <w:rsid w:val="006C2FEE"/>
    <w:rsid w:val="006E005E"/>
    <w:rsid w:val="006E0723"/>
    <w:rsid w:val="006E3101"/>
    <w:rsid w:val="007012CE"/>
    <w:rsid w:val="007045A9"/>
    <w:rsid w:val="00733E80"/>
    <w:rsid w:val="00740E85"/>
    <w:rsid w:val="00747CC2"/>
    <w:rsid w:val="0079087C"/>
    <w:rsid w:val="00791E3C"/>
    <w:rsid w:val="007A7DEA"/>
    <w:rsid w:val="007B0B82"/>
    <w:rsid w:val="007D1D20"/>
    <w:rsid w:val="007D1D50"/>
    <w:rsid w:val="007D3BBB"/>
    <w:rsid w:val="008773A9"/>
    <w:rsid w:val="008819CA"/>
    <w:rsid w:val="00891B53"/>
    <w:rsid w:val="00896D58"/>
    <w:rsid w:val="008A7312"/>
    <w:rsid w:val="008D40CA"/>
    <w:rsid w:val="008D73D0"/>
    <w:rsid w:val="008F08C3"/>
    <w:rsid w:val="008F29AC"/>
    <w:rsid w:val="008F685A"/>
    <w:rsid w:val="009007F6"/>
    <w:rsid w:val="009045EB"/>
    <w:rsid w:val="009479BA"/>
    <w:rsid w:val="009757A8"/>
    <w:rsid w:val="00997AC0"/>
    <w:rsid w:val="009A46DF"/>
    <w:rsid w:val="009A7F70"/>
    <w:rsid w:val="009B4C52"/>
    <w:rsid w:val="009C682E"/>
    <w:rsid w:val="009D110C"/>
    <w:rsid w:val="009D12B9"/>
    <w:rsid w:val="009D287D"/>
    <w:rsid w:val="009D7F72"/>
    <w:rsid w:val="00A14A17"/>
    <w:rsid w:val="00A14B61"/>
    <w:rsid w:val="00A15E07"/>
    <w:rsid w:val="00A20EF7"/>
    <w:rsid w:val="00A269AA"/>
    <w:rsid w:val="00A30E40"/>
    <w:rsid w:val="00A368E1"/>
    <w:rsid w:val="00A4130A"/>
    <w:rsid w:val="00A53602"/>
    <w:rsid w:val="00A63EF1"/>
    <w:rsid w:val="00A76E0F"/>
    <w:rsid w:val="00AA490B"/>
    <w:rsid w:val="00AE458F"/>
    <w:rsid w:val="00B31FAD"/>
    <w:rsid w:val="00B37FEA"/>
    <w:rsid w:val="00B42E67"/>
    <w:rsid w:val="00B71226"/>
    <w:rsid w:val="00B71F58"/>
    <w:rsid w:val="00B80B7E"/>
    <w:rsid w:val="00B81812"/>
    <w:rsid w:val="00B979CD"/>
    <w:rsid w:val="00BA3593"/>
    <w:rsid w:val="00BA613D"/>
    <w:rsid w:val="00BB1C75"/>
    <w:rsid w:val="00BB5D61"/>
    <w:rsid w:val="00BD2AF8"/>
    <w:rsid w:val="00BF2BC9"/>
    <w:rsid w:val="00BF4D19"/>
    <w:rsid w:val="00C059BC"/>
    <w:rsid w:val="00C16431"/>
    <w:rsid w:val="00C34A70"/>
    <w:rsid w:val="00C3796D"/>
    <w:rsid w:val="00C61A1F"/>
    <w:rsid w:val="00C6356A"/>
    <w:rsid w:val="00C771F4"/>
    <w:rsid w:val="00C8533D"/>
    <w:rsid w:val="00CB6E93"/>
    <w:rsid w:val="00CD014A"/>
    <w:rsid w:val="00CE01DB"/>
    <w:rsid w:val="00CE05D2"/>
    <w:rsid w:val="00D0142F"/>
    <w:rsid w:val="00D059FE"/>
    <w:rsid w:val="00D15B53"/>
    <w:rsid w:val="00D255B7"/>
    <w:rsid w:val="00D41222"/>
    <w:rsid w:val="00D516D7"/>
    <w:rsid w:val="00D64B9E"/>
    <w:rsid w:val="00D65E1A"/>
    <w:rsid w:val="00D70435"/>
    <w:rsid w:val="00D73ED5"/>
    <w:rsid w:val="00D92C0F"/>
    <w:rsid w:val="00D94CAC"/>
    <w:rsid w:val="00D9772E"/>
    <w:rsid w:val="00DA7341"/>
    <w:rsid w:val="00DB3593"/>
    <w:rsid w:val="00DE3D44"/>
    <w:rsid w:val="00DF4567"/>
    <w:rsid w:val="00DF5739"/>
    <w:rsid w:val="00E04712"/>
    <w:rsid w:val="00E20CE5"/>
    <w:rsid w:val="00E41B90"/>
    <w:rsid w:val="00E43F8B"/>
    <w:rsid w:val="00E46A11"/>
    <w:rsid w:val="00E46F62"/>
    <w:rsid w:val="00E73270"/>
    <w:rsid w:val="00E86458"/>
    <w:rsid w:val="00E87B09"/>
    <w:rsid w:val="00E93502"/>
    <w:rsid w:val="00EA5026"/>
    <w:rsid w:val="00EB36F2"/>
    <w:rsid w:val="00EC3C01"/>
    <w:rsid w:val="00EC41AE"/>
    <w:rsid w:val="00EC7AD6"/>
    <w:rsid w:val="00ED1186"/>
    <w:rsid w:val="00ED1AA9"/>
    <w:rsid w:val="00ED2BE5"/>
    <w:rsid w:val="00EF2BFF"/>
    <w:rsid w:val="00F153FC"/>
    <w:rsid w:val="00F15BD6"/>
    <w:rsid w:val="00F325BE"/>
    <w:rsid w:val="00F34520"/>
    <w:rsid w:val="00F44247"/>
    <w:rsid w:val="00F750A5"/>
    <w:rsid w:val="00F86215"/>
    <w:rsid w:val="00F95B70"/>
    <w:rsid w:val="00FA3583"/>
    <w:rsid w:val="00FA4AE9"/>
    <w:rsid w:val="00FA7E1A"/>
    <w:rsid w:val="00FD5B8D"/>
    <w:rsid w:val="00FD62C1"/>
    <w:rsid w:val="00FF6C7B"/>
    <w:rsid w:val="024214D1"/>
    <w:rsid w:val="04FD1141"/>
    <w:rsid w:val="05A53438"/>
    <w:rsid w:val="07D35177"/>
    <w:rsid w:val="0A4C5DEF"/>
    <w:rsid w:val="0C0728DE"/>
    <w:rsid w:val="0F2C070E"/>
    <w:rsid w:val="0FA224B6"/>
    <w:rsid w:val="1017039E"/>
    <w:rsid w:val="10B172A6"/>
    <w:rsid w:val="10B77C25"/>
    <w:rsid w:val="11524A6A"/>
    <w:rsid w:val="11E332EA"/>
    <w:rsid w:val="12A03F80"/>
    <w:rsid w:val="16A6046E"/>
    <w:rsid w:val="171F3398"/>
    <w:rsid w:val="24A470CE"/>
    <w:rsid w:val="24ED2427"/>
    <w:rsid w:val="27AA643B"/>
    <w:rsid w:val="2D1C141C"/>
    <w:rsid w:val="36B3488A"/>
    <w:rsid w:val="40C72592"/>
    <w:rsid w:val="416426F9"/>
    <w:rsid w:val="43F4174B"/>
    <w:rsid w:val="4E226167"/>
    <w:rsid w:val="4F177BD7"/>
    <w:rsid w:val="5811005E"/>
    <w:rsid w:val="59BF76AE"/>
    <w:rsid w:val="5DF2736E"/>
    <w:rsid w:val="68512F5E"/>
    <w:rsid w:val="6E7E3D9B"/>
    <w:rsid w:val="6EEF2822"/>
    <w:rsid w:val="6F2C654E"/>
    <w:rsid w:val="773C5944"/>
    <w:rsid w:val="790E61E5"/>
    <w:rsid w:val="7A052C0D"/>
    <w:rsid w:val="7B677910"/>
    <w:rsid w:val="7B9076E4"/>
    <w:rsid w:val="7CAC6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6">
    <w:name w:val="Body Text First Indent 2"/>
    <w:basedOn w:val="2"/>
    <w:link w:val="18"/>
    <w:unhideWhenUsed/>
    <w:qFormat/>
    <w:uiPriority w:val="99"/>
    <w:pPr>
      <w:ind w:firstLine="420" w:firstLineChars="200"/>
    </w:pPr>
  </w:style>
  <w:style w:type="character" w:styleId="9">
    <w:name w:val="page number"/>
    <w:basedOn w:val="8"/>
    <w:qFormat/>
    <w:uiPriority w:val="0"/>
  </w:style>
  <w:style w:type="character" w:customStyle="1" w:styleId="10">
    <w:name w:val="font11"/>
    <w:basedOn w:val="8"/>
    <w:qFormat/>
    <w:uiPriority w:val="0"/>
    <w:rPr>
      <w:rFonts w:hint="default" w:ascii="Times New Roman" w:hAnsi="Times New Roman" w:cs="Times New Roman"/>
      <w:color w:val="FF0000"/>
      <w:sz w:val="18"/>
      <w:szCs w:val="18"/>
      <w:u w:val="none"/>
    </w:rPr>
  </w:style>
  <w:style w:type="character" w:customStyle="1" w:styleId="11">
    <w:name w:val="font31"/>
    <w:basedOn w:val="8"/>
    <w:qFormat/>
    <w:uiPriority w:val="0"/>
    <w:rPr>
      <w:rFonts w:hint="default" w:ascii="Times New Roman" w:hAnsi="Times New Roman" w:cs="Times New Roman"/>
      <w:color w:val="000000"/>
      <w:sz w:val="18"/>
      <w:szCs w:val="18"/>
      <w:u w:val="none"/>
    </w:rPr>
  </w:style>
  <w:style w:type="character" w:customStyle="1" w:styleId="12">
    <w:name w:val="font21"/>
    <w:basedOn w:val="8"/>
    <w:qFormat/>
    <w:uiPriority w:val="0"/>
    <w:rPr>
      <w:rFonts w:hint="eastAsia" w:ascii="宋体" w:hAnsi="宋体" w:eastAsia="宋体" w:cs="宋体"/>
      <w:color w:val="FF0000"/>
      <w:sz w:val="18"/>
      <w:szCs w:val="18"/>
      <w:u w:val="none"/>
    </w:rPr>
  </w:style>
  <w:style w:type="character" w:customStyle="1" w:styleId="13">
    <w:name w:val="font41"/>
    <w:basedOn w:val="8"/>
    <w:qFormat/>
    <w:uiPriority w:val="0"/>
    <w:rPr>
      <w:rFonts w:hint="eastAsia" w:ascii="宋体" w:hAnsi="宋体" w:eastAsia="宋体" w:cs="宋体"/>
      <w:color w:val="000000"/>
      <w:sz w:val="18"/>
      <w:szCs w:val="18"/>
      <w:u w:val="none"/>
    </w:rPr>
  </w:style>
  <w:style w:type="paragraph" w:styleId="14">
    <w:name w:val="List Paragraph"/>
    <w:basedOn w:val="1"/>
    <w:qFormat/>
    <w:uiPriority w:val="99"/>
    <w:pPr>
      <w:ind w:firstLine="420" w:firstLineChars="200"/>
    </w:pPr>
    <w:rPr>
      <w:rFonts w:ascii="Calibri" w:hAnsi="Calibri"/>
      <w:szCs w:val="22"/>
    </w:rPr>
  </w:style>
  <w:style w:type="paragraph" w:customStyle="1" w:styleId="15">
    <w:name w:val="p0"/>
    <w:basedOn w:val="1"/>
    <w:uiPriority w:val="0"/>
    <w:pPr>
      <w:widowControl/>
    </w:pPr>
    <w:rPr>
      <w:kern w:val="0"/>
      <w:sz w:val="32"/>
      <w:szCs w:val="32"/>
    </w:rPr>
  </w:style>
  <w:style w:type="paragraph" w:customStyle="1" w:styleId="16">
    <w:name w:val="Char Char Char Char Char Char"/>
    <w:basedOn w:val="1"/>
    <w:uiPriority w:val="0"/>
    <w:pPr>
      <w:adjustRightInd w:val="0"/>
    </w:pPr>
    <w:rPr>
      <w:rFonts w:ascii="Tahoma" w:hAnsi="Tahoma"/>
      <w:sz w:val="24"/>
      <w:szCs w:val="20"/>
    </w:rPr>
  </w:style>
  <w:style w:type="character" w:customStyle="1" w:styleId="17">
    <w:name w:val="正文文本缩进 Char"/>
    <w:basedOn w:val="8"/>
    <w:link w:val="2"/>
    <w:uiPriority w:val="0"/>
    <w:rPr>
      <w:kern w:val="2"/>
      <w:sz w:val="21"/>
      <w:szCs w:val="24"/>
    </w:rPr>
  </w:style>
  <w:style w:type="character" w:customStyle="1" w:styleId="18">
    <w:name w:val="正文首行缩进 2 Char"/>
    <w:basedOn w:val="17"/>
    <w:link w:val="6"/>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9</Pages>
  <Words>929</Words>
  <Characters>5300</Characters>
  <Lines>44</Lines>
  <Paragraphs>12</Paragraphs>
  <TotalTime>38</TotalTime>
  <ScaleCrop>false</ScaleCrop>
  <LinksUpToDate>false</LinksUpToDate>
  <CharactersWithSpaces>6217</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2021-10-15T05:38:00Z</dcterms:created>
  <dc:creator>微软中国</dc:creator>
  <cp:lastModifiedBy>Administrator</cp:lastModifiedBy>
  <cp:lastPrinted>2021-02-23T05:55:00Z</cp:lastPrinted>
  <dcterms:modified xsi:type="dcterms:W3CDTF">2022-09-15T12:40:08Z</dcterms:modified>
  <dc:title>雨财发【2014】  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849727749B004EC98E209F0626C78B0A</vt:lpwstr>
  </property>
</Properties>
</file>