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3" w:lineRule="auto"/>
        <w:rPr>
          <w:rFonts w:ascii="Arial"/>
        </w:rPr>
      </w:pPr>
      <w:bookmarkStart w:id="0" w:name="_GoBack"/>
      <w:bookmarkEnd w:id="0"/>
    </w:p>
    <w:p>
      <w:pPr>
        <w:spacing w:line="283" w:lineRule="auto"/>
        <w:rPr>
          <w:rFonts w:ascii="Arial"/>
        </w:rPr>
      </w:pPr>
    </w:p>
    <w:p>
      <w:pPr>
        <w:spacing w:line="283" w:lineRule="auto"/>
        <w:rPr>
          <w:rFonts w:hint="eastAsia" w:ascii="Arial"/>
        </w:rPr>
      </w:pPr>
    </w:p>
    <w:p>
      <w:pPr>
        <w:spacing w:line="283" w:lineRule="auto"/>
        <w:rPr>
          <w:rFonts w:ascii="Arial"/>
        </w:rPr>
      </w:pPr>
    </w:p>
    <w:p>
      <w:pPr>
        <w:spacing w:line="283" w:lineRule="auto"/>
        <w:rPr>
          <w:rFonts w:ascii="Arial"/>
        </w:rPr>
      </w:pPr>
    </w:p>
    <w:p>
      <w:pPr>
        <w:spacing w:before="143" w:line="219" w:lineRule="auto"/>
        <w:jc w:val="center"/>
        <w:rPr>
          <w:rFonts w:hint="eastAsia" w:ascii="宋体" w:hAnsi="宋体" w:cs="宋体"/>
          <w:b/>
          <w:spacing w:val="-10"/>
          <w:sz w:val="44"/>
          <w:szCs w:val="44"/>
        </w:rPr>
      </w:pPr>
      <w:r>
        <w:rPr>
          <w:rFonts w:hint="eastAsia" w:ascii="宋体" w:hAnsi="宋体" w:cs="宋体"/>
          <w:b/>
          <w:spacing w:val="-10"/>
          <w:sz w:val="44"/>
          <w:szCs w:val="44"/>
        </w:rPr>
        <w:t>2021</w:t>
      </w:r>
      <w:r>
        <w:rPr>
          <w:rFonts w:ascii="宋体" w:hAnsi="宋体" w:cs="宋体"/>
          <w:b/>
          <w:spacing w:val="-10"/>
          <w:sz w:val="44"/>
          <w:szCs w:val="44"/>
        </w:rPr>
        <w:t>年度</w:t>
      </w:r>
      <w:r>
        <w:rPr>
          <w:rFonts w:hint="eastAsia" w:ascii="宋体" w:hAnsi="宋体" w:cs="宋体"/>
          <w:b/>
          <w:spacing w:val="-10"/>
          <w:sz w:val="44"/>
          <w:szCs w:val="44"/>
        </w:rPr>
        <w:t>长沙市生态环境局雨花分局</w:t>
      </w:r>
    </w:p>
    <w:p>
      <w:pPr>
        <w:spacing w:before="143" w:line="219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pacing w:val="-10"/>
          <w:sz w:val="44"/>
          <w:szCs w:val="44"/>
        </w:rPr>
        <w:t>整体支出</w:t>
      </w:r>
      <w:r>
        <w:rPr>
          <w:rFonts w:ascii="宋体" w:hAnsi="宋体" w:cs="宋体"/>
          <w:b/>
          <w:spacing w:val="3"/>
          <w:sz w:val="44"/>
          <w:szCs w:val="44"/>
        </w:rPr>
        <w:t>绩效自评报告</w:t>
      </w:r>
    </w:p>
    <w:p>
      <w:pPr>
        <w:spacing w:line="312" w:lineRule="auto"/>
        <w:rPr>
          <w:rFonts w:ascii="Arial"/>
        </w:rPr>
      </w:pPr>
    </w:p>
    <w:p>
      <w:pPr>
        <w:spacing w:line="313" w:lineRule="auto"/>
        <w:rPr>
          <w:rFonts w:ascii="Arial"/>
        </w:rPr>
      </w:pPr>
    </w:p>
    <w:p>
      <w:pPr>
        <w:spacing w:line="242" w:lineRule="auto"/>
        <w:rPr>
          <w:rFonts w:ascii="Arial"/>
        </w:rPr>
      </w:pPr>
    </w:p>
    <w:p>
      <w:pPr>
        <w:spacing w:line="242" w:lineRule="auto"/>
        <w:rPr>
          <w:rFonts w:ascii="Arial"/>
        </w:rPr>
      </w:pPr>
    </w:p>
    <w:p>
      <w:pPr>
        <w:spacing w:line="242" w:lineRule="auto"/>
        <w:rPr>
          <w:rFonts w:ascii="Arial"/>
        </w:rPr>
      </w:pPr>
    </w:p>
    <w:p>
      <w:pPr>
        <w:spacing w:line="242" w:lineRule="auto"/>
        <w:rPr>
          <w:rFonts w:ascii="Arial"/>
        </w:rPr>
      </w:pPr>
    </w:p>
    <w:p>
      <w:pPr>
        <w:spacing w:line="242" w:lineRule="auto"/>
        <w:rPr>
          <w:rFonts w:ascii="Arial"/>
        </w:rPr>
      </w:pPr>
    </w:p>
    <w:p>
      <w:pPr>
        <w:spacing w:line="242" w:lineRule="auto"/>
        <w:rPr>
          <w:rFonts w:ascii="Arial"/>
        </w:rPr>
      </w:pPr>
    </w:p>
    <w:p>
      <w:pPr>
        <w:spacing w:line="242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before="130" w:line="222" w:lineRule="auto"/>
        <w:ind w:firstLine="2780"/>
        <w:rPr>
          <w:rFonts w:ascii="幼圆" w:hAnsi="幼圆" w:eastAsia="幼圆" w:cs="幼圆"/>
          <w:sz w:val="40"/>
          <w:szCs w:val="40"/>
        </w:rPr>
      </w:pPr>
      <w:r>
        <w:rPr>
          <w:rFonts w:ascii="幼圆" w:hAnsi="幼圆" w:eastAsia="幼圆" w:cs="幼圆"/>
          <w:spacing w:val="-19"/>
          <w:w w:val="99"/>
          <w:sz w:val="40"/>
          <w:szCs w:val="40"/>
        </w:rPr>
        <w:t>单位名称(盖章):</w:t>
      </w:r>
    </w:p>
    <w:p>
      <w:pPr>
        <w:spacing w:line="246" w:lineRule="auto"/>
        <w:rPr>
          <w:rFonts w:ascii="Arial"/>
        </w:rPr>
      </w:pPr>
    </w:p>
    <w:p>
      <w:pPr>
        <w:spacing w:line="246" w:lineRule="auto"/>
        <w:rPr>
          <w:rFonts w:ascii="Arial"/>
        </w:rPr>
      </w:pPr>
    </w:p>
    <w:p>
      <w:pPr>
        <w:spacing w:line="246" w:lineRule="auto"/>
        <w:rPr>
          <w:rFonts w:ascii="Arial"/>
        </w:rPr>
      </w:pPr>
    </w:p>
    <w:p>
      <w:pPr>
        <w:spacing w:line="247" w:lineRule="auto"/>
        <w:rPr>
          <w:rFonts w:ascii="Arial"/>
        </w:rPr>
      </w:pPr>
    </w:p>
    <w:p>
      <w:pPr>
        <w:spacing w:line="247" w:lineRule="auto"/>
        <w:rPr>
          <w:rFonts w:ascii="Arial"/>
        </w:rPr>
      </w:pPr>
    </w:p>
    <w:p>
      <w:pPr>
        <w:spacing w:line="247" w:lineRule="auto"/>
        <w:rPr>
          <w:rFonts w:ascii="Arial"/>
        </w:rPr>
      </w:pPr>
    </w:p>
    <w:p>
      <w:pPr>
        <w:spacing w:line="247" w:lineRule="auto"/>
        <w:rPr>
          <w:rFonts w:ascii="Arial"/>
        </w:rPr>
      </w:pPr>
    </w:p>
    <w:p>
      <w:pPr>
        <w:spacing w:line="247" w:lineRule="auto"/>
        <w:rPr>
          <w:rFonts w:ascii="Arial"/>
        </w:rPr>
      </w:pPr>
    </w:p>
    <w:p>
      <w:pPr>
        <w:spacing w:before="111" w:line="224" w:lineRule="auto"/>
        <w:ind w:firstLine="34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"/>
          <w:sz w:val="34"/>
          <w:szCs w:val="34"/>
        </w:rPr>
        <w:t>(此页为封面)</w:t>
      </w:r>
    </w:p>
    <w:p>
      <w:pPr>
        <w:spacing w:line="280" w:lineRule="auto"/>
        <w:rPr>
          <w:rFonts w:ascii="Arial"/>
        </w:rPr>
      </w:pPr>
    </w:p>
    <w:p>
      <w:pPr>
        <w:spacing w:line="281" w:lineRule="auto"/>
        <w:rPr>
          <w:rFonts w:ascii="Arial"/>
        </w:rPr>
      </w:pPr>
    </w:p>
    <w:p>
      <w:pPr>
        <w:sectPr>
          <w:footerReference r:id="rId3" w:type="default"/>
          <w:pgSz w:w="11820" w:h="16640"/>
          <w:pgMar w:top="1414" w:right="1773" w:bottom="400" w:left="1474" w:header="0" w:footer="0" w:gutter="0"/>
          <w:cols w:space="720" w:num="1"/>
        </w:sectPr>
      </w:pPr>
    </w:p>
    <w:p>
      <w:pPr>
        <w:spacing w:before="104" w:line="221" w:lineRule="auto"/>
        <w:ind w:firstLine="64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一、部门概况</w:t>
      </w:r>
    </w:p>
    <w:p>
      <w:pPr>
        <w:spacing w:before="193" w:line="224" w:lineRule="auto"/>
        <w:ind w:firstLine="784"/>
        <w:rPr>
          <w:rFonts w:hint="eastAsia" w:ascii="楷体" w:hAnsi="楷体" w:eastAsia="楷体" w:cs="楷体"/>
          <w:spacing w:val="12"/>
          <w:sz w:val="32"/>
          <w:szCs w:val="32"/>
        </w:rPr>
      </w:pPr>
      <w:r>
        <w:rPr>
          <w:rFonts w:ascii="楷体" w:hAnsi="楷体" w:eastAsia="楷体" w:cs="楷体"/>
          <w:spacing w:val="12"/>
          <w:sz w:val="32"/>
          <w:szCs w:val="32"/>
        </w:rPr>
        <w:t>(一)部门(单位)基本情况</w:t>
      </w:r>
      <w:r>
        <w:rPr>
          <w:rFonts w:hint="eastAsia" w:ascii="楷体" w:hAnsi="楷体" w:eastAsia="楷体" w:cs="楷体"/>
          <w:spacing w:val="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长沙市生态环境局雨花分局原名长沙市雨花区环境保护局，是长沙市雨花区人民政府环境保护行政主管部门，2019年12月26日挂牌正式成立长沙市生态环境局雨花分局，为长沙市生态环境局垂直管理单位。2020年长沙市生态环境保护综合行政执法局雨花执法大队成立，不再是分局二级机构，人员随机构一并划转。垂改完成后，分局核定编制数1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8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个，其中行政编制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9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名，事业编制9名。至202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年底，实有干部职工43人，其中正式职工1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7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人，政府雇员15人，临聘人员3人，退休人员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8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人。</w:t>
      </w:r>
    </w:p>
    <w:p>
      <w:pPr>
        <w:spacing w:before="221" w:line="224" w:lineRule="auto"/>
        <w:ind w:firstLine="78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"/>
          <w:sz w:val="32"/>
          <w:szCs w:val="32"/>
        </w:rPr>
        <w:t>(二)部门(单位)整体支出规模、使用方向和主要内容、</w:t>
      </w:r>
    </w:p>
    <w:p>
      <w:pPr>
        <w:spacing w:before="220" w:line="226" w:lineRule="auto"/>
        <w:ind w:firstLine="4"/>
        <w:rPr>
          <w:rFonts w:hint="eastAsia" w:ascii="楷体" w:hAnsi="楷体" w:eastAsia="楷体" w:cs="楷体"/>
          <w:spacing w:val="-11"/>
          <w:sz w:val="32"/>
          <w:szCs w:val="32"/>
        </w:rPr>
      </w:pPr>
      <w:r>
        <w:rPr>
          <w:rFonts w:ascii="楷体" w:hAnsi="楷体" w:eastAsia="楷体" w:cs="楷体"/>
          <w:spacing w:val="-11"/>
          <w:sz w:val="32"/>
          <w:szCs w:val="32"/>
        </w:rPr>
        <w:t>涉及范围等。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2021年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，我局支出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2413万元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比上年减少1879万元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减少43.78%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，变化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原因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项目经费减少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其中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：基本支出完成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1157万元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，比上年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增加90万元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增加8.43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%，变化原因：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人员经费增加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。项目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支出1298万元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，比上年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减少1927万元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减少59.75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%，变化原因：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项目减少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人员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经费完成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1040.79万元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，比上年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增加79.79万元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增加8.30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%，变化原因：人员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增加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。公用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经费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完成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73.98万元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比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上年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减少33.02万元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减少30.86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%，变化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原因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执法大队的公用经费从分局剥离。</w:t>
      </w:r>
    </w:p>
    <w:p>
      <w:pPr>
        <w:spacing w:before="192" w:line="285" w:lineRule="auto"/>
        <w:ind w:left="783" w:right="4376" w:hanging="139"/>
        <w:rPr>
          <w:rFonts w:ascii="楷体" w:hAnsi="楷体" w:eastAsia="楷体" w:cs="楷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二、一般公共预算支出情况</w:t>
      </w:r>
      <w:r>
        <w:rPr>
          <w:rFonts w:ascii="楷体" w:hAnsi="楷体" w:eastAsia="楷体" w:cs="楷体"/>
          <w:spacing w:val="-15"/>
          <w:sz w:val="32"/>
          <w:szCs w:val="32"/>
        </w:rPr>
        <w:t>(一)基本支出</w:t>
      </w:r>
    </w:p>
    <w:p>
      <w:pPr>
        <w:spacing w:before="220" w:line="338" w:lineRule="auto"/>
        <w:ind w:right="189" w:firstLine="640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介绍基本支出的主要用途、范围以及资金的管理情况,尤</w:t>
      </w:r>
      <w:r>
        <w:rPr>
          <w:rFonts w:ascii="仿宋" w:hAnsi="仿宋" w:eastAsia="仿宋" w:cs="仿宋"/>
          <w:spacing w:val="-6"/>
          <w:sz w:val="32"/>
          <w:szCs w:val="32"/>
        </w:rPr>
        <w:t>其是"三公"经费的使用和管理情况。</w:t>
      </w:r>
    </w:p>
    <w:p>
      <w:pPr>
        <w:spacing w:before="220" w:line="338" w:lineRule="auto"/>
        <w:ind w:right="189" w:firstLine="640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年我局基本支出决算数为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1157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万元。其中：人员经费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1040.79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万元，主要包括基本工资、津贴补贴、奖金、社会保障缴费、伙食补助费、其他工资福利支出、退休费、生活补助、奖励金、住房公积金、其他对个人和家庭的补助支出；公用经费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73.98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万元，主要包括：办公费、印刷费、水费、电费、邮电费、差旅费、维修(护)费、会议费、培训费、劳务费、工会经费、福利费、公务用车运行维护费、交通补贴及其他商品和服务支出。同比公用经费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减少33.02万元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主要是因为执法大队的公用经费从分局剥离。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年“三公”经费决算数为8.76万元，其中：公务接待费0万元，公务用车购置及运行费8.76万元（公务用车购置费0万元，运行费8.76万元），因公出国（境）费0万元。按省市区要求严格控制，同比“三公”经费增加2.28万元，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主要是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一台车辆进行了大修。</w:t>
      </w:r>
    </w:p>
    <w:p>
      <w:pPr>
        <w:spacing w:line="600" w:lineRule="exact"/>
        <w:ind w:firstLine="624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4"/>
          <w:sz w:val="32"/>
          <w:szCs w:val="32"/>
        </w:rPr>
        <w:t>(二)项目支出</w:t>
      </w:r>
    </w:p>
    <w:p>
      <w:pPr>
        <w:spacing w:before="185" w:line="6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22"/>
          <w:sz w:val="32"/>
          <w:szCs w:val="32"/>
        </w:rPr>
        <w:t>1.项目资金(包括财政资金、自筹资金等)安排落实、总投</w:t>
      </w:r>
    </w:p>
    <w:p>
      <w:pPr>
        <w:spacing w:before="1" w:line="221" w:lineRule="auto"/>
        <w:rPr>
          <w:rFonts w:hint="eastAsia" w:ascii="仿宋" w:hAnsi="仿宋" w:eastAsia="仿宋" w:cs="仿宋"/>
          <w:spacing w:val="-8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入等情况分析。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8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1年财政拨款项目收入1298万元，项目支出1298万元，收支平衡。因2021年本单位为机构改革涉改单位，无2020年末结转和结余资金。</w:t>
      </w:r>
    </w:p>
    <w:p>
      <w:pPr>
        <w:spacing w:before="195" w:line="222" w:lineRule="auto"/>
        <w:ind w:firstLine="640"/>
        <w:rPr>
          <w:rFonts w:hint="eastAsia" w:ascii="仿宋" w:hAnsi="仿宋" w:eastAsia="仿宋" w:cs="仿宋"/>
          <w:spacing w:val="3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2.项目资金(主要指财政资金)实际使用情况分析</w:t>
      </w:r>
      <w:r>
        <w:rPr>
          <w:rFonts w:hint="eastAsia" w:ascii="仿宋" w:hAnsi="仿宋" w:eastAsia="仿宋" w:cs="仿宋"/>
          <w:spacing w:val="3"/>
          <w:sz w:val="32"/>
          <w:szCs w:val="32"/>
        </w:rPr>
        <w:t>。</w:t>
      </w:r>
    </w:p>
    <w:p>
      <w:pPr>
        <w:spacing w:before="195" w:line="222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1年项目支出决算数为1298万元，包括环境保护管理事务项目79.75万元，环境监测与监察项目155.39万元，污染防治专项1043.55万元，污染减排专项19.67万元。</w:t>
      </w:r>
    </w:p>
    <w:p>
      <w:pPr>
        <w:spacing w:before="217" w:line="343" w:lineRule="auto"/>
        <w:ind w:right="97" w:firstLine="640"/>
        <w:rPr>
          <w:rFonts w:hint="eastAsia" w:ascii="仿宋" w:hAnsi="仿宋" w:eastAsia="仿宋" w:cs="仿宋"/>
          <w:spacing w:val="-10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3.项目资金管理情况分析,主要包括管理制度、办法的制订</w:t>
      </w:r>
      <w:r>
        <w:rPr>
          <w:rFonts w:ascii="仿宋" w:hAnsi="仿宋" w:eastAsia="仿宋" w:cs="仿宋"/>
          <w:spacing w:val="-10"/>
          <w:sz w:val="32"/>
          <w:szCs w:val="32"/>
        </w:rPr>
        <w:t>及执行情况。</w:t>
      </w:r>
    </w:p>
    <w:p>
      <w:pPr>
        <w:spacing w:before="217" w:line="343" w:lineRule="auto"/>
        <w:ind w:right="97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专项资金管理及使用参照《长沙市雨花区环境保护专项资金管理办法》、《长沙市雨花区环境保护局内部控制手册》。</w:t>
      </w:r>
    </w:p>
    <w:p>
      <w:pPr>
        <w:spacing w:before="1" w:line="221" w:lineRule="auto"/>
        <w:ind w:firstLine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三、部门项目组织实施情况</w:t>
      </w:r>
    </w:p>
    <w:p>
      <w:pPr>
        <w:spacing w:before="206" w:line="610" w:lineRule="exact"/>
        <w:ind w:firstLine="7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21"/>
          <w:sz w:val="32"/>
          <w:szCs w:val="32"/>
        </w:rPr>
        <w:t>(一)项目组织情况分析,主要包括项目招投标、调整、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竣工验收等情况。</w:t>
      </w:r>
    </w:p>
    <w:p>
      <w:pPr>
        <w:spacing w:before="196" w:line="352" w:lineRule="auto"/>
        <w:ind w:left="70" w:right="193" w:firstLine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(二)项目管理情况分析,主要包括项目管理制度建设、</w:t>
      </w:r>
      <w:r>
        <w:rPr>
          <w:rFonts w:ascii="仿宋" w:hAnsi="仿宋" w:eastAsia="仿宋" w:cs="仿宋"/>
          <w:spacing w:val="-9"/>
          <w:sz w:val="32"/>
          <w:szCs w:val="32"/>
        </w:rPr>
        <w:t>日常检查监督管理等情况。</w:t>
      </w:r>
    </w:p>
    <w:p>
      <w:pPr>
        <w:spacing w:before="1" w:line="221" w:lineRule="auto"/>
        <w:ind w:firstLine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四、资产管理情况</w:t>
      </w:r>
    </w:p>
    <w:p>
      <w:pPr>
        <w:spacing w:before="184" w:line="377" w:lineRule="auto"/>
        <w:ind w:right="196" w:firstLine="640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反映部门资产的配置、管理、处置等综合情况。包括制度</w:t>
      </w:r>
      <w:r>
        <w:rPr>
          <w:rFonts w:ascii="仿宋" w:hAnsi="仿宋" w:eastAsia="仿宋" w:cs="仿宋"/>
          <w:spacing w:val="-4"/>
          <w:sz w:val="32"/>
          <w:szCs w:val="32"/>
        </w:rPr>
        <w:t>建设、管理措施、配置处置的程序等。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本单位根据《行政单位国有资产管理暂行办法》、《行政事业单位国有资产报告制度》等有关规定，对本单位20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1年度资产进行有效管理和配置。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至20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1年12月31日</w:t>
      </w:r>
      <w:r>
        <w:rPr>
          <w:rFonts w:hint="eastAsia" w:ascii="仿宋" w:hAnsi="仿宋" w:eastAsia="仿宋" w:cs="仿宋"/>
          <w:sz w:val="32"/>
          <w:szCs w:val="32"/>
        </w:rPr>
        <w:t>，固定资产账面数量为311件，资产总值约为201.12万元。其中通用办公设备为132件，账面价值为1311740.64元(其中含汽车3台，账面价值为488308.64元)；专用设备19件，账面价值为530610元；家具160件，账面价值为168888元。期间共购置两次固定资产，2021年8月购置</w:t>
      </w:r>
      <w:r>
        <w:rPr>
          <w:rFonts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台电脑账面价值8280元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2021年10月购置针式打印机一台账面价值4980元</w:t>
      </w:r>
      <w:r>
        <w:rPr>
          <w:rFonts w:ascii="仿宋" w:hAnsi="仿宋" w:eastAsia="仿宋" w:cs="仿宋"/>
          <w:sz w:val="32"/>
          <w:szCs w:val="32"/>
        </w:rPr>
        <w:t>均已入账。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办公用房为区政府提供的统一办公楼，没有无形资产、大型设备、土地，无出租出借资产，无对外投资资产等。</w:t>
      </w:r>
    </w:p>
    <w:p>
      <w:pPr>
        <w:spacing w:line="600" w:lineRule="exact"/>
        <w:ind w:firstLine="632" w:firstLineChars="200"/>
        <w:jc w:val="left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五、政府性基金预算支出情况</w:t>
      </w:r>
    </w:p>
    <w:p>
      <w:pPr>
        <w:pStyle w:val="7"/>
        <w:spacing w:line="600" w:lineRule="exact"/>
        <w:ind w:firstLine="640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无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政府性基金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32" w:firstLineChars="200"/>
        <w:jc w:val="left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六、国有资本经营预算支出情况</w:t>
      </w:r>
    </w:p>
    <w:p>
      <w:pPr>
        <w:pStyle w:val="7"/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无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国有资本经营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资金。</w:t>
      </w:r>
    </w:p>
    <w:p>
      <w:pPr>
        <w:spacing w:before="205" w:line="222" w:lineRule="auto"/>
        <w:ind w:firstLine="644"/>
        <w:rPr>
          <w:rFonts w:hint="eastAsia" w:ascii="黑体" w:hAnsi="黑体" w:eastAsia="黑体" w:cs="黑体"/>
          <w:spacing w:val="-1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七、社会保险基金预算支出情况</w:t>
      </w:r>
    </w:p>
    <w:p>
      <w:pPr>
        <w:pStyle w:val="7"/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无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社会保险基金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。</w:t>
      </w:r>
    </w:p>
    <w:p>
      <w:pPr>
        <w:spacing w:before="205" w:line="221" w:lineRule="auto"/>
        <w:ind w:firstLine="64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八、部门整体支出绩效情况</w:t>
      </w:r>
    </w:p>
    <w:p>
      <w:pPr>
        <w:spacing w:before="211" w:line="345" w:lineRule="auto"/>
        <w:ind w:firstLine="640"/>
        <w:rPr>
          <w:rFonts w:hint="eastAsia"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总结归纳本部门"四本预算"支出的绩效目标完成情况,实</w:t>
      </w:r>
      <w:r>
        <w:rPr>
          <w:rFonts w:ascii="仿宋" w:hAnsi="仿宋" w:eastAsia="仿宋" w:cs="仿宋"/>
          <w:spacing w:val="15"/>
          <w:sz w:val="32"/>
          <w:szCs w:val="32"/>
        </w:rPr>
        <w:t>现产出和取得效益的情况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，</w:t>
      </w:r>
      <w:r>
        <w:rPr>
          <w:rFonts w:ascii="仿宋" w:hAnsi="仿宋" w:eastAsia="仿宋" w:cs="仿宋"/>
          <w:spacing w:val="15"/>
          <w:sz w:val="32"/>
          <w:szCs w:val="32"/>
        </w:rPr>
        <w:t>围绕部门职责、行业发展规划,以</w:t>
      </w:r>
      <w:r>
        <w:rPr>
          <w:rFonts w:ascii="仿宋" w:hAnsi="仿宋" w:eastAsia="仿宋" w:cs="仿宋"/>
          <w:spacing w:val="14"/>
          <w:sz w:val="32"/>
          <w:szCs w:val="32"/>
        </w:rPr>
        <w:t>预算资金管理为主线,总结部门资产管理和开展业务情况,从</w:t>
      </w:r>
      <w:r>
        <w:rPr>
          <w:rFonts w:ascii="仿宋" w:hAnsi="仿宋" w:eastAsia="仿宋" w:cs="仿宋"/>
          <w:spacing w:val="4"/>
          <w:sz w:val="32"/>
          <w:szCs w:val="32"/>
        </w:rPr>
        <w:t>运行成本、管理效率、履职效能、社会效应、可持续发展能力 和服务对象满意度等方面,衡量部门整体及核心业务实施效果</w:t>
      </w:r>
      <w:r>
        <w:rPr>
          <w:rFonts w:hint="eastAsia" w:ascii="仿宋" w:hAnsi="仿宋" w:eastAsia="仿宋" w:cs="仿宋"/>
          <w:spacing w:val="4"/>
          <w:sz w:val="32"/>
          <w:szCs w:val="32"/>
        </w:rPr>
        <w:t>。</w:t>
      </w:r>
    </w:p>
    <w:p>
      <w:pPr>
        <w:spacing w:before="211" w:line="345" w:lineRule="auto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1年，</w:t>
      </w:r>
      <w:r>
        <w:rPr>
          <w:rFonts w:eastAsia="仿宋_GB2312"/>
          <w:sz w:val="32"/>
          <w:szCs w:val="32"/>
          <w:lang w:val="zh-CN"/>
        </w:rPr>
        <w:t>在市局党组的坚强领导下，</w:t>
      </w:r>
      <w:r>
        <w:rPr>
          <w:rFonts w:eastAsia="仿宋_GB2312"/>
          <w:sz w:val="32"/>
          <w:szCs w:val="32"/>
        </w:rPr>
        <w:t>雨花分局以习近平新时代中国特色社会主义思想为指导，认真贯彻落实习近平生态文明思想，深入</w:t>
      </w:r>
      <w:r>
        <w:rPr>
          <w:rFonts w:eastAsia="仿宋_GB2312"/>
          <w:spacing w:val="8"/>
          <w:sz w:val="32"/>
          <w:szCs w:val="32"/>
        </w:rPr>
        <w:t>打好污染防治攻坚战，取得了积极成效。深入打好蓝天保卫战</w:t>
      </w:r>
      <w:r>
        <w:rPr>
          <w:rFonts w:hint="eastAsia" w:eastAsia="仿宋_GB2312"/>
          <w:spacing w:val="8"/>
          <w:sz w:val="32"/>
          <w:szCs w:val="32"/>
        </w:rPr>
        <w:t>，</w:t>
      </w:r>
      <w:r>
        <w:rPr>
          <w:rFonts w:eastAsia="仿宋_GB2312"/>
          <w:spacing w:val="8"/>
          <w:sz w:val="32"/>
          <w:szCs w:val="32"/>
        </w:rPr>
        <w:t>获评长沙市蓝天保卫战三年行动优</w:t>
      </w:r>
      <w:r>
        <w:rPr>
          <w:rFonts w:eastAsia="仿宋_GB2312"/>
          <w:sz w:val="32"/>
          <w:szCs w:val="32"/>
        </w:rPr>
        <w:t>秀单位</w:t>
      </w:r>
      <w:r>
        <w:rPr>
          <w:rFonts w:hint="eastAsia" w:eastAsia="仿宋_GB2312"/>
          <w:sz w:val="32"/>
          <w:szCs w:val="32"/>
        </w:rPr>
        <w:t>，完成重点企业</w:t>
      </w:r>
      <w:r>
        <w:rPr>
          <w:rFonts w:eastAsia="仿宋_GB2312"/>
          <w:sz w:val="32"/>
          <w:szCs w:val="32"/>
        </w:rPr>
        <w:t>VOCs废气综合治理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无组织废气在线监控设备安装、</w:t>
      </w:r>
      <w:r>
        <w:rPr>
          <w:rFonts w:hint="eastAsia" w:eastAsia="仿宋_GB2312"/>
          <w:sz w:val="32"/>
          <w:szCs w:val="32"/>
        </w:rPr>
        <w:t>完成</w:t>
      </w:r>
      <w:r>
        <w:rPr>
          <w:rFonts w:eastAsia="仿宋_GB2312"/>
          <w:sz w:val="32"/>
          <w:szCs w:val="32"/>
        </w:rPr>
        <w:t>120家企业重污染天气应急响应清单更新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完成</w:t>
      </w:r>
      <w:r>
        <w:rPr>
          <w:rFonts w:hint="eastAsia" w:eastAsia="仿宋_GB2312"/>
          <w:sz w:val="32"/>
          <w:szCs w:val="32"/>
        </w:rPr>
        <w:t>425</w:t>
      </w:r>
      <w:r>
        <w:rPr>
          <w:rFonts w:eastAsia="仿宋_GB2312"/>
          <w:sz w:val="32"/>
          <w:szCs w:val="32"/>
        </w:rPr>
        <w:t>台非道路移动机械编码登记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完成16座加油站油气三次回收治理，回收率达到90%以上。年度全区空气优良率85.2%，PM2.5累计均值40μg/m3。深入打好碧水保卫战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浏阳河（雨花段）水质稳定达到地表水Ⅲ类标准；圭塘河水质年均值达到地表水Ⅲ类标准，并且获评湖南省“美丽河湖优秀案例”和“生态文明建设示范案例”称号。深入打好净土保卫战。推进农村生活污水处理与农村“厕改”，配合关闭矿山矿涌水污染现状调查，指导</w:t>
      </w:r>
      <w:r>
        <w:rPr>
          <w:rFonts w:hint="eastAsia" w:eastAsia="仿宋_GB2312"/>
          <w:sz w:val="32"/>
          <w:szCs w:val="32"/>
        </w:rPr>
        <w:t>重点企业</w:t>
      </w:r>
      <w:r>
        <w:rPr>
          <w:rFonts w:eastAsia="仿宋_GB2312"/>
          <w:sz w:val="32"/>
          <w:szCs w:val="32"/>
        </w:rPr>
        <w:t>开展厂区土壤污染隐患排查与治理。有序开展“绿盾2021”行动，辖区污染地块安全利用率达到100%。持续推进声环境质量改善。</w:t>
      </w:r>
      <w:r>
        <w:rPr>
          <w:rFonts w:hint="eastAsia" w:eastAsia="仿宋_GB2312"/>
          <w:sz w:val="32"/>
          <w:szCs w:val="32"/>
        </w:rPr>
        <w:t>解决</w:t>
      </w:r>
      <w:r>
        <w:rPr>
          <w:rFonts w:eastAsia="仿宋_GB2312"/>
          <w:sz w:val="32"/>
          <w:szCs w:val="32"/>
        </w:rPr>
        <w:t>一批突出噪声问题，完成2个静音示范社区、2个噪声控制区创建，辖区声环境质量持续改善。</w:t>
      </w:r>
    </w:p>
    <w:p>
      <w:pPr>
        <w:spacing w:before="211" w:line="345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九、存在的问题及原因分析</w:t>
      </w:r>
    </w:p>
    <w:p>
      <w:pPr>
        <w:spacing w:before="212" w:line="346" w:lineRule="auto"/>
        <w:ind w:right="52" w:firstLine="640"/>
        <w:rPr>
          <w:rFonts w:hint="eastAsia" w:ascii="仿宋" w:hAnsi="仿宋" w:eastAsia="仿宋" w:cs="仿宋"/>
          <w:spacing w:val="-13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主要反映各种预算支出执行偏离绩效目标的情况,并分析</w:t>
      </w:r>
      <w:r>
        <w:rPr>
          <w:rFonts w:ascii="仿宋" w:hAnsi="仿宋" w:eastAsia="仿宋" w:cs="仿宋"/>
          <w:spacing w:val="-13"/>
          <w:sz w:val="32"/>
          <w:szCs w:val="32"/>
        </w:rPr>
        <w:t>其原因。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eastAsia="仿宋_GB2312"/>
          <w:sz w:val="32"/>
          <w:szCs w:val="32"/>
        </w:rPr>
        <w:t>1、按照相关文件要求，垂改</w:t>
      </w:r>
      <w:r>
        <w:rPr>
          <w:rFonts w:hint="eastAsia" w:eastAsia="仿宋_GB2312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稳步推进，但</w:t>
      </w:r>
      <w:r>
        <w:rPr>
          <w:rFonts w:hint="eastAsia" w:eastAsia="仿宋_GB2312"/>
          <w:sz w:val="32"/>
          <w:szCs w:val="32"/>
        </w:rPr>
        <w:t>三年</w:t>
      </w:r>
      <w:r>
        <w:rPr>
          <w:rFonts w:eastAsia="仿宋_GB2312"/>
          <w:sz w:val="32"/>
          <w:szCs w:val="32"/>
        </w:rPr>
        <w:t>过渡期干部职工的工作经费、人员待遇保障</w:t>
      </w:r>
      <w:r>
        <w:rPr>
          <w:rFonts w:hint="eastAsia" w:eastAsia="仿宋_GB2312"/>
          <w:sz w:val="32"/>
          <w:szCs w:val="32"/>
        </w:rPr>
        <w:t>问题及</w:t>
      </w:r>
      <w:r>
        <w:rPr>
          <w:rFonts w:eastAsia="仿宋_GB2312"/>
          <w:sz w:val="32"/>
          <w:szCs w:val="32"/>
        </w:rPr>
        <w:t>雇员</w:t>
      </w:r>
      <w:r>
        <w:rPr>
          <w:rFonts w:hint="eastAsia" w:eastAsia="仿宋_GB2312"/>
          <w:sz w:val="32"/>
          <w:szCs w:val="32"/>
        </w:rPr>
        <w:t>虽</w:t>
      </w:r>
      <w:r>
        <w:rPr>
          <w:rFonts w:eastAsia="仿宋_GB2312"/>
          <w:sz w:val="32"/>
          <w:szCs w:val="32"/>
        </w:rPr>
        <w:t>单位划转问题仍待进一步明确。</w:t>
      </w:r>
    </w:p>
    <w:p>
      <w:pPr>
        <w:spacing w:before="1" w:line="221" w:lineRule="auto"/>
        <w:ind w:firstLine="644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十、下一步改进措施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尽快明确垂改后</w:t>
      </w:r>
      <w:r>
        <w:rPr>
          <w:rFonts w:eastAsia="仿宋_GB2312"/>
          <w:sz w:val="32"/>
          <w:szCs w:val="32"/>
        </w:rPr>
        <w:t>干部职工的工作经费、人员待遇保障</w:t>
      </w:r>
      <w:r>
        <w:rPr>
          <w:rFonts w:hint="eastAsia" w:eastAsia="仿宋_GB2312"/>
          <w:sz w:val="32"/>
          <w:szCs w:val="32"/>
        </w:rPr>
        <w:t>问题、雇员</w:t>
      </w:r>
      <w:r>
        <w:rPr>
          <w:rFonts w:eastAsia="仿宋_GB2312"/>
          <w:sz w:val="32"/>
          <w:szCs w:val="32"/>
        </w:rPr>
        <w:t>归属问题。</w:t>
      </w:r>
    </w:p>
    <w:p>
      <w:pPr>
        <w:spacing w:before="206" w:line="590" w:lineRule="exact"/>
        <w:ind w:firstLine="64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position w:val="19"/>
          <w:sz w:val="32"/>
          <w:szCs w:val="32"/>
        </w:rPr>
        <w:t>十一、绩效自评结果拟应用和公开情况</w:t>
      </w:r>
    </w:p>
    <w:p>
      <w:pPr>
        <w:spacing w:before="2" w:line="220" w:lineRule="auto"/>
        <w:ind w:firstLine="64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其他需要说明的情况</w:t>
      </w:r>
    </w:p>
    <w:p>
      <w:pPr>
        <w:spacing w:line="246" w:lineRule="auto"/>
        <w:rPr>
          <w:rFonts w:ascii="Arial"/>
        </w:rPr>
      </w:pPr>
    </w:p>
    <w:p/>
    <w:sectPr>
      <w:footerReference r:id="rId4" w:type="default"/>
      <w:pgSz w:w="11906" w:h="16838"/>
      <w:pgMar w:top="1531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E2A9D"/>
    <w:rsid w:val="00005CAF"/>
    <w:rsid w:val="000650F5"/>
    <w:rsid w:val="000C3F6A"/>
    <w:rsid w:val="000E2077"/>
    <w:rsid w:val="001025F8"/>
    <w:rsid w:val="00155941"/>
    <w:rsid w:val="00196F90"/>
    <w:rsid w:val="001D1F7C"/>
    <w:rsid w:val="00267926"/>
    <w:rsid w:val="002A2299"/>
    <w:rsid w:val="002D2B8F"/>
    <w:rsid w:val="002D6030"/>
    <w:rsid w:val="002E430B"/>
    <w:rsid w:val="00301AFB"/>
    <w:rsid w:val="00380F7D"/>
    <w:rsid w:val="003B44D2"/>
    <w:rsid w:val="003E6D17"/>
    <w:rsid w:val="00402642"/>
    <w:rsid w:val="00456DBD"/>
    <w:rsid w:val="004745F7"/>
    <w:rsid w:val="00574A8F"/>
    <w:rsid w:val="005A0DCE"/>
    <w:rsid w:val="005B0158"/>
    <w:rsid w:val="005B1CD8"/>
    <w:rsid w:val="005E3167"/>
    <w:rsid w:val="00632B46"/>
    <w:rsid w:val="00694779"/>
    <w:rsid w:val="006C16E5"/>
    <w:rsid w:val="006E7D41"/>
    <w:rsid w:val="007D620A"/>
    <w:rsid w:val="007F40F7"/>
    <w:rsid w:val="0081225B"/>
    <w:rsid w:val="0081696E"/>
    <w:rsid w:val="00817F69"/>
    <w:rsid w:val="00867236"/>
    <w:rsid w:val="00893AAF"/>
    <w:rsid w:val="008A21CC"/>
    <w:rsid w:val="008B6E1F"/>
    <w:rsid w:val="008C034D"/>
    <w:rsid w:val="008C3987"/>
    <w:rsid w:val="009E2EB3"/>
    <w:rsid w:val="00BA1882"/>
    <w:rsid w:val="00BB1F8F"/>
    <w:rsid w:val="00C77408"/>
    <w:rsid w:val="00CE5ECA"/>
    <w:rsid w:val="00D1217D"/>
    <w:rsid w:val="00D3543D"/>
    <w:rsid w:val="00D62FC0"/>
    <w:rsid w:val="00E04B58"/>
    <w:rsid w:val="00E17467"/>
    <w:rsid w:val="00E27150"/>
    <w:rsid w:val="00E56327"/>
    <w:rsid w:val="00EA2690"/>
    <w:rsid w:val="1E1E2A9D"/>
    <w:rsid w:val="28A85B4B"/>
    <w:rsid w:val="32725927"/>
    <w:rsid w:val="33552D94"/>
    <w:rsid w:val="35E74834"/>
    <w:rsid w:val="655F6DD1"/>
    <w:rsid w:val="67197EAE"/>
    <w:rsid w:val="6B3979C9"/>
    <w:rsid w:val="70CC4CC4"/>
    <w:rsid w:val="7CF91E54"/>
    <w:rsid w:val="7FBF21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正文文本1"/>
    <w:basedOn w:val="1"/>
    <w:qFormat/>
    <w:uiPriority w:val="99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403</Words>
  <Characters>2302</Characters>
  <Lines>19</Lines>
  <Paragraphs>5</Paragraphs>
  <TotalTime>81</TotalTime>
  <ScaleCrop>false</ScaleCrop>
  <LinksUpToDate>false</LinksUpToDate>
  <CharactersWithSpaces>2700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2022-01-17T07:51:00Z</dcterms:created>
  <dc:creator>张茜</dc:creator>
  <cp:lastModifiedBy>立夏</cp:lastModifiedBy>
  <cp:lastPrinted>2022-01-25T07:37:00Z</cp:lastPrinted>
  <dcterms:modified xsi:type="dcterms:W3CDTF">2023-08-03T06:31:02Z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72E9D0BA792542BB8F282AC60FA52CB9_13</vt:lpwstr>
  </property>
</Properties>
</file>