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val="en-US" w:eastAsia="zh-CN"/>
        </w:rPr>
        <w:t>长沙市雨花区公共工程建设中心</w:t>
      </w:r>
    </w:p>
    <w:tbl>
      <w:tblPr>
        <w:tblStyle w:val="3"/>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29（含人才引进）</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24人（含人才引进）</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82.76%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4.96万元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6.44万元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4.96万元</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5.94万元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0.5万元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176.77万元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106万元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101.14万元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176.77万元</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106万元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101.14万元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67.9万元</w:t>
            </w:r>
            <w:r>
              <w:rPr>
                <w:rFonts w:hint="default" w:cs="Times New Roman"/>
                <w:b w:val="0"/>
                <w:bCs w:val="0"/>
                <w:kern w:val="0"/>
                <w:sz w:val="20"/>
                <w:szCs w:val="20"/>
                <w:lang w:val="en-US" w:eastAsia="zh-CN"/>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87.5万元</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55.27万元</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21.59万元</w:t>
            </w:r>
            <w:r>
              <w:rPr>
                <w:rFonts w:hint="default" w:cs="Times New Roman"/>
                <w:b w:val="0"/>
                <w:bCs w:val="0"/>
                <w:kern w:val="0"/>
                <w:sz w:val="20"/>
                <w:szCs w:val="20"/>
                <w:lang w:val="en-US" w:eastAsia="zh-CN"/>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19万元</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18.69万元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0万元</w:t>
            </w:r>
            <w:r>
              <w:rPr>
                <w:rFonts w:hint="default" w:cs="Times New Roman"/>
                <w:b w:val="0"/>
                <w:bCs w:val="0"/>
                <w:kern w:val="0"/>
                <w:sz w:val="20"/>
                <w:szCs w:val="20"/>
                <w:lang w:val="en-US" w:eastAsia="zh-CN"/>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1万元</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0万元</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0万元</w:t>
            </w:r>
            <w:r>
              <w:rPr>
                <w:rFonts w:hint="default" w:cs="Times New Roman"/>
                <w:b w:val="0"/>
                <w:bCs w:val="0"/>
                <w:kern w:val="0"/>
                <w:sz w:val="20"/>
                <w:szCs w:val="20"/>
                <w:lang w:val="en-US" w:eastAsia="zh-CN"/>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9万元</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0万元</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default" w:cs="Times New Roman"/>
                <w:b w:val="0"/>
                <w:bCs w:val="0"/>
                <w:kern w:val="0"/>
                <w:sz w:val="20"/>
                <w:szCs w:val="20"/>
                <w:lang w:val="en-US" w:eastAsia="zh-CN"/>
              </w:rPr>
              <w:t>　</w:t>
            </w:r>
            <w:r>
              <w:rPr>
                <w:rFonts w:hint="eastAsia" w:cs="Times New Roman"/>
                <w:b w:val="0"/>
                <w:bCs w:val="0"/>
                <w:kern w:val="0"/>
                <w:sz w:val="20"/>
                <w:szCs w:val="20"/>
                <w:lang w:val="en-US" w:eastAsia="zh-CN"/>
              </w:rPr>
              <w:t>18.64万元</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12.86万元</w:t>
            </w:r>
            <w:r>
              <w:rPr>
                <w:rFonts w:hint="default"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0万元</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0</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0</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0</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严格中央八项规定执行，加强内部控制</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3"/>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投入</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目标</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设定</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6</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绩效目标</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①是否符合国家法律法规、国民经济和社会发展总体规划；</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②是否符合部门</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三定</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方案确定的职责；</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①符合国家相关法律法规，本市国民经济和社会发展规划，计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②与部门（单位）职责密切相关，计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③符合部门制定的发展实施规划，计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绩效指标</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①是否将部门整体的绩效目标细化分解为具体的工作任务；</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②是否通过清晰、可衡量的指标值予以体现。</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③是否与部门年度的任务数或计划数相对应；</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①有目标，计1分，否则不得分；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②目标明确，细化量化良好，个性指标中量化指标超过</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个，计1分，量化指标为</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个以下不得分；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③与年度任务数或计划数相对应，计1分，低于</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个，计0.5分，低于</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个不得分；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配置</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在职人员控制率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（在职人员数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编制数）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聘用人员控制率≦人社和编办共同批复的人数；</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在职人员数：部门（单位）实际在职人数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以财政部门确定的部门决算编制口径为准。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在职人员控制率≦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分，每超出</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分，扣完为止。</w:t>
            </w:r>
            <w:r>
              <w:rPr>
                <w:rStyle w:val="6"/>
                <w:rFonts w:hint="default" w:ascii="Times New Roman" w:hAnsi="Times New Roman" w:eastAsia="宋体" w:cs="Times New Roman"/>
                <w:sz w:val="20"/>
                <w:szCs w:val="20"/>
                <w:lang w:val="en-US" w:eastAsia="zh-CN" w:bidi="ar"/>
              </w:rPr>
              <w:br w:type="textWrapping"/>
            </w:r>
            <w:r>
              <w:rPr>
                <w:rStyle w:val="7"/>
                <w:rFonts w:hint="default" w:ascii="Times New Roman" w:hAnsi="Times New Roman" w:cs="Times New Roman"/>
                <w:color w:val="auto"/>
                <w:sz w:val="20"/>
                <w:szCs w:val="20"/>
                <w:lang w:val="en-US" w:eastAsia="zh-CN" w:bidi="ar"/>
              </w:rPr>
              <w:t>聘用人员实际使用数小于等于编办人社部门批复数，计</w:t>
            </w:r>
            <w:r>
              <w:rPr>
                <w:rStyle w:val="8"/>
                <w:rFonts w:hint="default" w:ascii="Times New Roman" w:hAnsi="Times New Roman" w:eastAsia="宋体" w:cs="Times New Roman"/>
                <w:color w:val="auto"/>
                <w:sz w:val="20"/>
                <w:szCs w:val="20"/>
                <w:lang w:val="en-US" w:eastAsia="zh-CN" w:bidi="ar"/>
              </w:rPr>
              <w:t>2</w:t>
            </w:r>
            <w:r>
              <w:rPr>
                <w:rStyle w:val="7"/>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过程</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①预算完成率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（预算完成数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预算完成数：部门（单位）本年度实际完成的预算数。</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预算数：财政部门批复的本年度部门（单位）预算数及追加的项目预算数。</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②支付序时进度</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（序时执行数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序时指标下达数）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③部门预算项目支出调剂到区县。</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①全年预算完成率</w:t>
            </w:r>
            <w:r>
              <w:rPr>
                <w:rStyle w:val="6"/>
                <w:rFonts w:hint="default" w:ascii="Times New Roman" w:hAnsi="Times New Roman" w:eastAsia="宋体" w:cs="Times New Roman"/>
                <w:sz w:val="20"/>
                <w:szCs w:val="20"/>
                <w:lang w:val="en-US" w:eastAsia="zh-CN" w:bidi="ar"/>
              </w:rPr>
              <w:t>95%</w:t>
            </w:r>
            <w:r>
              <w:rPr>
                <w:rStyle w:val="5"/>
                <w:rFonts w:hint="default" w:ascii="Times New Roman" w:hAnsi="Times New Roman" w:cs="Times New Roman"/>
                <w:sz w:val="20"/>
                <w:szCs w:val="20"/>
                <w:lang w:val="en-US" w:eastAsia="zh-CN" w:bidi="ar"/>
              </w:rPr>
              <w:t>以上计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95-90%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1.5</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90-80%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分，小于</w:t>
            </w:r>
            <w:r>
              <w:rPr>
                <w:rStyle w:val="6"/>
                <w:rFonts w:hint="default" w:ascii="Times New Roman" w:hAnsi="Times New Roman" w:eastAsia="宋体" w:cs="Times New Roman"/>
                <w:sz w:val="20"/>
                <w:szCs w:val="20"/>
                <w:lang w:val="en-US" w:eastAsia="zh-CN" w:bidi="ar"/>
              </w:rPr>
              <w:t>80%</w:t>
            </w:r>
            <w:r>
              <w:rPr>
                <w:rStyle w:val="5"/>
                <w:rFonts w:hint="default" w:ascii="Times New Roman" w:hAnsi="Times New Roman" w:cs="Times New Roman"/>
                <w:sz w:val="20"/>
                <w:szCs w:val="20"/>
                <w:lang w:val="en-US" w:eastAsia="zh-CN" w:bidi="ar"/>
              </w:rPr>
              <w:t>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②一、二、三季度末支付序时进度分别达到</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50%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80%</w:t>
            </w:r>
            <w:r>
              <w:rPr>
                <w:rStyle w:val="5"/>
                <w:rFonts w:hint="default" w:ascii="Times New Roman" w:hAnsi="Times New Roman" w:cs="Times New Roman"/>
                <w:sz w:val="20"/>
                <w:szCs w:val="20"/>
                <w:lang w:val="en-US" w:eastAsia="zh-CN" w:bidi="ar"/>
              </w:rPr>
              <w:t>（含）以上计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分，每低</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个百分点扣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分，扣完为止。</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③部门预算项目支出调剂到区县小于等于项目支出</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分；大于</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过程</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预算调整率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（预算调整数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预算调整率</w:t>
            </w:r>
            <w:r>
              <w:rPr>
                <w:rStyle w:val="6"/>
                <w:rFonts w:hint="default" w:ascii="Times New Roman" w:hAnsi="Times New Roman" w:eastAsia="宋体" w:cs="Times New Roman"/>
                <w:sz w:val="20"/>
                <w:szCs w:val="20"/>
                <w:lang w:val="en-US" w:eastAsia="zh-CN" w:bidi="ar"/>
              </w:rPr>
              <w:t>&lt;5%</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5-10%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1.5</w:t>
            </w:r>
            <w:r>
              <w:rPr>
                <w:rStyle w:val="5"/>
                <w:rFonts w:hint="default" w:ascii="Times New Roman" w:hAnsi="Times New Roman" w:cs="Times New Roman"/>
                <w:sz w:val="20"/>
                <w:szCs w:val="20"/>
                <w:lang w:val="en-US" w:eastAsia="zh-CN" w:bidi="ar"/>
              </w:rPr>
              <w:t>分；大于</w:t>
            </w:r>
            <w:r>
              <w:rPr>
                <w:rStyle w:val="6"/>
                <w:rFonts w:hint="default" w:ascii="Times New Roman" w:hAnsi="Times New Roman" w:eastAsia="宋体" w:cs="Times New Roman"/>
                <w:sz w:val="20"/>
                <w:szCs w:val="20"/>
                <w:lang w:val="en-US" w:eastAsia="zh-CN" w:bidi="ar"/>
              </w:rPr>
              <w:t>10%</w:t>
            </w:r>
            <w:r>
              <w:rPr>
                <w:rStyle w:val="5"/>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根据市政府文件规定，预算单位年度安排的市级预算资金不能结转。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eastAsia="宋体" w:cs="Times New Roman"/>
                <w:sz w:val="20"/>
                <w:szCs w:val="20"/>
                <w:lang w:val="en-US" w:eastAsia="zh-CN" w:bidi="ar"/>
              </w:rPr>
            </w:pPr>
            <w:r>
              <w:rPr>
                <w:rStyle w:val="5"/>
                <w:rFonts w:hint="default" w:ascii="Times New Roman" w:hAnsi="Times New Roman" w:cs="Times New Roman"/>
                <w:sz w:val="20"/>
                <w:szCs w:val="20"/>
                <w:lang w:val="en-US" w:eastAsia="zh-CN" w:bidi="ar"/>
              </w:rPr>
              <w:t>经费</w:t>
            </w:r>
            <w:r>
              <w:rPr>
                <w:rStyle w:val="6"/>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控制率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实际支出数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预算安排数）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控制率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以下（含）计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分，每超出</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0.15</w:t>
            </w:r>
            <w:r>
              <w:rPr>
                <w:rStyle w:val="5"/>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eastAsia="宋体" w:cs="Times New Roman"/>
                <w:sz w:val="20"/>
                <w:szCs w:val="20"/>
                <w:lang w:val="en-US" w:eastAsia="zh-CN" w:bidi="ar"/>
              </w:rPr>
            </w:pPr>
            <w:r>
              <w:rPr>
                <w:rStyle w:val="6"/>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政府采购执行率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（实际政府采购金额</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政府采购预算数）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5"/>
                <w:rFonts w:hint="default" w:ascii="Times New Roman" w:hAnsi="Times New Roman"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预算单位严格执行《中华人民共和国政府采购法</w:t>
            </w:r>
            <w:bookmarkStart w:id="0" w:name="_GoBack"/>
            <w:bookmarkEnd w:id="0"/>
            <w:r>
              <w:rPr>
                <w:rStyle w:val="5"/>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政府采购执行率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分，每超过（降低）</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0.1</w:t>
            </w:r>
            <w:r>
              <w:rPr>
                <w:rStyle w:val="5"/>
                <w:rFonts w:hint="default" w:ascii="Times New Roman" w:hAnsi="Times New Roman" w:cs="Times New Roman"/>
                <w:sz w:val="20"/>
                <w:szCs w:val="20"/>
                <w:lang w:val="en-US" w:eastAsia="zh-CN" w:bidi="ar"/>
              </w:rPr>
              <w:t>分，扣完为止。</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管理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管理制度</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①部门（单位）内控制度、内部财务管理制度和会计核算制度是否健全；</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②相关管理制度是否合法、合规、完整；</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①部门（单位）内控制度、内部财务管理制度和会计核算制度健全，计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②管理制度合法、合规、完整，计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③管理制度得到有效执行，计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资金使用</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①是否符合国家财经法规和财务管理制度以及有关专项资金管理办法的规定；</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②资金的支付是否有完整的审批程序和手续；</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③重大项目开支和大额资金使用是否经单位党组集体研究决策；</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④是否符合项目预算批复或合同规定的用途；</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⑤是否存在截留、挤占、挪用、虚列支出等情况；</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①符合国家财经法规和财务管理制度以及有关专项资金管理办法的规定，计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②资金的支付有完整的审批程序和手续，计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③重大项目开支和大额资金使用经过单位党组集体研究决策，计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④符合项目预算批复或合同规定的用途，计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⑤不存在截留、挤占、挪用、虚列支出等情况，计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例不符合本指标</w:t>
            </w:r>
            <w:r>
              <w:rPr>
                <w:rStyle w:val="6"/>
                <w:rFonts w:hint="default" w:ascii="Times New Roman" w:hAnsi="Times New Roman" w:eastAsia="宋体" w:cs="Times New Roman"/>
                <w:sz w:val="20"/>
                <w:szCs w:val="20"/>
                <w:lang w:val="en-US" w:eastAsia="zh-CN" w:bidi="ar"/>
              </w:rPr>
              <w:t>6</w:t>
            </w:r>
            <w:r>
              <w:rPr>
                <w:rStyle w:val="5"/>
                <w:rFonts w:hint="default" w:ascii="Times New Roman" w:hAnsi="Times New Roman" w:cs="Times New Roman"/>
                <w:sz w:val="20"/>
                <w:szCs w:val="20"/>
                <w:lang w:val="en-US" w:eastAsia="zh-CN" w:bidi="ar"/>
              </w:rPr>
              <w:t>分全扣；</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⑥</w:t>
            </w:r>
            <w:r>
              <w:rPr>
                <w:rStyle w:val="5"/>
                <w:rFonts w:hint="default" w:ascii="Times New Roman" w:hAnsi="Times New Roman" w:cs="Times New Roman"/>
                <w:spacing w:val="-6"/>
                <w:sz w:val="20"/>
                <w:szCs w:val="20"/>
                <w:lang w:val="en-US" w:eastAsia="zh-CN" w:bidi="ar"/>
              </w:rPr>
              <w:t>不存在重复申报项目、虚报冒领资金，计</w:t>
            </w:r>
            <w:r>
              <w:rPr>
                <w:rStyle w:val="6"/>
                <w:rFonts w:hint="default" w:ascii="Times New Roman" w:hAnsi="Times New Roman" w:eastAsia="宋体" w:cs="Times New Roman"/>
                <w:spacing w:val="-6"/>
                <w:sz w:val="20"/>
                <w:szCs w:val="20"/>
                <w:lang w:val="en-US" w:eastAsia="zh-CN" w:bidi="ar"/>
              </w:rPr>
              <w:t>1</w:t>
            </w:r>
            <w:r>
              <w:rPr>
                <w:rStyle w:val="5"/>
                <w:rFonts w:hint="default" w:ascii="Times New Roman" w:hAnsi="Times New Roman" w:cs="Times New Roman"/>
                <w:spacing w:val="-6"/>
                <w:sz w:val="20"/>
                <w:szCs w:val="20"/>
                <w:lang w:val="en-US" w:eastAsia="zh-CN" w:bidi="ar"/>
              </w:rPr>
              <w:t>分，</w:t>
            </w:r>
            <w:r>
              <w:rPr>
                <w:rStyle w:val="6"/>
                <w:rFonts w:hint="default" w:ascii="Times New Roman" w:hAnsi="Times New Roman" w:eastAsia="宋体" w:cs="Times New Roman"/>
                <w:spacing w:val="-6"/>
                <w:sz w:val="20"/>
                <w:szCs w:val="20"/>
                <w:lang w:val="en-US" w:eastAsia="zh-CN" w:bidi="ar"/>
              </w:rPr>
              <w:t>1</w:t>
            </w:r>
            <w:r>
              <w:rPr>
                <w:rStyle w:val="5"/>
                <w:rFonts w:hint="default" w:ascii="Times New Roman" w:hAnsi="Times New Roman" w:cs="Times New Roman"/>
                <w:spacing w:val="-6"/>
                <w:sz w:val="20"/>
                <w:szCs w:val="20"/>
                <w:lang w:val="en-US" w:eastAsia="zh-CN" w:bidi="ar"/>
              </w:rPr>
              <w:t>例不符合本指标6分全扣；</w:t>
            </w:r>
            <w:r>
              <w:rPr>
                <w:rStyle w:val="5"/>
                <w:rFonts w:hint="default" w:ascii="Times New Roman" w:hAnsi="Times New Roman"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过程</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5"/>
                <w:rFonts w:hint="default" w:ascii="Times New Roman" w:hAnsi="Times New Roman" w:cs="Times New Roman"/>
                <w:sz w:val="20"/>
                <w:szCs w:val="20"/>
                <w:lang w:val="en-US" w:eastAsia="zh-CN" w:bidi="ar"/>
              </w:rPr>
              <w:t>预算</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管理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①预算单位按规定及时、准确、完整的公开预决算和绩效管理信息；</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①、②各计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绩效自评</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根据市财政局2020年考核结果，评审为优，计</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分；评审为良，计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分；评审为中，计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分；评审为低，计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分；评审为差，计</w:t>
            </w:r>
            <w:r>
              <w:rPr>
                <w:rStyle w:val="6"/>
                <w:rFonts w:hint="default" w:ascii="Times New Roman" w:hAnsi="Times New Roman" w:eastAsia="宋体" w:cs="Times New Roman"/>
                <w:sz w:val="20"/>
                <w:szCs w:val="20"/>
                <w:lang w:val="en-US" w:eastAsia="zh-CN" w:bidi="ar"/>
              </w:rPr>
              <w:t>0</w:t>
            </w:r>
            <w:r>
              <w:rPr>
                <w:rStyle w:val="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2019年重点评价问题全部整改，计</w:t>
            </w:r>
            <w:r>
              <w:rPr>
                <w:rStyle w:val="6"/>
                <w:rFonts w:hint="default" w:ascii="Times New Roman" w:hAnsi="Times New Roman" w:eastAsia="宋体" w:cs="Times New Roman"/>
                <w:sz w:val="20"/>
                <w:szCs w:val="20"/>
                <w:lang w:val="en-US" w:eastAsia="zh-CN" w:bidi="ar"/>
              </w:rPr>
              <w:t>5</w:t>
            </w:r>
            <w:r>
              <w:rPr>
                <w:rStyle w:val="5"/>
                <w:rFonts w:hint="default" w:ascii="Times New Roman" w:hAnsi="Times New Roman" w:cs="Times New Roman"/>
                <w:sz w:val="20"/>
                <w:szCs w:val="20"/>
                <w:lang w:val="en-US" w:eastAsia="zh-CN" w:bidi="ar"/>
              </w:rPr>
              <w:t>分；2019年重点评价问题部分整改，计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资产</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管理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5</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①是否已制定合法、合规、完整的资产管理制度；</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②相关资产管理制度是否得到有效执行；</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③资产配置是否编制年度预算；</w:t>
            </w:r>
            <w:r>
              <w:rPr>
                <w:rStyle w:val="5"/>
                <w:rFonts w:hint="default" w:ascii="Times New Roman" w:hAnsi="Times New Roman"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①已制定合法、合规、完整的资产管理制度，计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②相关资产管理制度得到有效执行，计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③资产管理编制年度预算，计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分，未编制不得分。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④资产配置预算实际执行情况未超年度预算（按程序审批除外），计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资产管理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①资产保存是否完整并有台账；</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②资产配置是否合理；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③资产处置是否规范；</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④资产账务管理是否合规，是否</w:t>
            </w:r>
            <w:r>
              <w:rPr>
                <w:rStyle w:val="5"/>
                <w:rFonts w:hint="eastAsia" w:cs="Times New Roman"/>
                <w:sz w:val="20"/>
                <w:szCs w:val="20"/>
                <w:lang w:val="en-US" w:eastAsia="zh-CN" w:bidi="ar"/>
              </w:rPr>
              <w:t>账实相符</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⑤资产是否有偿使用或处置收入及时足额上缴；</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⑥相关资产购置是否履行政府采购手续；</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分，发现一例不符，扣</w:t>
            </w:r>
            <w:r>
              <w:rPr>
                <w:rStyle w:val="6"/>
                <w:rFonts w:hint="default" w:ascii="Times New Roman" w:hAnsi="Times New Roman" w:eastAsia="宋体" w:cs="Times New Roman"/>
                <w:sz w:val="20"/>
                <w:szCs w:val="20"/>
                <w:lang w:val="en-US" w:eastAsia="zh-CN" w:bidi="ar"/>
              </w:rPr>
              <w:t>0.1</w:t>
            </w:r>
            <w:r>
              <w:rPr>
                <w:rStyle w:val="5"/>
                <w:rFonts w:hint="default" w:ascii="Times New Roman" w:hAnsi="Times New Roman" w:cs="Times New Roman"/>
                <w:sz w:val="20"/>
                <w:szCs w:val="20"/>
                <w:lang w:val="en-US" w:eastAsia="zh-CN" w:bidi="ar"/>
              </w:rPr>
              <w:t>分，扣完为止；</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②资产处置规范，计0.5分，发现一例不符，扣0.1分，扣完为止；</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③资产有偿使用或处置收入及时足额上缴，计0.5分，发现未上缴，本项不得分；</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固定资产</w:t>
            </w:r>
            <w:r>
              <w:rPr>
                <w:rStyle w:val="6"/>
                <w:rFonts w:hint="default" w:ascii="Times New Roman" w:hAnsi="Times New Roman" w:eastAsia="宋体" w:cs="Times New Roman"/>
                <w:sz w:val="20"/>
                <w:szCs w:val="20"/>
                <w:lang w:val="en-US" w:eastAsia="zh-CN" w:bidi="ar"/>
              </w:rPr>
              <w:br w:type="textWrapping"/>
            </w:r>
            <w:r>
              <w:rPr>
                <w:rStyle w:val="5"/>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89.5分</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jc w:val="left"/>
        <w:rPr>
          <w:rFonts w:hint="eastAsia" w:ascii="仿宋_GB2312" w:hAnsi="仿宋_GB2312" w:eastAsia="仿宋_GB2312" w:cs="仿宋_GB2312"/>
          <w:kern w:val="0"/>
          <w:sz w:val="32"/>
          <w:szCs w:val="32"/>
          <w:lang w:val="en-US" w:eastAsia="zh-CN"/>
        </w:rPr>
      </w:pP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val="en-US" w:eastAsia="zh-CN"/>
        </w:rPr>
        <w:t>长沙市雨花区公共工程建设中心</w:t>
      </w:r>
      <w:r>
        <w:rPr>
          <w:rFonts w:hint="eastAsia" w:ascii="仿宋_GB2312" w:hAnsi="仿宋_GB2312" w:eastAsia="仿宋_GB2312" w:cs="仿宋_GB2312"/>
          <w:b/>
          <w:bCs/>
          <w:sz w:val="44"/>
          <w:szCs w:val="44"/>
        </w:rPr>
        <w:t>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9"/>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（一）单位基本情况</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1、主要职能。</w:t>
      </w:r>
      <w:r>
        <w:rPr>
          <w:rFonts w:hint="eastAsia" w:ascii="仿宋_GB2312" w:hAnsi="仿宋_GB2312" w:eastAsia="仿宋_GB2312" w:cs="仿宋_GB2312"/>
          <w:color w:val="000000"/>
          <w:sz w:val="32"/>
          <w:szCs w:val="32"/>
          <w:lang w:val="en-US" w:eastAsia="zh-CN"/>
        </w:rPr>
        <w:t>贯彻执行区政府部门职能职责分工，主要负责区政府投资工程项目的建设（或代建）实施和监督管理工作，以及省市重点工程项目的拆迁协调服务工作。与区重点办实行一套人马两块牌子的运作模式，主要职责如下：</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1、负责联系省、市重点工程管理工作；负责编制全区重点工程建设项目年度计划，组织实施并确保工程进度，完成重点工程市对区的绩效考核目标。</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2、负责市政道路等基础工程项目建设、改造的组织实施工作。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3、负责区政府部分投融资项目的建设（或代建）实施和监督管理工作。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 负责区本级党政群团、科教文卫体、政法系统等社会公益性事业建设项目的组织实施和监督管理工作。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 负责已建设项目的后期改造工作。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6、负责区公共工程建设中心实施范围内项目的节能和推进绿色建筑实施工作。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负责区政府委托的保障性住房建设的组织实施和代建管理工作。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承办区委、区人民政府和上级主管部门交办的其他事项。</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2、机构情况。</w:t>
      </w:r>
      <w:r>
        <w:rPr>
          <w:rFonts w:hint="eastAsia" w:ascii="仿宋_GB2312" w:hAnsi="仿宋_GB2312" w:eastAsia="仿宋_GB2312" w:cs="仿宋_GB2312"/>
          <w:color w:val="000000"/>
          <w:sz w:val="32"/>
          <w:szCs w:val="32"/>
          <w:lang w:val="en-US" w:eastAsia="zh-CN"/>
        </w:rPr>
        <w:t>公建中心内设机构包括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办公室、工程技术科、前期工作科、招标管理科、造价管理科、市政工程管理科、房建工程管理科、财务管理科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重点工程项目综合协调办公室9个科室</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3、人员情况。</w:t>
      </w:r>
      <w:r>
        <w:rPr>
          <w:rFonts w:hint="eastAsia" w:ascii="仿宋_GB2312" w:hAnsi="仿宋_GB2312" w:eastAsia="仿宋_GB2312" w:cs="仿宋_GB2312"/>
          <w:color w:val="000000"/>
          <w:sz w:val="32"/>
          <w:szCs w:val="32"/>
          <w:lang w:val="en-US" w:eastAsia="zh-CN"/>
        </w:rPr>
        <w:t>2020年年末在职在编干部24人（含人才引进人员6人），退役军人1人。外聘专技人员32人，退休1人。</w:t>
      </w:r>
    </w:p>
    <w:p>
      <w:pPr>
        <w:pStyle w:val="9"/>
        <w:keepNext w:val="0"/>
        <w:keepLines w:val="0"/>
        <w:pageBreakBefore w:val="0"/>
        <w:widowControl/>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9"/>
        <w:keepNext w:val="0"/>
        <w:keepLines w:val="0"/>
        <w:pageBreakBefore w:val="0"/>
        <w:widowControl/>
        <w:kinsoku/>
        <w:wordWrap/>
        <w:overflowPunct/>
        <w:topLinePunct w:val="0"/>
        <w:autoSpaceDE/>
        <w:autoSpaceDN/>
        <w:bidi w:val="0"/>
        <w:adjustRightInd/>
        <w:snapToGrid/>
        <w:spacing w:line="5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介绍基本支出的主要用途、范围以及资金的管理情况，尤其是“三公”经费的使用和管理情况。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2020年度基本支出1059.99万元，占支出总额91.29%；其中工资福利支出998.84万元，主要用于人员工资、社会保障、住房公积金等人员工资福利支出，商品服务支出55.27万元，主要用于公用经费，办公经费等日常经费。其中“三公”经费支出情况：2020年公务用车购置及运行维护费支出预算数5.94万元，决算数0万元；公务接待支出预算数0.5万元，决算数0万元；因公出国出境预算数和决算数0万元。2020年度无人出国公干、业务招待也严格按上级要求来函才接待，且由于公车改革，2020年减少2台公务用车，因此2020年没有公务用车运行维护费支出。 </w:t>
      </w:r>
    </w:p>
    <w:p>
      <w:pPr>
        <w:pStyle w:val="9"/>
        <w:keepNext w:val="0"/>
        <w:keepLines w:val="0"/>
        <w:pageBreakBefore w:val="0"/>
        <w:widowControl/>
        <w:kinsoku/>
        <w:wordWrap/>
        <w:overflowPunct/>
        <w:topLinePunct w:val="0"/>
        <w:autoSpaceDE/>
        <w:autoSpaceDN/>
        <w:bidi w:val="0"/>
        <w:adjustRightInd/>
        <w:snapToGrid/>
        <w:spacing w:line="460" w:lineRule="exact"/>
        <w:ind w:left="0" w:leftChars="0" w:firstLine="321" w:firstLineChars="1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w:t>
      </w:r>
      <w:r>
        <w:rPr>
          <w:rFonts w:hint="default" w:ascii="仿宋_GB2312" w:hAnsi="仿宋_GB2312" w:eastAsia="仿宋_GB2312" w:cs="仿宋_GB2312"/>
          <w:b/>
          <w:bCs/>
          <w:color w:val="000000"/>
          <w:sz w:val="32"/>
          <w:szCs w:val="32"/>
          <w:lang w:val="en-US" w:eastAsia="zh-CN"/>
        </w:rPr>
        <w:t>项目资金（包括财政资金、自筹资金等）安排落实、总投入等情况分析。</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color w:val="000000"/>
          <w:sz w:val="32"/>
          <w:szCs w:val="32"/>
          <w:lang w:val="en-US" w:eastAsia="zh-CN"/>
        </w:rPr>
        <w:t>重点工程建设管理专项经费10万元；重点工程建设拆迁困难户慰问经费5万元；重点工程建设考核80万元；重点工程建设人才引进和培训经费6万元；重点工程建设管理考核专项经费5万元。全部为财政资金。</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w:t>
      </w:r>
      <w:r>
        <w:rPr>
          <w:rFonts w:hint="default" w:ascii="仿宋_GB2312" w:hAnsi="仿宋_GB2312" w:eastAsia="仿宋_GB2312" w:cs="仿宋_GB2312"/>
          <w:b/>
          <w:bCs/>
          <w:color w:val="000000"/>
          <w:sz w:val="32"/>
          <w:szCs w:val="32"/>
          <w:lang w:val="en-US" w:eastAsia="zh-CN"/>
        </w:rPr>
        <w:t>项目资金（主要指财政资金）实际使用情况分析。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重点工程建设管理专项经费支出7.68万元；重点工程建设拆迁困难户慰问经费支出5万元；重点工程建设考核支出80万元；重点工程建设人才引进和培训经费支出4.04万元；重点工程建设管理考核专项经费支出4.42万元。全部为财政资金。</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w:t>
      </w:r>
      <w:r>
        <w:rPr>
          <w:rFonts w:hint="default" w:ascii="仿宋_GB2312" w:hAnsi="仿宋_GB2312" w:eastAsia="仿宋_GB2312" w:cs="仿宋_GB2312"/>
          <w:b/>
          <w:bCs/>
          <w:color w:val="000000"/>
          <w:sz w:val="32"/>
          <w:szCs w:val="32"/>
          <w:lang w:val="en-US" w:eastAsia="zh-CN"/>
        </w:rPr>
        <w:t>项目资金管理情况分析，主要包括管理制度、办法的制订及执行情况。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重点工程建设管理专项经费根据重点工程建设计划，推进重点工程建设进度，严格执行国家财经法律法规和内部控制管理制度，控制和规范管理经费支出，增强经费预算刚性，提高资金使用效益；重点工程建设拆迁困难户慰问经费按照区委、区政府的年度工作计划，根据街道、片区指挥部的申报慰问重点工程建设征拆困难户；重点工程建设考核按照《雨花区重点工程建设奖励考核办法》（雨重发【2013】3号），严格执行国家财经法律法规和内部控制管理制度，控制和规范管理经费支出，增强经费预算刚性，提高资金使用效益；重点工程建设人才引进和培训经费，加强重点工程专业队伍建设，圆满完成年度建设计划，根据业务发展的需求不断提升全员业务素质，以满足城市配套建设之需；重点工程建设管理考核专项经费，根据重点工程建设计划，推进重点工程建设进度。</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部门“四本预算”支出的绩效目标完成情况，一般公共预算整体绩效目标1338.11万元，政府性基金预算、国有资本经营预算、社会保险基金预算均为0万元，完成一般公共预算绩效目标支出1161.13万元，基本支出绩效目标支出完成1059.99万元，项目绩效目标支出完成101.14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（一）在区委区政府的正确领导下，中心在区委区政府的正确领导下，在持续做好疫情防控的前提下，紧扣“同心同德夯基础，担当作为攻项目”的工作主题，攻坚克难，奋勇争先，圆满完成了全年各项工作。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市政道路项目稳步实施。完成紫薇路、石坝路、官寺冲路、支路12-3、瓦窑路、川河路一标、沙禾路、支路30-1、先锋路提质改造、东方红小学配套道路提质改造共10条市政道路建设，通车里程约5.7公里。大力推进林科路（北）、豹塘路等项目建设。完成北冲路、侯照路、嘉胜路等6条道路预验收移交，圆满完成圭塘路、新丰路等区属20条市政道路交通顽瘴痼疾整治。</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2、社会民生项目加速完成。完成雨花区中心消防站、圭塘小学扩建、芙蓉路（国防科大段）景观提质改造3个社会民生类项目建设，大力推进花侯小学、德馨园学校、井圭路小学运动场及地下停车场等项目建设。完成莲湖小学、芙蓉路小学、东方红小学规范验收工作，加快推进圭星小学及圭星幼儿园验收移交。</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3、“一圈两场三道”项目全面推进。按照区“一圈两场三道”要求，圆满完成高升路、桂花坪路、侯照路3条道路人行道新建任务，建设总长2.3千米。</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4、污水管网配套及电力埋管建设扎实开展。完成紫薇路、官寺冲路污水管网和京珠高速电力埋管工程，扎实推进川河路管网、高升路箱涵、金海路箱涵、万家丽路电力埋管项目建设。</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2020度我中心各项工作有序开展，基本支出使用良好，专项资金使用的计划性还有待进一步加强。我中心将对各项工作进行梳理，对相关经费需求进行全面预算，力争做到各项工作均有预算，各项预算开支计划推进，强化责任。</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四、存在的问题及原因分析</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主要反映各种预算支出执行偏离绩效目标的情况，并分析其原因。无</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val="en-US" w:eastAsia="zh-CN"/>
        </w:rPr>
        <w:t>五、下一步改进措施</w:t>
      </w:r>
      <w:r>
        <w:rPr>
          <w:rFonts w:hint="eastAsia" w:ascii="仿宋_GB2312" w:hAnsi="仿宋_GB2312" w:eastAsia="仿宋_GB2312" w:cs="仿宋_GB2312"/>
          <w:color w:val="000000"/>
          <w:sz w:val="32"/>
          <w:szCs w:val="32"/>
          <w:lang w:val="en-US" w:eastAsia="zh-CN"/>
        </w:rPr>
        <w:t xml:space="preserve">  无</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六、绩效自评结果拟应用和公开情况  </w:t>
      </w:r>
      <w:r>
        <w:rPr>
          <w:rFonts w:hint="eastAsia" w:ascii="仿宋_GB2312" w:hAnsi="仿宋_GB2312" w:eastAsia="仿宋_GB2312" w:cs="仿宋_GB2312"/>
          <w:color w:val="000000"/>
          <w:sz w:val="32"/>
          <w:szCs w:val="32"/>
          <w:lang w:val="en-US" w:eastAsia="zh-CN"/>
        </w:rPr>
        <w:t>无</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其他需要说明的情况   </w:t>
      </w:r>
      <w:r>
        <w:rPr>
          <w:rFonts w:hint="eastAsia" w:ascii="仿宋_GB2312" w:hAnsi="仿宋_GB2312" w:eastAsia="仿宋_GB2312" w:cs="仿宋_GB2312"/>
          <w:color w:val="000000"/>
          <w:sz w:val="32"/>
          <w:szCs w:val="32"/>
          <w:lang w:val="en-US" w:eastAsia="zh-CN"/>
        </w:rPr>
        <w:t>无</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3"/>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cs="Times New Roman"/>
                <w:i w:val="0"/>
                <w:color w:val="000000"/>
                <w:kern w:val="0"/>
                <w:sz w:val="20"/>
                <w:szCs w:val="20"/>
                <w:u w:val="none"/>
                <w:lang w:val="en-US" w:eastAsia="zh-CN" w:bidi="ar"/>
              </w:rPr>
              <w:t>市委、市政府</w:t>
            </w:r>
            <w:r>
              <w:rPr>
                <w:rFonts w:hint="default" w:ascii="Times New Roman" w:hAnsi="Times New Roman" w:eastAsia="宋体" w:cs="Times New Roman"/>
                <w:i w:val="0"/>
                <w:color w:val="000000"/>
                <w:kern w:val="0"/>
                <w:sz w:val="20"/>
                <w:szCs w:val="20"/>
                <w:u w:val="none"/>
                <w:lang w:val="en-US" w:eastAsia="zh-CN" w:bidi="ar"/>
              </w:rPr>
              <w:t>会议纪要和主要领导批示所明确的具体金额），是否按照标准编制；</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市本级公共项目资金不能结转，无结转计2分，有结转不得分。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预算执行进度率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对2019年重点绩效评价报告中发现的问题全部整改，计2分；2019年反映问题部分整改，计1分；2019年反映问题未整改且无整改情况说明，计0分。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根据市财政局2020年考核结果，评审为优，得4分；评审为良，得3分；评审为中，得2分；评审为低，得1分；评审为差，得0分。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89.5分</w:t>
            </w:r>
          </w:p>
        </w:tc>
      </w:tr>
    </w:tbl>
    <w:p/>
    <w:p/>
    <w:p/>
    <w:p/>
    <w:p/>
    <w:p/>
    <w:p/>
    <w:p/>
    <w:p/>
    <w:p/>
    <w:p/>
    <w:p/>
    <w:p/>
    <w:p/>
    <w:p/>
    <w:p/>
    <w:p/>
    <w:p/>
    <w:p/>
    <w:p/>
    <w:p/>
    <w:p/>
    <w:p/>
    <w:p/>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w:t>
      </w:r>
      <w:r>
        <w:rPr>
          <w:rFonts w:hint="eastAsia" w:ascii="方正小标宋简体" w:hAnsi="方正小标宋简体" w:eastAsia="方正小标宋简体" w:cs="方正小标宋简体"/>
          <w:b/>
          <w:bCs/>
          <w:sz w:val="44"/>
          <w:szCs w:val="44"/>
          <w:lang w:val="en-US" w:eastAsia="zh-CN"/>
        </w:rPr>
        <w:t>长沙市雨花区公共工程建设中心重点工程建设奖励考核</w:t>
      </w:r>
      <w:r>
        <w:rPr>
          <w:rFonts w:hint="eastAsia" w:ascii="方正小标宋简体" w:hAnsi="方正小标宋简体" w:eastAsia="方正小标宋简体" w:cs="方正小标宋简体"/>
          <w:b/>
          <w:bCs/>
          <w:sz w:val="44"/>
          <w:szCs w:val="44"/>
        </w:rPr>
        <w:t>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3" w:firstLineChars="200"/>
        <w:jc w:val="both"/>
        <w:textAlignment w:val="auto"/>
        <w:rPr>
          <w:rFonts w:hint="eastAsia"/>
          <w:szCs w:val="22"/>
          <w:lang w:val="en-US" w:eastAsia="zh-CN"/>
        </w:rPr>
      </w:pPr>
      <w:r>
        <w:rPr>
          <w:rFonts w:hint="default" w:ascii="Times New Roman" w:hAnsi="Times New Roman" w:eastAsia="仿宋_GB2312" w:cs="Times New Roman"/>
          <w:b/>
          <w:bCs/>
          <w:sz w:val="32"/>
          <w:szCs w:val="32"/>
        </w:rPr>
        <w:t>项目</w:t>
      </w:r>
      <w:r>
        <w:rPr>
          <w:rFonts w:hint="eastAsia" w:eastAsia="仿宋_GB2312" w:cs="Times New Roman"/>
          <w:b/>
          <w:bCs/>
          <w:sz w:val="32"/>
          <w:szCs w:val="32"/>
          <w:lang w:eastAsia="zh-CN"/>
        </w:rPr>
        <w:t>基本</w:t>
      </w:r>
      <w:r>
        <w:rPr>
          <w:rFonts w:hint="default" w:ascii="Times New Roman" w:hAnsi="Times New Roman" w:eastAsia="仿宋_GB2312" w:cs="Times New Roman"/>
          <w:b/>
          <w:bCs/>
          <w:sz w:val="32"/>
          <w:szCs w:val="32"/>
        </w:rPr>
        <w:t>情况。</w:t>
      </w:r>
      <w:r>
        <w:rPr>
          <w:rFonts w:hint="eastAsia" w:ascii="Times New Roman" w:hAnsi="Times New Roman" w:eastAsia="仿宋_GB2312" w:cs="Times New Roman"/>
          <w:sz w:val="32"/>
          <w:szCs w:val="32"/>
          <w:lang w:val="en-US" w:eastAsia="zh-CN"/>
        </w:rPr>
        <w:t>动员部署2020年度重点工程建设，表彰2019年度重点工程建设工作中的先进单位及个人，并根据建设绩效等第发放奖金。</w:t>
      </w:r>
      <w:r>
        <w:rPr>
          <w:rFonts w:hint="eastAsia" w:eastAsia="仿宋_GB2312" w:cs="Times New Roman"/>
          <w:sz w:val="32"/>
          <w:szCs w:val="32"/>
          <w:lang w:val="en-US" w:eastAsia="zh-CN"/>
        </w:rPr>
        <w:t>2019年度片区指挥部、区征地服务中心、区公建中心、区征收办、区财评、区资规分局全体人员紧扣“项目大攻坚、管理大提质”工作主题，围绕建设“三个雨花”为总基调，统一思想，齐心协力，项目建设有效提质，成果丰硕，</w:t>
      </w:r>
      <w:r>
        <w:rPr>
          <w:rFonts w:hint="eastAsia" w:ascii="Times New Roman" w:hAnsi="Times New Roman" w:eastAsia="仿宋_GB2312" w:cs="Times New Roman"/>
          <w:sz w:val="32"/>
          <w:szCs w:val="32"/>
          <w:lang w:val="en-US" w:eastAsia="zh-CN"/>
        </w:rPr>
        <w:t>重点工程建设奖励考核80万元。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20" w:firstLineChars="200"/>
        <w:jc w:val="both"/>
        <w:textAlignment w:val="auto"/>
        <w:rPr>
          <w:rFonts w:hint="eastAsia" w:ascii="Times New Roman" w:hAnsi="Times New Roman" w:eastAsia="仿宋_GB2312" w:cs="Times New Roman"/>
          <w:sz w:val="32"/>
          <w:szCs w:val="32"/>
          <w:lang w:eastAsia="zh-CN"/>
        </w:rPr>
      </w:pPr>
      <w:r>
        <w:rPr>
          <w:rFonts w:hint="eastAsia"/>
          <w:szCs w:val="22"/>
          <w:lang w:val="en-US" w:eastAsia="zh-CN"/>
        </w:rPr>
        <w:t xml:space="preserve"> </w:t>
      </w:r>
      <w:r>
        <w:rPr>
          <w:rFonts w:hint="eastAsia" w:ascii="仿宋_GB2312" w:hAnsi="仿宋_GB2312" w:eastAsia="仿宋_GB2312" w:cs="仿宋_GB2312"/>
          <w:b/>
          <w:sz w:val="32"/>
          <w:szCs w:val="32"/>
          <w:lang w:eastAsia="zh-CN"/>
        </w:rPr>
        <w:t>二、</w:t>
      </w:r>
      <w:r>
        <w:rPr>
          <w:rFonts w:hint="default" w:ascii="Times New Roman" w:hAnsi="Times New Roman" w:eastAsia="仿宋_GB2312" w:cs="Times New Roman"/>
          <w:b/>
          <w:bCs/>
          <w:sz w:val="32"/>
          <w:szCs w:val="32"/>
        </w:rPr>
        <w:t>项目资金管理情况。</w:t>
      </w:r>
      <w:r>
        <w:rPr>
          <w:rFonts w:hint="eastAsia" w:ascii="Times New Roman" w:hAnsi="Times New Roman" w:eastAsia="仿宋_GB2312" w:cs="Times New Roman"/>
          <w:sz w:val="32"/>
          <w:szCs w:val="32"/>
          <w:lang w:val="en-US" w:eastAsia="zh-CN"/>
        </w:rPr>
        <w:t xml:space="preserve"> 根据《雨花区重点工程建设奖励考核办法》雨重发【2013】3号文件精神及</w:t>
      </w:r>
      <w:r>
        <w:rPr>
          <w:rFonts w:hint="eastAsia" w:eastAsia="仿宋_GB2312" w:cs="Times New Roman"/>
          <w:sz w:val="32"/>
          <w:szCs w:val="32"/>
          <w:lang w:val="en-US" w:eastAsia="zh-CN"/>
        </w:rPr>
        <w:t>全区</w:t>
      </w:r>
      <w:r>
        <w:rPr>
          <w:rFonts w:hint="eastAsia" w:ascii="Times New Roman" w:hAnsi="Times New Roman" w:eastAsia="仿宋_GB2312" w:cs="Times New Roman"/>
          <w:sz w:val="32"/>
          <w:szCs w:val="32"/>
          <w:lang w:val="en-US" w:eastAsia="zh-CN"/>
        </w:rPr>
        <w:t>经济工作大会的会议的精神，依据各片区指挥部、区直相关部门单位的年度考核评定结果，按考核结果奖励方案，发放重点工程建设考核奖励。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三、</w:t>
      </w:r>
      <w:r>
        <w:rPr>
          <w:rFonts w:hint="default" w:ascii="Times New Roman" w:hAnsi="Times New Roman" w:eastAsia="仿宋_GB2312" w:cs="Times New Roman"/>
          <w:b/>
          <w:bCs/>
          <w:sz w:val="32"/>
          <w:szCs w:val="32"/>
        </w:rPr>
        <w:t>项目资金安排情况。</w:t>
      </w:r>
      <w:r>
        <w:rPr>
          <w:rFonts w:hint="default" w:ascii="仿宋_GB2312" w:hAnsi="仿宋_GB2312" w:eastAsia="仿宋_GB2312" w:cs="仿宋_GB2312"/>
          <w:color w:val="000000"/>
          <w:sz w:val="32"/>
          <w:szCs w:val="32"/>
          <w:lang w:val="en-US" w:eastAsia="zh-CN"/>
        </w:rPr>
        <w:t>项目资金安排</w:t>
      </w:r>
      <w:r>
        <w:rPr>
          <w:rFonts w:hint="eastAsia" w:ascii="仿宋_GB2312" w:hAnsi="仿宋_GB2312" w:eastAsia="仿宋_GB2312" w:cs="仿宋_GB2312"/>
          <w:color w:val="000000"/>
          <w:sz w:val="32"/>
          <w:szCs w:val="32"/>
          <w:lang w:val="en-US" w:eastAsia="zh-CN"/>
        </w:rPr>
        <w:t>不</w:t>
      </w:r>
      <w:r>
        <w:rPr>
          <w:rFonts w:hint="default" w:ascii="仿宋_GB2312" w:hAnsi="仿宋_GB2312" w:eastAsia="仿宋_GB2312" w:cs="仿宋_GB2312"/>
          <w:color w:val="000000"/>
          <w:sz w:val="32"/>
          <w:szCs w:val="32"/>
          <w:lang w:val="en-US" w:eastAsia="zh-CN"/>
        </w:rPr>
        <w:t>存在“散、小、乱”；</w:t>
      </w:r>
      <w:r>
        <w:rPr>
          <w:rFonts w:hint="eastAsia" w:ascii="仿宋_GB2312" w:hAnsi="仿宋_GB2312" w:eastAsia="仿宋_GB2312" w:cs="仿宋_GB2312"/>
          <w:color w:val="000000"/>
          <w:sz w:val="32"/>
          <w:szCs w:val="32"/>
          <w:lang w:val="en-US" w:eastAsia="zh-CN"/>
        </w:rPr>
        <w:t>不</w:t>
      </w:r>
      <w:r>
        <w:rPr>
          <w:rFonts w:hint="default" w:ascii="仿宋_GB2312" w:hAnsi="仿宋_GB2312" w:eastAsia="仿宋_GB2312" w:cs="仿宋_GB2312"/>
          <w:color w:val="000000"/>
          <w:sz w:val="32"/>
          <w:szCs w:val="32"/>
          <w:lang w:val="en-US" w:eastAsia="zh-CN"/>
        </w:rPr>
        <w:t>存在多头申报、重复安排资金的情况；</w:t>
      </w:r>
      <w:r>
        <w:rPr>
          <w:rFonts w:hint="eastAsia" w:ascii="仿宋_GB2312" w:hAnsi="仿宋_GB2312" w:eastAsia="仿宋_GB2312" w:cs="仿宋_GB2312"/>
          <w:color w:val="000000"/>
          <w:sz w:val="32"/>
          <w:szCs w:val="32"/>
          <w:lang w:val="en-US" w:eastAsia="zh-CN"/>
        </w:rPr>
        <w:t>不</w:t>
      </w:r>
      <w:r>
        <w:rPr>
          <w:rFonts w:hint="default" w:ascii="仿宋_GB2312" w:hAnsi="仿宋_GB2312" w:eastAsia="仿宋_GB2312" w:cs="仿宋_GB2312"/>
          <w:color w:val="000000"/>
          <w:sz w:val="32"/>
          <w:szCs w:val="32"/>
          <w:lang w:val="en-US" w:eastAsia="zh-CN"/>
        </w:rPr>
        <w:t>存在通过“化整为零”的方式逃避政府采购的问题；</w:t>
      </w:r>
      <w:r>
        <w:rPr>
          <w:rFonts w:hint="eastAsia" w:ascii="仿宋_GB2312" w:hAnsi="仿宋_GB2312" w:eastAsia="仿宋_GB2312" w:cs="仿宋_GB2312"/>
          <w:color w:val="000000"/>
          <w:sz w:val="32"/>
          <w:szCs w:val="32"/>
          <w:lang w:val="en-US" w:eastAsia="zh-CN"/>
        </w:rPr>
        <w:t>不</w:t>
      </w:r>
      <w:r>
        <w:rPr>
          <w:rFonts w:hint="default" w:ascii="仿宋_GB2312" w:hAnsi="仿宋_GB2312" w:eastAsia="仿宋_GB2312" w:cs="仿宋_GB2312"/>
          <w:color w:val="000000"/>
          <w:sz w:val="32"/>
          <w:szCs w:val="32"/>
          <w:lang w:val="en-US" w:eastAsia="zh-CN"/>
        </w:rPr>
        <w:t>存在不按专家评审结果确定项目的情况；区县（市）及园区财政部门及时拨付资金、项目单位承诺的相关配套资金按时到位。</w:t>
      </w:r>
    </w:p>
    <w:p>
      <w:pPr>
        <w:keepNext w:val="0"/>
        <w:keepLines w:val="0"/>
        <w:pageBreakBefore w:val="0"/>
        <w:widowControl/>
        <w:kinsoku w:val="0"/>
        <w:wordWrap/>
        <w:overflowPunct w:val="0"/>
        <w:topLinePunct w:val="0"/>
        <w:autoSpaceDE w:val="0"/>
        <w:autoSpaceDN w:val="0"/>
        <w:bidi w:val="0"/>
        <w:ind w:firstLine="643" w:firstLineChars="200"/>
        <w:textAlignment w:val="auto"/>
        <w:outlineLvl w:val="0"/>
        <w:rPr>
          <w:rFonts w:hint="eastAsia" w:ascii="仿宋_GB2312" w:eastAsia="仿宋_GB2312"/>
          <w:bCs/>
          <w:snapToGrid w:val="0"/>
          <w:color w:val="000000"/>
          <w:kern w:val="0"/>
          <w:sz w:val="30"/>
          <w:szCs w:val="30"/>
          <w:lang w:eastAsia="zh-CN"/>
        </w:rPr>
      </w:pPr>
      <w:r>
        <w:rPr>
          <w:rFonts w:hint="eastAsia" w:ascii="仿宋_GB2312" w:hAnsi="仿宋_GB2312" w:eastAsia="仿宋_GB2312" w:cs="仿宋_GB2312"/>
          <w:b/>
          <w:sz w:val="32"/>
          <w:szCs w:val="32"/>
          <w:lang w:eastAsia="zh-CN"/>
        </w:rPr>
        <w:t>四、</w:t>
      </w:r>
      <w:r>
        <w:rPr>
          <w:rFonts w:hint="default" w:ascii="Times New Roman" w:hAnsi="Times New Roman" w:eastAsia="仿宋_GB2312" w:cs="Times New Roman"/>
          <w:b/>
          <w:bCs/>
          <w:sz w:val="32"/>
          <w:szCs w:val="32"/>
        </w:rPr>
        <w:t>项目资金使用情况。</w:t>
      </w:r>
      <w:r>
        <w:rPr>
          <w:rFonts w:hint="eastAsia" w:ascii="仿宋_GB2312" w:hAnsi="仿宋_GB2312" w:eastAsia="仿宋_GB2312" w:cs="仿宋_GB2312"/>
          <w:color w:val="000000"/>
          <w:sz w:val="32"/>
          <w:szCs w:val="32"/>
          <w:lang w:val="en-US" w:eastAsia="zh-CN"/>
        </w:rPr>
        <w:t>重点工程建设奖励考核80万，其中重点工程建设目标管理奖一等单位：区重点工程领导小组、区征收办等10个单位；二等单位圭塘片区、雨花亭片区等2个单位；2019年度重点工程建设工作中的先进单位、先进协调服务工作单位和先进个人予以表彰和奖励，共计奖金80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eastAsia="仿宋_GB2312"/>
          <w:bCs/>
          <w:snapToGrid w:val="0"/>
          <w:color w:val="000000"/>
          <w:kern w:val="0"/>
          <w:sz w:val="30"/>
          <w:szCs w:val="30"/>
          <w:lang w:val="en-US" w:eastAsia="zh-CN"/>
        </w:rPr>
      </w:pPr>
      <w:r>
        <w:rPr>
          <w:rFonts w:hint="eastAsia" w:eastAsia="仿宋_GB2312" w:cs="Times New Roman"/>
          <w:b/>
          <w:bCs/>
          <w:sz w:val="32"/>
          <w:szCs w:val="32"/>
          <w:lang w:eastAsia="zh-CN"/>
        </w:rPr>
        <w:t>五、</w:t>
      </w:r>
      <w:r>
        <w:rPr>
          <w:rFonts w:hint="default" w:ascii="Times New Roman" w:hAnsi="Times New Roman" w:eastAsia="仿宋_GB2312" w:cs="Times New Roman"/>
          <w:b/>
          <w:bCs/>
          <w:sz w:val="32"/>
          <w:szCs w:val="32"/>
        </w:rPr>
        <w:t>项目资金绩效</w:t>
      </w:r>
      <w:r>
        <w:rPr>
          <w:rFonts w:hint="default" w:ascii="Times New Roman" w:hAnsi="Times New Roman" w:eastAsia="仿宋_GB2312" w:cs="Times New Roman"/>
          <w:b/>
          <w:bCs/>
          <w:sz w:val="32"/>
          <w:szCs w:val="32"/>
          <w:lang w:eastAsia="zh-CN"/>
        </w:rPr>
        <w:t>完成</w:t>
      </w:r>
      <w:r>
        <w:rPr>
          <w:rFonts w:hint="default" w:ascii="Times New Roman" w:hAnsi="Times New Roman" w:eastAsia="仿宋_GB2312" w:cs="Times New Roman"/>
          <w:b/>
          <w:bCs/>
          <w:sz w:val="32"/>
          <w:szCs w:val="32"/>
        </w:rPr>
        <w:t>情况。</w:t>
      </w:r>
      <w:r>
        <w:rPr>
          <w:rFonts w:hint="eastAsia" w:ascii="仿宋_GB2312" w:eastAsia="仿宋_GB2312"/>
          <w:bCs/>
          <w:snapToGrid w:val="0"/>
          <w:color w:val="000000"/>
          <w:kern w:val="0"/>
          <w:sz w:val="30"/>
          <w:szCs w:val="30"/>
          <w:lang w:eastAsia="zh-CN"/>
        </w:rPr>
        <w:t>该专项资金的使用有效奖励了先进单位和个人，鼓舞了</w:t>
      </w:r>
      <w:r>
        <w:rPr>
          <w:rFonts w:hint="eastAsia" w:ascii="仿宋_GB2312" w:eastAsia="仿宋_GB2312"/>
          <w:bCs/>
          <w:snapToGrid w:val="0"/>
          <w:color w:val="000000"/>
          <w:kern w:val="0"/>
          <w:sz w:val="30"/>
          <w:szCs w:val="30"/>
          <w:lang w:val="en-US" w:eastAsia="zh-CN"/>
        </w:rPr>
        <w:t>重点工程建设的士气，激起了全员的建设热情。</w:t>
      </w:r>
      <w:r>
        <w:rPr>
          <w:rFonts w:hint="eastAsia" w:ascii="仿宋_GB2312" w:eastAsia="仿宋_GB2312"/>
          <w:bCs/>
          <w:snapToGrid w:val="0"/>
          <w:color w:val="000000"/>
          <w:kern w:val="0"/>
          <w:sz w:val="30"/>
          <w:szCs w:val="30"/>
          <w:lang w:eastAsia="zh-CN"/>
        </w:rPr>
        <w:t>经过全体人员的精诚合作，齐心奋战，</w:t>
      </w:r>
      <w:r>
        <w:rPr>
          <w:rFonts w:hint="eastAsia" w:ascii="仿宋_GB2312" w:eastAsia="仿宋_GB2312"/>
          <w:bCs/>
          <w:snapToGrid w:val="0"/>
          <w:color w:val="000000"/>
          <w:kern w:val="0"/>
          <w:sz w:val="30"/>
          <w:szCs w:val="30"/>
          <w:lang w:val="en-US" w:eastAsia="zh-CN"/>
        </w:rPr>
        <w:t>全力推进了财富、品质、幸福雨花的建设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市政道路项目稳步实施。完成紫薇路、石坝路、官寺冲路、支路12-3、瓦窑路、川河路一标、沙禾路、支路30-1、先锋路提质改造、东方红小学配套道路提质改造共10条市政道路建设，通车里程约5.7公里。大力推进林科路（北）、豹塘路等项目建设。完成北冲路、侯照路、嘉胜路等6条道路预验收移交，圆满完成圭塘路、新丰路等区属20条市政道路交通顽瘴痼疾整治。</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2、社会民生项目加速完成。完成雨花区中心消防站、圭塘小学扩建、芙蓉路（国防科大段）景观提质改造3个社会民生类项目建设，大力推进花侯小学、德馨园学校、井圭路小学运动场及地下停车场等项目建设。完成莲湖小学、芙蓉路小学、东方红小学规范验收工作，加快推进圭星小学及圭星幼儿园验收移交。</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3、“一圈两场三道”项目全面推进。按照区“一圈两场三道”要求，圆满完成高升路、桂花坪路、侯照路3条道路人行道新建任务，建设总长2.3千米。</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4、污水管网配套及电力埋管建设扎实开展。完成紫薇路、官寺冲路污水管网和京珠高速电力埋管工程，扎实推进川河路管网、高升路箱涵、金海路箱涵、万家丽路电力埋管项目建设。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主要经验及做法、存在的问题及原因分析</w:t>
      </w:r>
      <w:r>
        <w:rPr>
          <w:rFonts w:hint="eastAsia" w:ascii="仿宋_GB2312" w:hAnsi="仿宋_GB2312" w:eastAsia="仿宋_GB2312" w:cs="仿宋_GB2312"/>
          <w:b/>
          <w:bCs/>
          <w:sz w:val="32"/>
          <w:szCs w:val="32"/>
          <w:lang w:eastAsia="zh-CN"/>
        </w:rPr>
        <w:t>或有关建议。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default" w:ascii="仿宋_GB2312" w:hAnsi="仿宋_GB2312" w:eastAsia="仿宋_GB2312" w:cs="仿宋_GB2312"/>
          <w:b/>
          <w:bCs/>
          <w:sz w:val="32"/>
          <w:szCs w:val="32"/>
          <w:lang w:val="en-US" w:eastAsia="zh-CN"/>
        </w:rPr>
        <w:sectPr>
          <w:footerReference r:id="rId3"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b/>
          <w:bCs/>
          <w:sz w:val="32"/>
          <w:szCs w:val="32"/>
        </w:rPr>
        <w:t>七、其他需要说明的</w:t>
      </w:r>
      <w:r>
        <w:rPr>
          <w:rFonts w:hint="eastAsia" w:ascii="仿宋_GB2312" w:hAnsi="仿宋_GB2312" w:eastAsia="仿宋_GB2312" w:cs="仿宋_GB2312"/>
          <w:b/>
          <w:bCs/>
          <w:sz w:val="32"/>
          <w:szCs w:val="32"/>
          <w:lang w:val="en-US" w:eastAsia="zh-CN"/>
        </w:rPr>
        <w:t>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 w:hAnsi="仿宋" w:eastAsia="仿宋" w:cs="仿宋"/>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75E5F"/>
    <w:multiLevelType w:val="singleLevel"/>
    <w:tmpl w:val="ED175E5F"/>
    <w:lvl w:ilvl="0" w:tentative="0">
      <w:start w:val="1"/>
      <w:numFmt w:val="chineseCounting"/>
      <w:suff w:val="nothing"/>
      <w:lvlText w:val="%1、"/>
      <w:lvlJc w:val="left"/>
      <w:rPr>
        <w:rFonts w:hint="eastAsia"/>
      </w:rPr>
    </w:lvl>
  </w:abstractNum>
  <w:abstractNum w:abstractNumId="1">
    <w:nsid w:val="1EEA16D3"/>
    <w:multiLevelType w:val="singleLevel"/>
    <w:tmpl w:val="1EEA16D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NmVmNDAwMzVhZTQ1OWJhYzVjOTNkYmFlMWQ5OTgifQ=="/>
  </w:docVars>
  <w:rsids>
    <w:rsidRoot w:val="2F7D712F"/>
    <w:rsid w:val="08CA6C41"/>
    <w:rsid w:val="0A6B6448"/>
    <w:rsid w:val="0E1E0B12"/>
    <w:rsid w:val="10805243"/>
    <w:rsid w:val="13DC0A7E"/>
    <w:rsid w:val="144439AD"/>
    <w:rsid w:val="2F7D712F"/>
    <w:rsid w:val="30127F80"/>
    <w:rsid w:val="3FD01EF4"/>
    <w:rsid w:val="40300A2E"/>
    <w:rsid w:val="4ABA2B6C"/>
    <w:rsid w:val="5BF146F2"/>
    <w:rsid w:val="5F77471D"/>
    <w:rsid w:val="6094253D"/>
    <w:rsid w:val="64DD09ED"/>
    <w:rsid w:val="6D1D02EE"/>
    <w:rsid w:val="793B2CDD"/>
    <w:rsid w:val="79781D3D"/>
    <w:rsid w:val="798D347F"/>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宋体" w:hAnsi="宋体" w:eastAsia="宋体" w:cs="宋体"/>
      <w:color w:val="000000"/>
      <w:sz w:val="18"/>
      <w:szCs w:val="18"/>
      <w:u w:val="none"/>
    </w:rPr>
  </w:style>
  <w:style w:type="character" w:customStyle="1" w:styleId="6">
    <w:name w:val="font31"/>
    <w:basedOn w:val="4"/>
    <w:qFormat/>
    <w:uiPriority w:val="0"/>
    <w:rPr>
      <w:rFonts w:hint="default" w:ascii="Times New Roman" w:hAnsi="Times New Roman" w:cs="Times New Roman"/>
      <w:color w:val="000000"/>
      <w:sz w:val="18"/>
      <w:szCs w:val="18"/>
      <w:u w:val="none"/>
    </w:rPr>
  </w:style>
  <w:style w:type="character" w:customStyle="1" w:styleId="7">
    <w:name w:val="font21"/>
    <w:basedOn w:val="4"/>
    <w:qFormat/>
    <w:uiPriority w:val="0"/>
    <w:rPr>
      <w:rFonts w:hint="eastAsia" w:ascii="宋体" w:hAnsi="宋体" w:eastAsia="宋体" w:cs="宋体"/>
      <w:color w:val="FF0000"/>
      <w:sz w:val="18"/>
      <w:szCs w:val="18"/>
      <w:u w:val="none"/>
    </w:rPr>
  </w:style>
  <w:style w:type="character" w:customStyle="1" w:styleId="8">
    <w:name w:val="font11"/>
    <w:basedOn w:val="4"/>
    <w:qFormat/>
    <w:uiPriority w:val="0"/>
    <w:rPr>
      <w:rFonts w:hint="default" w:ascii="Times New Roman" w:hAnsi="Times New Roman" w:cs="Times New Roman"/>
      <w:color w:val="FF0000"/>
      <w:sz w:val="18"/>
      <w:szCs w:val="18"/>
      <w:u w:val="none"/>
    </w:rPr>
  </w:style>
  <w:style w:type="paragraph"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11219</Words>
  <Characters>11725</Characters>
  <Lines>0</Lines>
  <Paragraphs>0</Paragraphs>
  <TotalTime>73</TotalTime>
  <ScaleCrop>false</ScaleCrop>
  <LinksUpToDate>false</LinksUpToDate>
  <CharactersWithSpaces>12022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邹蛟</cp:lastModifiedBy>
  <cp:lastPrinted>2021-03-22T01:43:00Z</cp:lastPrinted>
  <dcterms:modified xsi:type="dcterms:W3CDTF">2023-04-20T09:14:11Z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15E3E17D42AE4E28B19FBF6C8FB87D18</vt:lpwstr>
  </property>
</Properties>
</file>