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default" w:ascii="Times New Roman" w:hAnsi="Times New Roman" w:eastAsia="方正小标宋简体" w:cs="Times New Roman"/>
          <w:bCs/>
          <w:sz w:val="46"/>
          <w:szCs w:val="46"/>
        </w:rPr>
      </w:pPr>
      <w:r>
        <w:rPr>
          <w:rFonts w:hint="default" w:ascii="Times New Roman" w:hAnsi="Times New Roman" w:eastAsia="方正小标宋简体" w:cs="Times New Roman"/>
          <w:bCs/>
          <w:sz w:val="46"/>
          <w:szCs w:val="46"/>
        </w:rPr>
        <w:t>雨花区</w:t>
      </w:r>
      <w:r>
        <w:rPr>
          <w:rFonts w:hint="default" w:ascii="Times New Roman" w:hAnsi="Times New Roman" w:eastAsia="方正小标宋简体" w:cs="Times New Roman"/>
          <w:bCs/>
          <w:sz w:val="46"/>
          <w:szCs w:val="46"/>
          <w:u w:val="single"/>
        </w:rPr>
        <w:t>202</w:t>
      </w:r>
      <w:r>
        <w:rPr>
          <w:rFonts w:hint="eastAsia" w:eastAsia="方正小标宋简体" w:cs="Times New Roman"/>
          <w:bCs/>
          <w:sz w:val="46"/>
          <w:szCs w:val="46"/>
          <w:u w:val="single"/>
          <w:lang w:val="en-US" w:eastAsia="zh-CN"/>
        </w:rPr>
        <w:t>1</w:t>
      </w:r>
      <w:r>
        <w:rPr>
          <w:rFonts w:hint="default" w:ascii="Times New Roman" w:hAnsi="Times New Roman" w:eastAsia="方正小标宋简体" w:cs="Times New Roman"/>
          <w:bCs/>
          <w:sz w:val="46"/>
          <w:szCs w:val="46"/>
        </w:rPr>
        <w:t>年度部门（单位）项目支出</w:t>
      </w:r>
    </w:p>
    <w:p>
      <w:pPr>
        <w:spacing w:line="800" w:lineRule="exact"/>
        <w:jc w:val="center"/>
        <w:rPr>
          <w:rFonts w:hint="default" w:ascii="Times New Roman" w:hAnsi="Times New Roman" w:eastAsia="方正小标宋简体" w:cs="Times New Roman"/>
          <w:bCs/>
          <w:sz w:val="46"/>
          <w:szCs w:val="46"/>
        </w:rPr>
      </w:pPr>
      <w:r>
        <w:rPr>
          <w:rFonts w:hint="default" w:ascii="Times New Roman" w:hAnsi="Times New Roman" w:eastAsia="方正小标宋简体" w:cs="Times New Roman"/>
          <w:bCs/>
          <w:sz w:val="46"/>
          <w:szCs w:val="46"/>
        </w:rPr>
        <w:t>绩效评价自评报告</w:t>
      </w:r>
    </w:p>
    <w:p>
      <w:pPr>
        <w:rPr>
          <w:rFonts w:hint="default" w:ascii="Times New Roman" w:hAnsi="Times New Roman" w:eastAsia="仿宋_GB2312" w:cs="Times New Roman"/>
          <w:b/>
          <w:sz w:val="32"/>
        </w:rPr>
      </w:pPr>
    </w:p>
    <w:p>
      <w:pPr>
        <w:rPr>
          <w:rFonts w:hint="default" w:ascii="Times New Roman" w:hAnsi="Times New Roman" w:eastAsia="仿宋_GB2312" w:cs="Times New Roman"/>
          <w:b/>
          <w:sz w:val="32"/>
        </w:rPr>
      </w:pPr>
    </w:p>
    <w:p>
      <w:pPr>
        <w:rPr>
          <w:rFonts w:hint="default" w:ascii="Times New Roman" w:hAnsi="Times New Roman" w:eastAsia="仿宋_GB2312" w:cs="Times New Roman"/>
          <w:b/>
          <w:sz w:val="32"/>
        </w:rPr>
      </w:pPr>
    </w:p>
    <w:p>
      <w:pPr>
        <w:spacing w:before="156" w:beforeLines="50" w:line="348" w:lineRule="auto"/>
        <w:ind w:firstLine="1120" w:firstLineChars="350"/>
        <w:rPr>
          <w:rFonts w:hint="default" w:ascii="Times New Roman" w:hAnsi="Times New Roman" w:eastAsia="仿宋_GB2312" w:cs="Times New Roman"/>
          <w:sz w:val="32"/>
          <w:u w:val="single"/>
        </w:rPr>
      </w:pPr>
      <w:r>
        <w:rPr>
          <w:rFonts w:hint="default" w:ascii="Times New Roman" w:hAnsi="Times New Roman" w:eastAsia="仿宋_GB2312" w:cs="Times New Roman"/>
          <w:sz w:val="32"/>
        </w:rPr>
        <w:t>部门(单位)名称</w:t>
      </w:r>
      <w:r>
        <w:rPr>
          <w:rFonts w:hint="default" w:ascii="Times New Roman" w:hAnsi="Times New Roman" w:eastAsia="仿宋_GB2312" w:cs="Times New Roman"/>
          <w:sz w:val="32"/>
          <w:u w:val="none"/>
        </w:rPr>
        <w:t xml:space="preserve">  :</w:t>
      </w:r>
      <w:r>
        <w:rPr>
          <w:rFonts w:hint="default" w:ascii="Times New Roman" w:hAnsi="Times New Roman" w:eastAsia="仿宋_GB2312" w:cs="Times New Roman"/>
          <w:sz w:val="32"/>
          <w:u w:val="single"/>
        </w:rPr>
        <w:t xml:space="preserve">    长沙市雨花区妇幼保健所                                   </w:t>
      </w:r>
    </w:p>
    <w:p>
      <w:pPr>
        <w:spacing w:before="156" w:beforeLines="50" w:line="348" w:lineRule="auto"/>
        <w:ind w:firstLine="1120" w:firstLineChars="350"/>
        <w:rPr>
          <w:rFonts w:hint="default" w:ascii="Times New Roman" w:hAnsi="Times New Roman" w:eastAsia="仿宋_GB2312" w:cs="Times New Roman"/>
          <w:sz w:val="32"/>
        </w:rPr>
      </w:pPr>
      <w:r>
        <w:rPr>
          <w:rFonts w:hint="default" w:ascii="Times New Roman" w:hAnsi="Times New Roman" w:eastAsia="仿宋_GB2312" w:cs="Times New Roman"/>
          <w:sz w:val="32"/>
        </w:rPr>
        <w:t>项目名称</w:t>
      </w:r>
      <w:r>
        <w:rPr>
          <w:rFonts w:hint="default" w:ascii="Times New Roman" w:hAnsi="Times New Roman" w:eastAsia="仿宋_GB2312" w:cs="Times New Roman"/>
          <w:sz w:val="32"/>
          <w:u w:val="none"/>
        </w:rPr>
        <w:t xml:space="preserve"> :</w:t>
      </w:r>
      <w:r>
        <w:rPr>
          <w:rFonts w:hint="default" w:ascii="Times New Roman" w:hAnsi="Times New Roman" w:eastAsia="仿宋_GB2312" w:cs="Times New Roman"/>
          <w:sz w:val="32"/>
          <w:u w:val="single"/>
        </w:rPr>
        <w:t xml:space="preserve"> </w:t>
      </w:r>
      <w:r>
        <w:rPr>
          <w:rFonts w:hint="default" w:ascii="Times New Roman" w:hAnsi="Times New Roman" w:eastAsia="仿宋_GB2312" w:cs="Times New Roman"/>
          <w:sz w:val="32"/>
          <w:u w:val="single"/>
          <w:lang w:val="en-US" w:eastAsia="zh-CN"/>
        </w:rPr>
        <w:t xml:space="preserve">     </w:t>
      </w:r>
      <w:r>
        <w:rPr>
          <w:rFonts w:hint="default" w:ascii="Times New Roman" w:hAnsi="Times New Roman" w:eastAsia="仿宋_GB2312" w:cs="Times New Roman"/>
          <w:sz w:val="32"/>
          <w:u w:val="single"/>
        </w:rPr>
        <w:t>长沙市健康民生</w:t>
      </w:r>
      <w:r>
        <w:rPr>
          <w:rFonts w:hint="default" w:ascii="Times New Roman" w:hAnsi="Times New Roman" w:eastAsia="仿宋_GB2312" w:cs="Times New Roman"/>
          <w:sz w:val="32"/>
          <w:u w:val="single"/>
          <w:lang w:eastAsia="zh-CN"/>
        </w:rPr>
        <w:t>项目</w:t>
      </w:r>
      <w:r>
        <w:rPr>
          <w:rFonts w:hint="default" w:ascii="Times New Roman" w:hAnsi="Times New Roman" w:eastAsia="仿宋_GB2312" w:cs="Times New Roman"/>
          <w:sz w:val="32"/>
          <w:u w:val="single"/>
          <w:lang w:val="en-US" w:eastAsia="zh-CN"/>
        </w:rPr>
        <w:t xml:space="preserve">                </w:t>
      </w:r>
      <w:r>
        <w:rPr>
          <w:rFonts w:hint="default" w:ascii="Times New Roman" w:hAnsi="Times New Roman" w:eastAsia="仿宋_GB2312" w:cs="Times New Roman"/>
          <w:sz w:val="32"/>
          <w:u w:val="none"/>
          <w:lang w:val="en-US" w:eastAsia="zh-CN"/>
        </w:rPr>
        <w:t xml:space="preserve">    </w:t>
      </w:r>
      <w:r>
        <w:rPr>
          <w:rFonts w:hint="default" w:ascii="Times New Roman" w:hAnsi="Times New Roman" w:eastAsia="仿宋_GB2312" w:cs="Times New Roman"/>
          <w:sz w:val="32"/>
          <w:u w:val="single"/>
          <w:lang w:val="en-US" w:eastAsia="zh-CN"/>
        </w:rPr>
        <w:t xml:space="preserve"> </w:t>
      </w:r>
      <w:r>
        <w:rPr>
          <w:rFonts w:hint="default" w:ascii="Times New Roman" w:hAnsi="Times New Roman" w:eastAsia="仿宋_GB2312" w:cs="Times New Roman"/>
          <w:sz w:val="32"/>
          <w:u w:val="single"/>
        </w:rPr>
        <w:t xml:space="preserve">                                     </w:t>
      </w:r>
    </w:p>
    <w:p>
      <w:pPr>
        <w:spacing w:line="348" w:lineRule="auto"/>
        <w:ind w:firstLine="2208" w:firstLineChars="690"/>
        <w:rPr>
          <w:rFonts w:hint="default" w:ascii="Times New Roman" w:hAnsi="Times New Roman" w:eastAsia="仿宋_GB2312" w:cs="Times New Roman"/>
          <w:sz w:val="32"/>
        </w:rPr>
      </w:pPr>
    </w:p>
    <w:p>
      <w:pPr>
        <w:spacing w:line="348" w:lineRule="auto"/>
        <w:ind w:firstLine="2208" w:firstLineChars="690"/>
        <w:rPr>
          <w:rFonts w:hint="default" w:ascii="Times New Roman" w:hAnsi="Times New Roman" w:eastAsia="仿宋_GB2312" w:cs="Times New Roman"/>
          <w:sz w:val="32"/>
        </w:rPr>
      </w:pPr>
    </w:p>
    <w:p>
      <w:pPr>
        <w:spacing w:line="348" w:lineRule="auto"/>
        <w:ind w:firstLine="2208" w:firstLineChars="690"/>
        <w:rPr>
          <w:rFonts w:hint="default" w:ascii="Times New Roman" w:hAnsi="Times New Roman" w:eastAsia="仿宋_GB2312" w:cs="Times New Roman"/>
          <w:sz w:val="32"/>
        </w:rPr>
      </w:pPr>
    </w:p>
    <w:p>
      <w:pPr>
        <w:spacing w:line="348" w:lineRule="auto"/>
        <w:ind w:firstLine="2208" w:firstLineChars="690"/>
        <w:rPr>
          <w:rFonts w:hint="default" w:ascii="Times New Roman" w:hAnsi="Times New Roman" w:eastAsia="仿宋_GB2312" w:cs="Times New Roman"/>
          <w:sz w:val="32"/>
        </w:rPr>
      </w:pPr>
    </w:p>
    <w:p>
      <w:pPr>
        <w:spacing w:line="348" w:lineRule="auto"/>
        <w:ind w:firstLine="2208" w:firstLineChars="690"/>
        <w:rPr>
          <w:rFonts w:hint="default" w:ascii="Times New Roman" w:hAnsi="Times New Roman" w:eastAsia="仿宋_GB2312" w:cs="Times New Roman"/>
          <w:sz w:val="32"/>
        </w:rPr>
      </w:pPr>
    </w:p>
    <w:p>
      <w:pPr>
        <w:spacing w:line="348" w:lineRule="auto"/>
        <w:ind w:firstLine="2208" w:firstLineChars="690"/>
        <w:rPr>
          <w:rFonts w:hint="default" w:ascii="Times New Roman" w:hAnsi="Times New Roman" w:eastAsia="仿宋_GB2312" w:cs="Times New Roman"/>
          <w:sz w:val="32"/>
        </w:rPr>
      </w:pPr>
    </w:p>
    <w:p>
      <w:pPr>
        <w:spacing w:line="348" w:lineRule="auto"/>
        <w:ind w:firstLine="2208" w:firstLineChars="690"/>
        <w:rPr>
          <w:rFonts w:hint="default" w:ascii="Times New Roman" w:hAnsi="Times New Roman" w:eastAsia="仿宋_GB2312" w:cs="Times New Roman"/>
          <w:sz w:val="32"/>
        </w:rPr>
      </w:pPr>
    </w:p>
    <w:p>
      <w:pPr>
        <w:spacing w:line="348" w:lineRule="auto"/>
        <w:ind w:firstLine="2208" w:firstLineChars="690"/>
        <w:rPr>
          <w:rFonts w:hint="default" w:ascii="Times New Roman" w:hAnsi="Times New Roman" w:eastAsia="仿宋_GB2312" w:cs="Times New Roman"/>
          <w:sz w:val="32"/>
        </w:rPr>
      </w:pPr>
    </w:p>
    <w:p>
      <w:pPr>
        <w:spacing w:line="348" w:lineRule="auto"/>
        <w:ind w:firstLine="2208" w:firstLineChars="690"/>
        <w:rPr>
          <w:rFonts w:hint="default" w:ascii="Times New Roman" w:hAnsi="Times New Roman" w:eastAsia="仿宋_GB2312" w:cs="Times New Roman"/>
          <w:sz w:val="32"/>
        </w:rPr>
      </w:pPr>
    </w:p>
    <w:p>
      <w:pPr>
        <w:spacing w:line="348" w:lineRule="auto"/>
        <w:ind w:firstLine="2560" w:firstLineChars="800"/>
        <w:rPr>
          <w:rFonts w:hint="default" w:ascii="Times New Roman" w:hAnsi="Times New Roman" w:eastAsia="仿宋_GB2312" w:cs="Times New Roman"/>
          <w:sz w:val="32"/>
        </w:rPr>
      </w:pPr>
      <w:r>
        <w:rPr>
          <w:rFonts w:hint="default" w:ascii="Times New Roman" w:hAnsi="Times New Roman" w:eastAsia="仿宋_GB2312" w:cs="Times New Roman"/>
          <w:sz w:val="32"/>
        </w:rPr>
        <w:t>报告日期：2021年 3 月24日</w:t>
      </w:r>
    </w:p>
    <w:p>
      <w:pPr>
        <w:autoSpaceDN w:val="0"/>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 xml:space="preserve">     雨花区财政</w:t>
      </w:r>
      <w:r>
        <w:rPr>
          <w:rFonts w:hint="default" w:ascii="Times New Roman" w:hAnsi="Times New Roman" w:eastAsia="仿宋_GB2312" w:cs="Times New Roman"/>
          <w:sz w:val="32"/>
          <w:szCs w:val="32"/>
        </w:rPr>
        <w:t>局（制）</w:t>
      </w:r>
    </w:p>
    <w:p>
      <w:pPr>
        <w:spacing w:line="600" w:lineRule="exact"/>
        <w:jc w:val="center"/>
        <w:rPr>
          <w:rFonts w:hint="eastAsia" w:ascii="仿宋" w:hAnsi="仿宋" w:eastAsia="仿宋"/>
          <w:b/>
          <w:sz w:val="36"/>
          <w:szCs w:val="36"/>
        </w:rPr>
      </w:pPr>
    </w:p>
    <w:p>
      <w:pPr>
        <w:spacing w:line="600" w:lineRule="exact"/>
        <w:jc w:val="center"/>
        <w:rPr>
          <w:rFonts w:hint="eastAsia" w:ascii="仿宋" w:hAnsi="仿宋" w:eastAsia="仿宋"/>
          <w:b/>
          <w:sz w:val="36"/>
          <w:szCs w:val="36"/>
        </w:rPr>
      </w:pPr>
    </w:p>
    <w:p>
      <w:pPr>
        <w:spacing w:line="600" w:lineRule="exact"/>
        <w:jc w:val="center"/>
        <w:rPr>
          <w:rFonts w:hint="eastAsia" w:ascii="仿宋" w:hAnsi="仿宋" w:eastAsia="仿宋"/>
          <w:b/>
          <w:sz w:val="36"/>
          <w:szCs w:val="36"/>
        </w:rPr>
      </w:pPr>
    </w:p>
    <w:p>
      <w:pPr>
        <w:rPr>
          <w:rFonts w:hint="eastAsia" w:ascii="楷体" w:hAnsi="楷体" w:eastAsia="楷体" w:cs="楷体"/>
          <w:sz w:val="28"/>
          <w:szCs w:val="24"/>
          <w:lang w:val="en-US" w:eastAsia="zh-CN"/>
        </w:rPr>
      </w:pPr>
      <w:r>
        <w:rPr>
          <w:rFonts w:hint="eastAsia" w:ascii="楷体" w:hAnsi="楷体" w:eastAsia="楷体" w:cs="楷体"/>
          <w:sz w:val="28"/>
          <w:szCs w:val="24"/>
          <w:lang w:eastAsia="zh-CN"/>
        </w:rPr>
        <w:t>附件</w:t>
      </w:r>
      <w:r>
        <w:rPr>
          <w:rFonts w:hint="eastAsia" w:ascii="楷体" w:hAnsi="楷体" w:eastAsia="楷体" w:cs="楷体"/>
          <w:sz w:val="28"/>
          <w:szCs w:val="24"/>
          <w:lang w:val="en-US" w:eastAsia="zh-CN"/>
        </w:rPr>
        <w:t>1</w:t>
      </w:r>
    </w:p>
    <w:p>
      <w:pPr>
        <w:spacing w:line="600" w:lineRule="exact"/>
        <w:jc w:val="center"/>
        <w:rPr>
          <w:rFonts w:hint="eastAsia" w:ascii="方正大标宋简体" w:hAnsi="方正大标宋简体" w:eastAsia="方正大标宋简体" w:cs="方正大标宋简体"/>
          <w:b w:val="0"/>
          <w:bCs/>
          <w:color w:val="000000"/>
          <w:sz w:val="44"/>
          <w:szCs w:val="44"/>
        </w:rPr>
      </w:pPr>
      <w:r>
        <w:rPr>
          <w:rFonts w:hint="eastAsia" w:ascii="方正大标宋简体" w:hAnsi="方正大标宋简体" w:eastAsia="方正大标宋简体" w:cs="方正大标宋简体"/>
          <w:b w:val="0"/>
          <w:bCs/>
          <w:sz w:val="44"/>
          <w:szCs w:val="44"/>
        </w:rPr>
        <w:t>2021年雨花区妇幼健康民生项目资金绩效报告</w:t>
      </w:r>
    </w:p>
    <w:p>
      <w:pPr>
        <w:spacing w:line="600" w:lineRule="exact"/>
        <w:outlineLvl w:val="0"/>
        <w:rPr>
          <w:rFonts w:ascii="仿宋_GB2312" w:eastAsia="仿宋_GB2312"/>
          <w:b/>
          <w:bCs/>
          <w:color w:val="000000"/>
          <w:sz w:val="30"/>
          <w:szCs w:val="30"/>
        </w:rPr>
      </w:pPr>
    </w:p>
    <w:p>
      <w:pPr>
        <w:keepNext w:val="0"/>
        <w:keepLines w:val="0"/>
        <w:pageBreakBefore w:val="0"/>
        <w:kinsoku/>
        <w:wordWrap/>
        <w:overflowPunct/>
        <w:topLinePunct w:val="0"/>
        <w:autoSpaceDE/>
        <w:autoSpaceDN/>
        <w:bidi w:val="0"/>
        <w:spacing w:line="600" w:lineRule="exact"/>
        <w:ind w:left="0"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一、项目基本情况</w:t>
      </w:r>
    </w:p>
    <w:p>
      <w:pPr>
        <w:keepNext w:val="0"/>
        <w:keepLines w:val="0"/>
        <w:pageBreakBefore w:val="0"/>
        <w:kinsoku/>
        <w:wordWrap/>
        <w:overflowPunct/>
        <w:topLinePunct w:val="0"/>
        <w:autoSpaceDE/>
        <w:autoSpaceDN/>
        <w:bidi w:val="0"/>
        <w:spacing w:line="600" w:lineRule="exact"/>
        <w:ind w:left="0" w:right="0" w:firstLine="640" w:firstLineChars="200"/>
        <w:textAlignment w:val="auto"/>
        <w:rPr>
          <w:rFonts w:ascii="仿宋" w:hAnsi="仿宋" w:eastAsia="仿宋"/>
          <w:sz w:val="32"/>
          <w:szCs w:val="32"/>
        </w:rPr>
      </w:pPr>
      <w:r>
        <w:rPr>
          <w:rFonts w:hint="eastAsia" w:ascii="仿宋" w:hAnsi="仿宋" w:eastAsia="仿宋"/>
          <w:sz w:val="32"/>
          <w:szCs w:val="32"/>
        </w:rPr>
        <w:t>为提高全市出生人口素质，促进人口全面可持续发展，降低全市新生儿出生缺陷风险和适龄妇女乳腺癌宫颈癌发生率，让更多群众享受健康服务。根据长沙市人民政府办公室关于印发《长沙市健康民生项目实施方案》和雨花区人民政府办公室关于印发《长沙市雨花区健康民生项目实施方案》的通知，对雨花区35-64岁适龄妇女进行免费宫颈癌、乳腺癌检查，免费服务内容包括：临床乳腺检查（乳腺的视诊、触诊）、乳腺彩超、阳性人群乳腺X线检查。妇科（盆腔）检查、妇科B超检查、阴道分泌物检查、HPV阳性分型检查、宫颈刮片病理检查（宫颈脱落细胞巴氏检查/液基薄层细胞检测(TCT)）、阴道镜检查、病理检查；为每位符合条件的孕妇免费提供1次孕妇外周血胎儿游离DNA产前筛查与诊断（以下简称“NIPT”）和产前筛查;为每位新生儿免费提供1次多种遗传代谢病筛查和耳聋基因筛查。</w:t>
      </w:r>
    </w:p>
    <w:p>
      <w:pPr>
        <w:keepNext w:val="0"/>
        <w:keepLines w:val="0"/>
        <w:pageBreakBefore w:val="0"/>
        <w:kinsoku/>
        <w:wordWrap/>
        <w:overflowPunct/>
        <w:topLinePunct w:val="0"/>
        <w:autoSpaceDE/>
        <w:autoSpaceDN/>
        <w:bidi w:val="0"/>
        <w:spacing w:line="600" w:lineRule="exact"/>
        <w:ind w:left="0" w:right="0" w:firstLine="640" w:firstLineChars="200"/>
        <w:textAlignment w:val="auto"/>
        <w:rPr>
          <w:rFonts w:hint="eastAsia" w:ascii="仿宋" w:hAnsi="仿宋" w:eastAsia="仿宋"/>
          <w:sz w:val="32"/>
          <w:szCs w:val="32"/>
        </w:rPr>
      </w:pPr>
      <w:r>
        <w:rPr>
          <w:rFonts w:hint="eastAsia" w:ascii="仿宋" w:hAnsi="仿宋" w:eastAsia="仿宋"/>
          <w:color w:val="000000"/>
          <w:kern w:val="0"/>
          <w:sz w:val="32"/>
          <w:szCs w:val="32"/>
        </w:rPr>
        <w:t>我区通过统一部署明确目标责任、</w:t>
      </w:r>
      <w:r>
        <w:rPr>
          <w:rFonts w:hint="eastAsia" w:ascii="仿宋" w:hAnsi="仿宋" w:eastAsia="仿宋" w:cs="仿宋"/>
          <w:sz w:val="32"/>
          <w:szCs w:val="32"/>
        </w:rPr>
        <w:t>实施惠民政策</w:t>
      </w:r>
      <w:r>
        <w:rPr>
          <w:rFonts w:hint="eastAsia" w:ascii="仿宋" w:hAnsi="仿宋" w:eastAsia="仿宋" w:cs="仿宋"/>
          <w:bCs/>
          <w:sz w:val="32"/>
          <w:szCs w:val="32"/>
        </w:rPr>
        <w:t>落实配套资金、</w:t>
      </w:r>
      <w:r>
        <w:rPr>
          <w:rFonts w:hint="eastAsia" w:ascii="仿宋" w:hAnsi="仿宋" w:eastAsia="仿宋"/>
          <w:bCs/>
          <w:sz w:val="32"/>
          <w:szCs w:val="32"/>
        </w:rPr>
        <w:t>重视培训推进项目实施、</w:t>
      </w:r>
      <w:r>
        <w:rPr>
          <w:rFonts w:hint="eastAsia" w:ascii="仿宋" w:hAnsi="仿宋" w:eastAsia="仿宋" w:cs="仿宋"/>
          <w:bCs/>
          <w:sz w:val="32"/>
          <w:szCs w:val="32"/>
        </w:rPr>
        <w:t>广泛宣传营造声势、</w:t>
      </w:r>
      <w:r>
        <w:rPr>
          <w:rFonts w:hint="eastAsia" w:ascii="仿宋" w:hAnsi="仿宋" w:eastAsia="仿宋" w:cs="仿宋"/>
          <w:color w:val="000000"/>
          <w:kern w:val="0"/>
          <w:sz w:val="32"/>
          <w:szCs w:val="32"/>
        </w:rPr>
        <w:t>加强监管强化要素保障等措施，</w:t>
      </w:r>
      <w:r>
        <w:rPr>
          <w:rFonts w:hint="eastAsia" w:ascii="仿宋" w:hAnsi="仿宋" w:eastAsia="仿宋"/>
          <w:sz w:val="32"/>
          <w:szCs w:val="32"/>
        </w:rPr>
        <w:t>截</w:t>
      </w:r>
      <w:r>
        <w:rPr>
          <w:rFonts w:hint="eastAsia" w:ascii="仿宋" w:hAnsi="仿宋" w:eastAsia="仿宋"/>
          <w:sz w:val="32"/>
          <w:szCs w:val="32"/>
          <w:lang w:eastAsia="zh-CN"/>
        </w:rPr>
        <w:t>至</w:t>
      </w:r>
      <w:r>
        <w:rPr>
          <w:rFonts w:hint="eastAsia" w:ascii="仿宋" w:hAnsi="仿宋" w:eastAsia="仿宋"/>
          <w:sz w:val="32"/>
          <w:szCs w:val="32"/>
        </w:rPr>
        <w:t>12月31日，所有民生项目均按质按量高效完成，阳性病例都进行了跟踪随访。</w:t>
      </w:r>
    </w:p>
    <w:p>
      <w:pPr>
        <w:keepNext w:val="0"/>
        <w:keepLines w:val="0"/>
        <w:pageBreakBefore w:val="0"/>
        <w:kinsoku/>
        <w:wordWrap/>
        <w:overflowPunct/>
        <w:topLinePunct w:val="0"/>
        <w:autoSpaceDE/>
        <w:autoSpaceDN/>
        <w:bidi w:val="0"/>
        <w:spacing w:line="600" w:lineRule="exact"/>
        <w:ind w:left="0" w:right="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w:t>
      </w:r>
      <w:r>
        <w:rPr>
          <w:rFonts w:hint="eastAsia" w:ascii="黑体" w:hAnsi="黑体" w:eastAsia="黑体" w:cs="黑体"/>
          <w:b w:val="0"/>
          <w:bCs/>
          <w:color w:val="000000"/>
          <w:sz w:val="32"/>
          <w:szCs w:val="32"/>
        </w:rPr>
        <w:t>项目资金使用及管理情况</w:t>
      </w:r>
    </w:p>
    <w:p>
      <w:pPr>
        <w:keepNext w:val="0"/>
        <w:keepLines w:val="0"/>
        <w:pageBreakBefore w:val="0"/>
        <w:kinsoku/>
        <w:wordWrap/>
        <w:overflowPunct/>
        <w:topLinePunct w:val="0"/>
        <w:autoSpaceDE/>
        <w:autoSpaceDN/>
        <w:bidi w:val="0"/>
        <w:adjustRightInd w:val="0"/>
        <w:snapToGrid w:val="0"/>
        <w:spacing w:line="600" w:lineRule="exact"/>
        <w:ind w:left="0" w:right="0" w:firstLine="640" w:firstLineChars="200"/>
        <w:textAlignment w:val="auto"/>
        <w:outlineLvl w:val="0"/>
        <w:rPr>
          <w:rFonts w:ascii="仿宋" w:hAnsi="仿宋" w:eastAsia="仿宋"/>
          <w:bCs/>
          <w:color w:val="FF0000"/>
          <w:sz w:val="32"/>
          <w:szCs w:val="32"/>
        </w:rPr>
      </w:pPr>
      <w:r>
        <w:rPr>
          <w:rFonts w:hint="eastAsia" w:ascii="仿宋" w:hAnsi="仿宋" w:eastAsia="仿宋"/>
          <w:bCs/>
          <w:sz w:val="32"/>
          <w:szCs w:val="32"/>
        </w:rPr>
        <w:t>在资金管理上，我所严格按照要求，实行专账管理。在资金使用过程中，严格审核关口，建立健全内部审批制度，确保项目资金全部用于项目开展，无挪用、错支等违规情况。</w:t>
      </w:r>
    </w:p>
    <w:p>
      <w:pPr>
        <w:pStyle w:val="12"/>
        <w:keepNext w:val="0"/>
        <w:keepLines w:val="0"/>
        <w:pageBreakBefore w:val="0"/>
        <w:numPr>
          <w:ilvl w:val="0"/>
          <w:numId w:val="0"/>
        </w:numPr>
        <w:kinsoku/>
        <w:wordWrap/>
        <w:overflowPunct/>
        <w:topLinePunct w:val="0"/>
        <w:autoSpaceDE/>
        <w:autoSpaceDN/>
        <w:bidi w:val="0"/>
        <w:spacing w:line="600" w:lineRule="exact"/>
        <w:ind w:leftChars="200" w:right="0" w:rightChars="0"/>
        <w:textAlignment w:val="auto"/>
        <w:outlineLvl w:val="0"/>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项目资金到位情况</w:t>
      </w:r>
    </w:p>
    <w:p>
      <w:pPr>
        <w:keepNext w:val="0"/>
        <w:keepLines w:val="0"/>
        <w:pageBreakBefore w:val="0"/>
        <w:kinsoku/>
        <w:wordWrap/>
        <w:overflowPunct/>
        <w:topLinePunct w:val="0"/>
        <w:autoSpaceDE/>
        <w:autoSpaceDN/>
        <w:bidi w:val="0"/>
        <w:adjustRightInd w:val="0"/>
        <w:snapToGrid w:val="0"/>
        <w:spacing w:line="600" w:lineRule="exact"/>
        <w:ind w:left="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2021年1月5日，雨财安字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1号收到区级健康民生项目资金968.64万元；2021年1月25日，转预内字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1号结转上年长财社指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115号2020年健康民生项目市级第二批补助经费188.29万元；转预内字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1号结转上年长财社指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125号2020年省补助孕产妇免费产前筛查项目16.99万元；2021年8月13日，长财社指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159号拨付2021年市第一批健康民生项目经费250.67万元；2021年9月7日，长财社指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80号拨付2019年市第二批健康民生项目经费266.8万元；2021年9月7日，长财社指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82号2021年省补助孕产妇免费产前筛查项目48.16万元，共计1739.55万元，有力地保障了我区民生项目的顺利开展。</w:t>
      </w:r>
    </w:p>
    <w:p>
      <w:pPr>
        <w:pStyle w:val="12"/>
        <w:keepNext w:val="0"/>
        <w:keepLines w:val="0"/>
        <w:pageBreakBefore w:val="0"/>
        <w:numPr>
          <w:ilvl w:val="0"/>
          <w:numId w:val="0"/>
        </w:numPr>
        <w:kinsoku/>
        <w:wordWrap/>
        <w:overflowPunct/>
        <w:topLinePunct w:val="0"/>
        <w:autoSpaceDE/>
        <w:autoSpaceDN/>
        <w:bidi w:val="0"/>
        <w:spacing w:line="600" w:lineRule="exact"/>
        <w:ind w:leftChars="200" w:right="0" w:rightChars="0"/>
        <w:textAlignment w:val="auto"/>
        <w:outlineLvl w:val="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（二）项目资金使用情况 </w:t>
      </w:r>
    </w:p>
    <w:p>
      <w:pPr>
        <w:keepNext w:val="0"/>
        <w:keepLines w:val="0"/>
        <w:pageBreakBefore w:val="0"/>
        <w:kinsoku/>
        <w:wordWrap/>
        <w:overflowPunct/>
        <w:topLinePunct w:val="0"/>
        <w:autoSpaceDE/>
        <w:autoSpaceDN/>
        <w:bidi w:val="0"/>
        <w:adjustRightInd w:val="0"/>
        <w:snapToGrid w:val="0"/>
        <w:spacing w:line="600" w:lineRule="exact"/>
        <w:ind w:left="0" w:right="0"/>
        <w:textAlignment w:val="auto"/>
        <w:rPr>
          <w:rFonts w:hint="default" w:ascii="仿宋" w:hAnsi="仿宋" w:eastAsia="仿宋_GB2312"/>
          <w:bCs/>
          <w:color w:val="000000"/>
          <w:sz w:val="32"/>
          <w:szCs w:val="32"/>
          <w:lang w:val="en-US" w:eastAsia="zh-CN"/>
        </w:rPr>
      </w:pPr>
      <w:r>
        <w:rPr>
          <w:rFonts w:hint="eastAsia" w:ascii="仿宋_GB2312" w:hAnsi="仿宋_GB2312" w:eastAsia="仿宋_GB2312"/>
          <w:bCs/>
          <w:sz w:val="32"/>
          <w:szCs w:val="32"/>
        </w:rPr>
        <w:t xml:space="preserve">   我单位拨付2020年10-12月健康民生项目专项资金371.39万元，其中：省</w:t>
      </w:r>
      <w:r>
        <w:rPr>
          <w:rFonts w:hint="eastAsia" w:ascii="仿宋_GB2312" w:hAnsi="仿宋_GB2312" w:eastAsia="仿宋_GB2312"/>
          <w:bCs/>
          <w:sz w:val="32"/>
          <w:szCs w:val="32"/>
          <w:lang w:eastAsia="zh-CN"/>
        </w:rPr>
        <w:t>级专项资金</w:t>
      </w:r>
      <w:r>
        <w:rPr>
          <w:rFonts w:hint="eastAsia" w:ascii="仿宋_GB2312" w:hAnsi="仿宋_GB2312" w:eastAsia="仿宋_GB2312"/>
          <w:bCs/>
          <w:sz w:val="32"/>
          <w:szCs w:val="32"/>
          <w:lang w:val="en-US" w:eastAsia="zh-CN"/>
        </w:rPr>
        <w:t>16.99万元，</w:t>
      </w:r>
      <w:r>
        <w:rPr>
          <w:rFonts w:hint="eastAsia" w:ascii="仿宋_GB2312" w:hAnsi="仿宋_GB2312" w:eastAsia="仿宋_GB2312"/>
          <w:bCs/>
          <w:sz w:val="32"/>
          <w:szCs w:val="32"/>
        </w:rPr>
        <w:t>市级专项资金</w:t>
      </w:r>
      <w:r>
        <w:rPr>
          <w:rFonts w:hint="eastAsia" w:ascii="仿宋_GB2312" w:hAnsi="仿宋_GB2312" w:eastAsia="仿宋_GB2312"/>
          <w:bCs/>
          <w:sz w:val="32"/>
          <w:szCs w:val="32"/>
          <w:lang w:val="en-US" w:eastAsia="zh-CN"/>
        </w:rPr>
        <w:t>134.8</w:t>
      </w:r>
      <w:r>
        <w:rPr>
          <w:rFonts w:hint="eastAsia" w:ascii="仿宋_GB2312" w:hAnsi="仿宋_GB2312" w:eastAsia="仿宋_GB2312"/>
          <w:bCs/>
          <w:sz w:val="32"/>
          <w:szCs w:val="32"/>
        </w:rPr>
        <w:t>万元，区本级配套专项资金219.6万元；我单位拨付2021年1-3月健康民生项目专项资金355.9</w:t>
      </w:r>
      <w:r>
        <w:rPr>
          <w:rFonts w:hint="eastAsia" w:ascii="仿宋_GB2312" w:hAnsi="仿宋_GB2312" w:eastAsia="仿宋_GB2312"/>
          <w:bCs/>
          <w:sz w:val="32"/>
          <w:szCs w:val="32"/>
          <w:lang w:val="en-US" w:eastAsia="zh-CN"/>
        </w:rPr>
        <w:t>6</w:t>
      </w:r>
      <w:r>
        <w:rPr>
          <w:rFonts w:hint="eastAsia" w:ascii="仿宋_GB2312" w:hAnsi="仿宋_GB2312" w:eastAsia="仿宋_GB2312"/>
          <w:bCs/>
          <w:sz w:val="32"/>
          <w:szCs w:val="32"/>
        </w:rPr>
        <w:t>万元，其中：市级</w:t>
      </w:r>
      <w:r>
        <w:rPr>
          <w:rFonts w:hint="eastAsia" w:ascii="仿宋_GB2312" w:hAnsi="仿宋_GB2312" w:eastAsia="仿宋_GB2312"/>
          <w:bCs/>
          <w:sz w:val="32"/>
          <w:szCs w:val="32"/>
          <w:lang w:eastAsia="zh-CN"/>
        </w:rPr>
        <w:t>配套</w:t>
      </w:r>
      <w:r>
        <w:rPr>
          <w:rFonts w:hint="eastAsia" w:ascii="仿宋_GB2312" w:hAnsi="仿宋_GB2312" w:eastAsia="仿宋_GB2312"/>
          <w:bCs/>
          <w:sz w:val="32"/>
          <w:szCs w:val="32"/>
        </w:rPr>
        <w:t>专项资金</w:t>
      </w:r>
      <w:r>
        <w:rPr>
          <w:rFonts w:hint="eastAsia" w:ascii="仿宋_GB2312" w:hAnsi="仿宋_GB2312" w:eastAsia="仿宋_GB2312"/>
          <w:bCs/>
          <w:sz w:val="32"/>
          <w:szCs w:val="32"/>
          <w:lang w:val="en-US" w:eastAsia="zh-CN"/>
        </w:rPr>
        <w:t>53.49</w:t>
      </w:r>
      <w:r>
        <w:rPr>
          <w:rFonts w:hint="eastAsia" w:ascii="仿宋_GB2312" w:hAnsi="仿宋_GB2312" w:eastAsia="仿宋_GB2312"/>
          <w:bCs/>
          <w:sz w:val="32"/>
          <w:szCs w:val="32"/>
        </w:rPr>
        <w:t>万元</w:t>
      </w:r>
      <w:r>
        <w:rPr>
          <w:rFonts w:hint="eastAsia" w:ascii="仿宋_GB2312" w:hAnsi="仿宋_GB2312" w:eastAsia="仿宋_GB2312"/>
          <w:bCs/>
          <w:sz w:val="32"/>
          <w:szCs w:val="32"/>
          <w:lang w:eastAsia="zh-CN"/>
        </w:rPr>
        <w:t>（拨款时市级配套专项资金未到）</w:t>
      </w:r>
      <w:r>
        <w:rPr>
          <w:rFonts w:hint="eastAsia" w:ascii="仿宋_GB2312" w:hAnsi="仿宋_GB2312" w:eastAsia="仿宋_GB2312"/>
          <w:bCs/>
          <w:sz w:val="32"/>
          <w:szCs w:val="32"/>
        </w:rPr>
        <w:t>，区本级配套专项资金</w:t>
      </w:r>
      <w:r>
        <w:rPr>
          <w:rFonts w:hint="eastAsia" w:ascii="仿宋_GB2312" w:hAnsi="仿宋_GB2312" w:eastAsia="仿宋_GB2312"/>
          <w:bCs/>
          <w:sz w:val="32"/>
          <w:szCs w:val="32"/>
          <w:lang w:val="en-US" w:eastAsia="zh-CN"/>
        </w:rPr>
        <w:t>302.47</w:t>
      </w:r>
      <w:r>
        <w:rPr>
          <w:rFonts w:hint="eastAsia" w:ascii="仿宋_GB2312" w:hAnsi="仿宋_GB2312" w:eastAsia="仿宋_GB2312"/>
          <w:bCs/>
          <w:sz w:val="32"/>
          <w:szCs w:val="32"/>
        </w:rPr>
        <w:t>万元；我单位拨付2021年4-6月健康民生项目专项资金482.83万元，其中：省</w:t>
      </w:r>
      <w:r>
        <w:rPr>
          <w:rFonts w:hint="eastAsia" w:ascii="仿宋_GB2312" w:hAnsi="仿宋_GB2312" w:eastAsia="仿宋_GB2312"/>
          <w:bCs/>
          <w:sz w:val="32"/>
          <w:szCs w:val="32"/>
          <w:lang w:eastAsia="zh-CN"/>
        </w:rPr>
        <w:t>级专项资金</w:t>
      </w:r>
      <w:r>
        <w:rPr>
          <w:rFonts w:hint="eastAsia" w:ascii="仿宋_GB2312" w:hAnsi="仿宋_GB2312" w:eastAsia="仿宋_GB2312"/>
          <w:bCs/>
          <w:sz w:val="32"/>
          <w:szCs w:val="32"/>
          <w:lang w:val="en-US" w:eastAsia="zh-CN"/>
        </w:rPr>
        <w:t>8.19万元，</w:t>
      </w:r>
      <w:r>
        <w:rPr>
          <w:rFonts w:hint="eastAsia" w:ascii="仿宋_GB2312" w:hAnsi="仿宋_GB2312" w:eastAsia="仿宋_GB2312"/>
          <w:bCs/>
          <w:sz w:val="32"/>
          <w:szCs w:val="32"/>
        </w:rPr>
        <w:t>市级</w:t>
      </w:r>
      <w:r>
        <w:rPr>
          <w:rFonts w:hint="eastAsia" w:ascii="仿宋_GB2312" w:hAnsi="仿宋_GB2312" w:eastAsia="仿宋_GB2312"/>
          <w:bCs/>
          <w:sz w:val="32"/>
          <w:szCs w:val="32"/>
          <w:lang w:eastAsia="zh-CN"/>
        </w:rPr>
        <w:t>配套</w:t>
      </w:r>
      <w:r>
        <w:rPr>
          <w:rFonts w:hint="eastAsia" w:ascii="仿宋_GB2312" w:hAnsi="仿宋_GB2312" w:eastAsia="仿宋_GB2312"/>
          <w:bCs/>
          <w:sz w:val="32"/>
          <w:szCs w:val="32"/>
        </w:rPr>
        <w:t>专项资金244.17万元</w:t>
      </w:r>
      <w:r>
        <w:rPr>
          <w:rFonts w:hint="eastAsia" w:ascii="仿宋_GB2312" w:hAnsi="仿宋_GB2312" w:eastAsia="仿宋_GB2312"/>
          <w:bCs/>
          <w:sz w:val="32"/>
          <w:szCs w:val="32"/>
          <w:lang w:eastAsia="zh-CN"/>
        </w:rPr>
        <w:t>（对冲一季度市级专项资金部门）</w:t>
      </w:r>
      <w:r>
        <w:rPr>
          <w:rFonts w:hint="eastAsia" w:ascii="仿宋_GB2312" w:hAnsi="仿宋_GB2312" w:eastAsia="仿宋_GB2312"/>
          <w:bCs/>
          <w:sz w:val="32"/>
          <w:szCs w:val="32"/>
        </w:rPr>
        <w:t>，区本级配套专项资金</w:t>
      </w:r>
      <w:r>
        <w:rPr>
          <w:rFonts w:hint="eastAsia" w:ascii="仿宋_GB2312" w:hAnsi="仿宋_GB2312" w:eastAsia="仿宋_GB2312"/>
          <w:bCs/>
          <w:sz w:val="32"/>
          <w:szCs w:val="32"/>
          <w:lang w:val="en-US" w:eastAsia="zh-CN"/>
        </w:rPr>
        <w:t>230.47</w:t>
      </w:r>
      <w:r>
        <w:rPr>
          <w:rFonts w:hint="eastAsia" w:ascii="仿宋_GB2312" w:hAnsi="仿宋_GB2312" w:eastAsia="仿宋_GB2312"/>
          <w:bCs/>
          <w:sz w:val="32"/>
          <w:szCs w:val="32"/>
        </w:rPr>
        <w:t>万元；我单位拨付2021年7-9月健康民生项目专项资金393.26万元，其中：省</w:t>
      </w:r>
      <w:r>
        <w:rPr>
          <w:rFonts w:hint="eastAsia" w:ascii="仿宋_GB2312" w:hAnsi="仿宋_GB2312" w:eastAsia="仿宋_GB2312"/>
          <w:bCs/>
          <w:sz w:val="32"/>
          <w:szCs w:val="32"/>
          <w:lang w:eastAsia="zh-CN"/>
        </w:rPr>
        <w:t>级专项资金</w:t>
      </w:r>
      <w:r>
        <w:rPr>
          <w:rFonts w:hint="eastAsia" w:ascii="仿宋_GB2312" w:hAnsi="仿宋_GB2312" w:eastAsia="仿宋_GB2312"/>
          <w:bCs/>
          <w:sz w:val="32"/>
          <w:szCs w:val="32"/>
          <w:lang w:val="en-US" w:eastAsia="zh-CN"/>
        </w:rPr>
        <w:t>40.19万元，</w:t>
      </w:r>
      <w:r>
        <w:rPr>
          <w:rFonts w:hint="eastAsia" w:ascii="仿宋_GB2312" w:hAnsi="仿宋_GB2312" w:eastAsia="仿宋_GB2312"/>
          <w:bCs/>
          <w:sz w:val="32"/>
          <w:szCs w:val="32"/>
        </w:rPr>
        <w:t>市级专项资金</w:t>
      </w:r>
      <w:r>
        <w:rPr>
          <w:rFonts w:hint="eastAsia" w:ascii="仿宋_GB2312" w:hAnsi="仿宋_GB2312" w:eastAsia="仿宋_GB2312"/>
          <w:bCs/>
          <w:sz w:val="32"/>
          <w:szCs w:val="32"/>
          <w:lang w:val="en-US" w:eastAsia="zh-CN"/>
        </w:rPr>
        <w:t>144.04</w:t>
      </w:r>
      <w:r>
        <w:rPr>
          <w:rFonts w:hint="eastAsia" w:ascii="仿宋_GB2312" w:hAnsi="仿宋_GB2312" w:eastAsia="仿宋_GB2312"/>
          <w:bCs/>
          <w:sz w:val="32"/>
          <w:szCs w:val="32"/>
        </w:rPr>
        <w:t>万元，区本级配套专项资金209.03万元。</w:t>
      </w:r>
      <w:r>
        <w:rPr>
          <w:rFonts w:hint="eastAsia" w:ascii="仿宋_GB2312" w:hAnsi="仿宋_GB2312" w:eastAsia="仿宋_GB2312"/>
          <w:bCs/>
          <w:sz w:val="32"/>
          <w:szCs w:val="32"/>
          <w:lang w:val="en-US" w:eastAsia="zh-CN"/>
        </w:rPr>
        <w:t>2021年10-12月健康民生项目待拨付专项资金323.98万元，其中市级配套专项资金129.26万元，区级专项资金194.72万元，将于2022年3月拨付至辖区内医疗机构，没有资金结余。</w:t>
      </w:r>
    </w:p>
    <w:p>
      <w:pPr>
        <w:keepNext w:val="0"/>
        <w:keepLines w:val="0"/>
        <w:pageBreakBefore w:val="0"/>
        <w:kinsoku/>
        <w:wordWrap/>
        <w:overflowPunct/>
        <w:topLinePunct w:val="0"/>
        <w:autoSpaceDE/>
        <w:autoSpaceDN/>
        <w:bidi w:val="0"/>
        <w:spacing w:line="600" w:lineRule="exact"/>
        <w:ind w:left="0"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三、项目组织实施情况</w:t>
      </w:r>
    </w:p>
    <w:p>
      <w:pPr>
        <w:keepNext w:val="0"/>
        <w:keepLines w:val="0"/>
        <w:pageBreakBefore w:val="0"/>
        <w:widowControl/>
        <w:kinsoku/>
        <w:wordWrap/>
        <w:overflowPunct/>
        <w:topLinePunct w:val="0"/>
        <w:autoSpaceDE/>
        <w:autoSpaceDN/>
        <w:bidi w:val="0"/>
        <w:spacing w:line="600" w:lineRule="exact"/>
        <w:ind w:left="0" w:right="0" w:firstLine="643" w:firstLineChars="200"/>
        <w:jc w:val="left"/>
        <w:textAlignment w:val="auto"/>
        <w:rPr>
          <w:rFonts w:ascii="仿宋" w:hAnsi="仿宋" w:eastAsia="仿宋" w:cs="仿宋"/>
          <w:sz w:val="32"/>
          <w:szCs w:val="32"/>
        </w:rPr>
      </w:pPr>
      <w:r>
        <w:rPr>
          <w:rFonts w:hint="eastAsia" w:ascii="楷体" w:hAnsi="楷体" w:eastAsia="楷体" w:cs="楷体"/>
          <w:b/>
          <w:bCs/>
          <w:kern w:val="2"/>
          <w:sz w:val="32"/>
          <w:szCs w:val="32"/>
          <w:lang w:val="en-US" w:eastAsia="zh-CN" w:bidi="ar-SA"/>
        </w:rPr>
        <w:t>（一）统一部署，明确目标责任。</w:t>
      </w:r>
      <w:r>
        <w:rPr>
          <w:rFonts w:hint="eastAsia" w:ascii="仿宋" w:hAnsi="仿宋" w:eastAsia="仿宋" w:cs="仿宋"/>
          <w:sz w:val="32"/>
          <w:szCs w:val="32"/>
        </w:rPr>
        <w:t>一是高度重视，摆上位置。省民生项目免费产前筛查和农村及城镇低保适龄妇女免费“两癌”检查工作指标下达之后，区卫</w:t>
      </w:r>
      <w:r>
        <w:rPr>
          <w:rFonts w:hint="eastAsia" w:ascii="仿宋" w:hAnsi="仿宋" w:eastAsia="仿宋" w:cs="仿宋"/>
          <w:sz w:val="32"/>
          <w:szCs w:val="32"/>
          <w:lang w:eastAsia="zh-CN"/>
        </w:rPr>
        <w:t>健</w:t>
      </w:r>
      <w:r>
        <w:rPr>
          <w:rFonts w:hint="eastAsia" w:ascii="仿宋" w:hAnsi="仿宋" w:eastAsia="仿宋" w:cs="仿宋"/>
          <w:sz w:val="32"/>
          <w:szCs w:val="32"/>
        </w:rPr>
        <w:t>局积极向区委、区政府做好汇报，</w:t>
      </w:r>
      <w:r>
        <w:rPr>
          <w:rFonts w:hint="eastAsia" w:ascii="仿宋" w:hAnsi="仿宋" w:eastAsia="仿宋" w:cs="仿宋"/>
          <w:kern w:val="0"/>
          <w:sz w:val="32"/>
          <w:szCs w:val="32"/>
        </w:rPr>
        <w:t>制定了</w:t>
      </w:r>
      <w:r>
        <w:rPr>
          <w:rFonts w:hint="eastAsia" w:ascii="仿宋" w:hAnsi="仿宋" w:eastAsia="仿宋" w:cs="仿宋"/>
          <w:sz w:val="32"/>
          <w:szCs w:val="32"/>
        </w:rPr>
        <w:t>《2021年长沙市雨花区孕产妇免费产前筛查工作方案》《2021年长沙市雨花区适龄妇女“两癌”免费检查实施方案》</w:t>
      </w:r>
      <w:r>
        <w:rPr>
          <w:rFonts w:hint="eastAsia" w:ascii="仿宋" w:hAnsi="仿宋" w:eastAsia="仿宋" w:cs="仿宋"/>
          <w:kern w:val="0"/>
          <w:sz w:val="32"/>
          <w:szCs w:val="32"/>
        </w:rPr>
        <w:t>等文件，对具体任务进行分解，省市民生项目的考核纳入区政府对街道（镇）政府的考核，形成真正的政府支持、卫计合力，确保各项任务顺利完成。</w:t>
      </w:r>
      <w:r>
        <w:rPr>
          <w:rFonts w:hint="eastAsia" w:ascii="仿宋" w:hAnsi="仿宋" w:eastAsia="仿宋" w:cs="仿宋"/>
          <w:sz w:val="32"/>
          <w:szCs w:val="32"/>
        </w:rPr>
        <w:t>二是健全组织，强化领导。区级按要求成立民生项目领导小组和技术指导小组，各街镇建立了相应的工作机制，</w:t>
      </w:r>
      <w:r>
        <w:rPr>
          <w:rFonts w:hint="eastAsia" w:ascii="仿宋" w:hAnsi="仿宋" w:eastAsia="仿宋" w:cs="仿宋"/>
          <w:kern w:val="0"/>
          <w:sz w:val="32"/>
          <w:szCs w:val="32"/>
        </w:rPr>
        <w:t>形成了一级抓一级</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层层抓落实的工作格局，</w:t>
      </w:r>
      <w:r>
        <w:rPr>
          <w:rFonts w:hint="eastAsia" w:ascii="仿宋" w:hAnsi="仿宋" w:eastAsia="仿宋" w:cs="仿宋"/>
          <w:sz w:val="32"/>
          <w:szCs w:val="32"/>
        </w:rPr>
        <w:t>为我区民生工程的实施提供了有力的组织保证。三是召开会议，安排部署。4月22日召开了由各街镇分管领导、卫健办负责人、各社区卫生服务中心（卫生院）负责人、妇幼专干、各助产医疗机构分管领导、项目相关科室人员参加的妇幼健康民生项目推进会，安排部署我区民生项目工作。</w:t>
      </w:r>
    </w:p>
    <w:p>
      <w:pPr>
        <w:pStyle w:val="12"/>
        <w:keepNext w:val="0"/>
        <w:keepLines w:val="0"/>
        <w:pageBreakBefore w:val="0"/>
        <w:numPr>
          <w:ilvl w:val="0"/>
          <w:numId w:val="0"/>
        </w:numPr>
        <w:kinsoku/>
        <w:wordWrap/>
        <w:overflowPunct/>
        <w:topLinePunct w:val="0"/>
        <w:autoSpaceDE/>
        <w:autoSpaceDN/>
        <w:bidi w:val="0"/>
        <w:spacing w:line="600" w:lineRule="exact"/>
        <w:ind w:leftChars="200" w:right="0" w:rightChars="0"/>
        <w:textAlignment w:val="auto"/>
        <w:outlineLvl w:val="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（二）实施惠民政策，资金配套到位，资金使用规范。</w:t>
      </w:r>
    </w:p>
    <w:p>
      <w:pPr>
        <w:keepNext w:val="0"/>
        <w:keepLines w:val="0"/>
        <w:pageBreakBefore w:val="0"/>
        <w:kinsoku/>
        <w:wordWrap/>
        <w:overflowPunct/>
        <w:topLinePunct w:val="0"/>
        <w:autoSpaceDE/>
        <w:autoSpaceDN/>
        <w:bidi w:val="0"/>
        <w:spacing w:line="600" w:lineRule="exact"/>
        <w:ind w:left="0" w:right="0" w:firstLine="640" w:firstLineChars="200"/>
        <w:textAlignment w:val="auto"/>
        <w:rPr>
          <w:rFonts w:ascii="仿宋" w:hAnsi="仿宋" w:eastAsia="仿宋" w:cs="仿宋_GB2312"/>
          <w:sz w:val="32"/>
          <w:szCs w:val="32"/>
        </w:rPr>
      </w:pPr>
      <w:r>
        <w:rPr>
          <w:rFonts w:hint="eastAsia" w:ascii="仿宋" w:hAnsi="仿宋" w:eastAsia="仿宋" w:cs="仿宋"/>
          <w:sz w:val="32"/>
          <w:szCs w:val="32"/>
        </w:rPr>
        <w:t>民生项目实施是惠及万千家庭的大好实事，项目所需资金较大，由省（市）区两级财政按比例分担，区级共配套资金968.64万。</w:t>
      </w:r>
      <w:r>
        <w:rPr>
          <w:rFonts w:hint="eastAsia" w:ascii="仿宋" w:hAnsi="仿宋" w:eastAsia="仿宋" w:cs="仿宋_GB2312"/>
          <w:sz w:val="32"/>
          <w:szCs w:val="32"/>
        </w:rPr>
        <w:t>在资金管理上，区妇幼保健所严格按照要求，实行专</w:t>
      </w:r>
      <w:r>
        <w:rPr>
          <w:rFonts w:hint="eastAsia" w:ascii="仿宋" w:hAnsi="仿宋" w:eastAsia="仿宋" w:cs="仿宋_GB2312"/>
          <w:sz w:val="32"/>
          <w:szCs w:val="32"/>
          <w:lang w:eastAsia="zh-CN"/>
        </w:rPr>
        <w:t>账</w:t>
      </w:r>
      <w:r>
        <w:rPr>
          <w:rFonts w:hint="eastAsia" w:ascii="仿宋" w:hAnsi="仿宋" w:eastAsia="仿宋" w:cs="仿宋_GB2312"/>
          <w:sz w:val="32"/>
          <w:szCs w:val="32"/>
        </w:rPr>
        <w:t>管理。在资金使用过程中，严格审核关口，建立健全内部审批制度，确保项目资金全部用于项目开展，无挪用、错支等违规情况。所有民生项目按季度据实结算。</w:t>
      </w:r>
    </w:p>
    <w:p>
      <w:pPr>
        <w:pStyle w:val="2"/>
        <w:keepNext w:val="0"/>
        <w:keepLines w:val="0"/>
        <w:pageBreakBefore w:val="0"/>
        <w:kinsoku/>
        <w:wordWrap/>
        <w:overflowPunct/>
        <w:topLinePunct w:val="0"/>
        <w:autoSpaceDE/>
        <w:autoSpaceDN/>
        <w:bidi w:val="0"/>
        <w:spacing w:before="0" w:line="600" w:lineRule="exact"/>
        <w:ind w:left="0" w:right="0"/>
        <w:textAlignment w:val="auto"/>
        <w:rPr>
          <w:sz w:val="32"/>
          <w:szCs w:val="32"/>
        </w:rPr>
      </w:pPr>
      <w:r>
        <w:rPr>
          <w:rFonts w:hint="eastAsia"/>
          <w:b/>
          <w:color w:val="000000"/>
          <w:sz w:val="32"/>
          <w:szCs w:val="32"/>
        </w:rPr>
        <w:t xml:space="preserve">   </w:t>
      </w:r>
      <w:r>
        <w:rPr>
          <w:rFonts w:hint="eastAsia" w:ascii="楷体" w:hAnsi="楷体" w:eastAsia="楷体" w:cs="楷体"/>
          <w:b/>
          <w:bCs/>
          <w:kern w:val="2"/>
          <w:sz w:val="32"/>
          <w:szCs w:val="32"/>
          <w:lang w:val="en-US" w:eastAsia="zh-CN" w:bidi="ar-SA"/>
        </w:rPr>
        <w:t xml:space="preserve"> （三）重视培训，推进项目实施。</w:t>
      </w:r>
      <w:r>
        <w:rPr>
          <w:rFonts w:hint="eastAsia"/>
          <w:sz w:val="32"/>
          <w:szCs w:val="32"/>
          <w:lang w:val="en-US"/>
        </w:rPr>
        <w:t>为进一步提高基层专业技术人员妇女“两癌”检查服务水平，确保雨花区省市健康民生项目高效实施，2021年6月10日，区妇幼保健所举办了雨花区适龄妇女免费“两癌”检查项目培训班，</w:t>
      </w:r>
      <w:r>
        <w:rPr>
          <w:rFonts w:hint="eastAsia"/>
          <w:sz w:val="32"/>
          <w:szCs w:val="32"/>
          <w:shd w:val="clear" w:color="auto" w:fill="FFFFFF"/>
        </w:rPr>
        <w:t>来自长沙市妇幼保健院的四位专家图文并茂的分别就</w:t>
      </w:r>
      <w:r>
        <w:rPr>
          <w:rFonts w:hint="eastAsia"/>
          <w:sz w:val="32"/>
          <w:szCs w:val="32"/>
          <w:lang w:val="en-US"/>
        </w:rPr>
        <w:t>宫颈癌筛查技术、阴道镜的应用、乳腺B超诊断及临床应用、乳腺癌筛查与早诊</w:t>
      </w:r>
      <w:r>
        <w:rPr>
          <w:rFonts w:hint="eastAsia"/>
          <w:sz w:val="32"/>
          <w:szCs w:val="32"/>
          <w:shd w:val="clear" w:color="auto" w:fill="FFFFFF"/>
        </w:rPr>
        <w:t>等进行详细讲解，</w:t>
      </w:r>
      <w:r>
        <w:rPr>
          <w:rFonts w:hint="eastAsia"/>
          <w:sz w:val="32"/>
          <w:szCs w:val="32"/>
          <w:lang w:val="en-US"/>
        </w:rPr>
        <w:t>本次培训有区妇幼保健所适龄妇女“两癌”检查项目管理人员、信息科、健教科、妇保科相关人员、B超医生，各街道社区卫生服务中心（镇卫生院）项目负责人、妇产科医生、B超医生、信息员，以及辖区医院参与项目的妇产科医师共90余人参加。培训后进行了理论考核，考核合格率100%。</w:t>
      </w:r>
      <w:r>
        <w:rPr>
          <w:rFonts w:hint="eastAsia"/>
          <w:sz w:val="32"/>
          <w:szCs w:val="32"/>
        </w:rPr>
        <w:t>7月2日-3日参加省级“两癌”检查技术培训，9月8日-9日组织检查人员参加市级“两癌”检查技术培训，11月12日再次组织两癌初筛机构检查人员参加市级宫颈癌筛查培训班，通过培训提升检查人员的筛查技术及服务水平，快速推进民生项目，</w:t>
      </w:r>
      <w:r>
        <w:rPr>
          <w:rFonts w:hint="eastAsia"/>
          <w:sz w:val="32"/>
          <w:szCs w:val="32"/>
          <w:lang w:eastAsia="zh-CN"/>
        </w:rPr>
        <w:t>并</w:t>
      </w:r>
      <w:r>
        <w:rPr>
          <w:rFonts w:hint="eastAsia"/>
          <w:sz w:val="32"/>
          <w:szCs w:val="32"/>
        </w:rPr>
        <w:t>得到了广大</w:t>
      </w:r>
      <w:r>
        <w:rPr>
          <w:rFonts w:hint="eastAsia"/>
          <w:sz w:val="32"/>
          <w:szCs w:val="32"/>
          <w:lang w:eastAsia="zh-CN"/>
        </w:rPr>
        <w:t>群</w:t>
      </w:r>
      <w:r>
        <w:rPr>
          <w:rFonts w:hint="eastAsia"/>
          <w:sz w:val="32"/>
          <w:szCs w:val="32"/>
        </w:rPr>
        <w:t>众的</w:t>
      </w:r>
      <w:r>
        <w:rPr>
          <w:rFonts w:hint="eastAsia"/>
          <w:sz w:val="32"/>
          <w:szCs w:val="32"/>
          <w:lang w:eastAsia="zh-CN"/>
        </w:rPr>
        <w:t>一致</w:t>
      </w:r>
      <w:r>
        <w:rPr>
          <w:rFonts w:hint="eastAsia"/>
          <w:sz w:val="32"/>
          <w:szCs w:val="32"/>
        </w:rPr>
        <w:t>好评。</w:t>
      </w:r>
    </w:p>
    <w:p>
      <w:pPr>
        <w:keepNext w:val="0"/>
        <w:keepLines w:val="0"/>
        <w:pageBreakBefore w:val="0"/>
        <w:kinsoku/>
        <w:wordWrap/>
        <w:overflowPunct/>
        <w:topLinePunct w:val="0"/>
        <w:autoSpaceDE/>
        <w:autoSpaceDN/>
        <w:bidi w:val="0"/>
        <w:spacing w:line="600" w:lineRule="exact"/>
        <w:ind w:left="0" w:right="0"/>
        <w:textAlignment w:val="auto"/>
        <w:rPr>
          <w:rFonts w:ascii="仿宋" w:hAnsi="仿宋" w:eastAsia="仿宋" w:cs="仿宋_GB2312"/>
          <w:sz w:val="32"/>
          <w:szCs w:val="32"/>
        </w:rPr>
      </w:pPr>
      <w:r>
        <w:rPr>
          <w:rFonts w:hint="eastAsia" w:ascii="仿宋" w:hAnsi="仿宋" w:eastAsia="仿宋" w:cs="仿宋"/>
          <w:b/>
          <w:bCs/>
          <w:sz w:val="32"/>
          <w:szCs w:val="32"/>
        </w:rPr>
        <w:t xml:space="preserve">  </w:t>
      </w:r>
      <w:r>
        <w:rPr>
          <w:rFonts w:hint="eastAsia" w:ascii="楷体" w:hAnsi="楷体" w:eastAsia="楷体" w:cs="楷体"/>
          <w:b/>
          <w:bCs/>
          <w:kern w:val="2"/>
          <w:sz w:val="32"/>
          <w:szCs w:val="32"/>
          <w:lang w:val="en-US" w:eastAsia="zh-CN" w:bidi="ar-SA"/>
        </w:rPr>
        <w:t xml:space="preserve">  （四）广泛宣传，营造声势。</w:t>
      </w:r>
      <w:r>
        <w:rPr>
          <w:rFonts w:hint="eastAsia" w:ascii="仿宋" w:hAnsi="仿宋" w:eastAsia="仿宋" w:cs="仿宋"/>
          <w:sz w:val="32"/>
          <w:szCs w:val="32"/>
        </w:rPr>
        <w:t>实施民生项目是一项惠及广大人民群众的民心工程。因此，我们特别注重加强宣传工作，充分利用卫计的网格优势，将民生项目相关政策、工作动态、宣传材料等放在人口网格管理中同步推进，便于群众查阅和掌握。区妇幼保健所印制相关健</w:t>
      </w:r>
      <w:r>
        <w:rPr>
          <w:rFonts w:hint="eastAsia" w:ascii="仿宋" w:hAnsi="仿宋" w:eastAsia="仿宋" w:cs="仿宋"/>
          <w:sz w:val="32"/>
          <w:szCs w:val="32"/>
          <w:lang w:eastAsia="zh-CN"/>
        </w:rPr>
        <w:t>康</w:t>
      </w:r>
      <w:r>
        <w:rPr>
          <w:rFonts w:hint="eastAsia" w:ascii="仿宋" w:hAnsi="仿宋" w:eastAsia="仿宋" w:cs="仿宋"/>
          <w:sz w:val="32"/>
          <w:szCs w:val="32"/>
        </w:rPr>
        <w:t>民生项目宣传折页</w:t>
      </w:r>
      <w:r>
        <w:rPr>
          <w:rFonts w:hint="eastAsia" w:ascii="仿宋" w:hAnsi="仿宋" w:eastAsia="仿宋" w:cs="仿宋"/>
          <w:sz w:val="32"/>
          <w:szCs w:val="32"/>
          <w:lang w:eastAsia="zh-CN"/>
        </w:rPr>
        <w:t>、</w:t>
      </w:r>
      <w:r>
        <w:rPr>
          <w:rFonts w:hint="eastAsia" w:ascii="仿宋" w:hAnsi="仿宋" w:eastAsia="仿宋" w:cs="仿宋"/>
          <w:sz w:val="32"/>
          <w:szCs w:val="32"/>
        </w:rPr>
        <w:t>宣传手册，下发到各街（镇）、社区、医院。我们还利用宣传栏、孕妇学校、微信公共号等多种方式进行宣传，从而达到了良好效果，为民生项目的顺利实施营造了良好氛围。</w:t>
      </w:r>
      <w:r>
        <w:rPr>
          <w:rFonts w:hint="eastAsia" w:ascii="仿宋" w:hAnsi="仿宋" w:eastAsia="仿宋"/>
          <w:sz w:val="32"/>
          <w:szCs w:val="32"/>
        </w:rPr>
        <w:t>9月10日，区妇幼保健所与圭塘街道承办了</w:t>
      </w:r>
      <w:r>
        <w:rPr>
          <w:rFonts w:hint="eastAsia" w:ascii="仿宋" w:hAnsi="仿宋" w:eastAsia="仿宋" w:cs="仿宋_GB2312"/>
          <w:sz w:val="32"/>
          <w:szCs w:val="32"/>
        </w:rPr>
        <w:t>“爱心传递，护佑新生”预防出生缺陷日主题宣传活动，大大的提高了老百姓对预防出生缺陷知识的知晓</w:t>
      </w:r>
      <w:r>
        <w:rPr>
          <w:rFonts w:hint="eastAsia" w:ascii="仿宋" w:hAnsi="仿宋" w:eastAsia="仿宋" w:cs="仿宋_GB2312"/>
          <w:sz w:val="32"/>
          <w:szCs w:val="32"/>
          <w:lang w:eastAsia="zh-CN"/>
        </w:rPr>
        <w:t>度</w:t>
      </w:r>
      <w:r>
        <w:rPr>
          <w:rFonts w:hint="eastAsia" w:ascii="仿宋" w:hAnsi="仿宋" w:eastAsia="仿宋" w:cs="仿宋_GB2312"/>
          <w:sz w:val="32"/>
          <w:szCs w:val="32"/>
        </w:rPr>
        <w:t>。</w:t>
      </w:r>
    </w:p>
    <w:p>
      <w:pPr>
        <w:keepNext w:val="0"/>
        <w:keepLines w:val="0"/>
        <w:pageBreakBefore w:val="0"/>
        <w:widowControl/>
        <w:kinsoku/>
        <w:wordWrap/>
        <w:overflowPunct/>
        <w:topLinePunct w:val="0"/>
        <w:autoSpaceDE/>
        <w:autoSpaceDN/>
        <w:bidi w:val="0"/>
        <w:spacing w:line="600" w:lineRule="exact"/>
        <w:ind w:left="0" w:right="0" w:firstLine="643" w:firstLineChars="200"/>
        <w:jc w:val="left"/>
        <w:textAlignment w:val="auto"/>
        <w:rPr>
          <w:rFonts w:ascii="仿宋" w:hAnsi="仿宋" w:eastAsia="仿宋" w:cs="仿宋"/>
          <w:sz w:val="32"/>
          <w:szCs w:val="32"/>
        </w:rPr>
      </w:pPr>
      <w:r>
        <w:rPr>
          <w:rFonts w:hint="eastAsia" w:ascii="楷体" w:hAnsi="楷体" w:eastAsia="楷体" w:cs="楷体"/>
          <w:b/>
          <w:bCs/>
          <w:kern w:val="2"/>
          <w:sz w:val="32"/>
          <w:szCs w:val="32"/>
          <w:lang w:val="en-US" w:eastAsia="zh-CN" w:bidi="ar-SA"/>
        </w:rPr>
        <w:t>（五）加强监管，强化要素保障。</w:t>
      </w:r>
      <w:r>
        <w:rPr>
          <w:rFonts w:hint="eastAsia" w:ascii="仿宋" w:hAnsi="仿宋" w:eastAsia="仿宋" w:cs="仿宋"/>
          <w:bCs/>
          <w:color w:val="000000"/>
          <w:sz w:val="32"/>
          <w:szCs w:val="32"/>
        </w:rPr>
        <w:t>区妇幼所</w:t>
      </w:r>
      <w:r>
        <w:rPr>
          <w:rFonts w:hint="eastAsia" w:ascii="仿宋" w:hAnsi="仿宋" w:eastAsia="仿宋" w:cs="仿宋"/>
          <w:sz w:val="32"/>
          <w:szCs w:val="32"/>
        </w:rPr>
        <w:t>制定了民生项目督查方案，对督查的内容、方法和问题的处理都做出了明确规定。每月</w:t>
      </w:r>
      <w:r>
        <w:rPr>
          <w:rFonts w:hint="eastAsia" w:ascii="仿宋" w:hAnsi="仿宋" w:eastAsia="仿宋" w:cs="仿宋"/>
          <w:sz w:val="32"/>
          <w:szCs w:val="32"/>
          <w:lang w:eastAsia="zh-CN"/>
        </w:rPr>
        <w:t>将</w:t>
      </w:r>
      <w:r>
        <w:rPr>
          <w:rFonts w:hint="eastAsia" w:ascii="仿宋" w:hAnsi="仿宋" w:eastAsia="仿宋" w:cs="仿宋"/>
          <w:sz w:val="32"/>
          <w:szCs w:val="32"/>
        </w:rPr>
        <w:t>项目进度完成情况发布在相关工作群</w:t>
      </w:r>
      <w:r>
        <w:rPr>
          <w:rFonts w:hint="eastAsia" w:ascii="仿宋" w:hAnsi="仿宋" w:eastAsia="仿宋" w:cs="仿宋"/>
          <w:sz w:val="32"/>
          <w:szCs w:val="32"/>
          <w:lang w:eastAsia="zh-CN"/>
        </w:rPr>
        <w:t>内</w:t>
      </w:r>
      <w:r>
        <w:rPr>
          <w:rFonts w:hint="eastAsia" w:ascii="仿宋" w:hAnsi="仿宋" w:eastAsia="仿宋" w:cs="仿宋"/>
          <w:sz w:val="32"/>
          <w:szCs w:val="32"/>
        </w:rPr>
        <w:t>，确保</w:t>
      </w:r>
      <w:r>
        <w:rPr>
          <w:rFonts w:hint="eastAsia" w:ascii="仿宋" w:hAnsi="仿宋" w:eastAsia="仿宋" w:cs="仿宋"/>
          <w:color w:val="000000"/>
          <w:sz w:val="32"/>
          <w:szCs w:val="32"/>
        </w:rPr>
        <w:t>各实施单位实时掌握进度</w:t>
      </w:r>
      <w:r>
        <w:rPr>
          <w:rFonts w:hint="eastAsia" w:ascii="仿宋" w:hAnsi="仿宋" w:eastAsia="仿宋" w:cs="仿宋"/>
          <w:color w:val="000000"/>
          <w:sz w:val="32"/>
          <w:szCs w:val="32"/>
          <w:lang w:eastAsia="zh-CN"/>
        </w:rPr>
        <w:t>；</w:t>
      </w:r>
      <w:r>
        <w:rPr>
          <w:rFonts w:hint="eastAsia" w:ascii="仿宋" w:hAnsi="仿宋" w:eastAsia="仿宋" w:cs="仿宋"/>
          <w:sz w:val="32"/>
          <w:szCs w:val="32"/>
        </w:rPr>
        <w:t>每季度对辖区街道项目完成情况进行通报，对未完成进度的街道进行原因分析找出解决方法并督导完成进度；对辖区社区卫生服务中心阳性病例管理的原始登记进行核查，针对不符</w:t>
      </w:r>
      <w:r>
        <w:rPr>
          <w:rFonts w:hint="eastAsia" w:ascii="仿宋" w:hAnsi="仿宋" w:eastAsia="仿宋" w:cs="仿宋"/>
          <w:sz w:val="32"/>
          <w:szCs w:val="32"/>
          <w:lang w:eastAsia="zh-CN"/>
        </w:rPr>
        <w:t>合的</w:t>
      </w:r>
      <w:r>
        <w:rPr>
          <w:rFonts w:hint="eastAsia" w:ascii="仿宋" w:hAnsi="仿宋" w:eastAsia="仿宋" w:cs="仿宋"/>
          <w:sz w:val="32"/>
          <w:szCs w:val="32"/>
        </w:rPr>
        <w:t>情况</w:t>
      </w:r>
      <w:r>
        <w:rPr>
          <w:rFonts w:hint="eastAsia" w:ascii="仿宋" w:hAnsi="仿宋" w:eastAsia="仿宋" w:cs="仿宋"/>
          <w:sz w:val="32"/>
          <w:szCs w:val="32"/>
          <w:lang w:eastAsia="zh-CN"/>
        </w:rPr>
        <w:t>，</w:t>
      </w:r>
      <w:r>
        <w:rPr>
          <w:rFonts w:hint="eastAsia" w:ascii="仿宋" w:hAnsi="仿宋" w:eastAsia="仿宋" w:cs="仿宋"/>
          <w:sz w:val="32"/>
          <w:szCs w:val="32"/>
        </w:rPr>
        <w:t>督导其完善及整改到位</w:t>
      </w:r>
      <w:r>
        <w:rPr>
          <w:rFonts w:hint="eastAsia" w:ascii="仿宋" w:hAnsi="仿宋" w:eastAsia="仿宋" w:cs="仿宋"/>
          <w:sz w:val="32"/>
          <w:szCs w:val="32"/>
          <w:lang w:eastAsia="zh-CN"/>
        </w:rPr>
        <w:t>，</w:t>
      </w:r>
      <w:r>
        <w:rPr>
          <w:rFonts w:hint="eastAsia" w:ascii="仿宋" w:hAnsi="仿宋" w:eastAsia="仿宋" w:cs="仿宋"/>
          <w:color w:val="000000"/>
          <w:sz w:val="32"/>
          <w:szCs w:val="32"/>
        </w:rPr>
        <w:t>有效提高了健康民生实事项目实施质量。</w:t>
      </w:r>
    </w:p>
    <w:p>
      <w:pPr>
        <w:keepNext w:val="0"/>
        <w:keepLines w:val="0"/>
        <w:pageBreakBefore w:val="0"/>
        <w:kinsoku/>
        <w:wordWrap/>
        <w:overflowPunct/>
        <w:topLinePunct w:val="0"/>
        <w:autoSpaceDE/>
        <w:autoSpaceDN/>
        <w:bidi w:val="0"/>
        <w:spacing w:line="600" w:lineRule="exact"/>
        <w:ind w:left="0"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四、项目完成情况</w:t>
      </w:r>
    </w:p>
    <w:p>
      <w:pPr>
        <w:keepNext w:val="0"/>
        <w:keepLines w:val="0"/>
        <w:pageBreakBefore w:val="0"/>
        <w:kinsoku/>
        <w:wordWrap/>
        <w:overflowPunct/>
        <w:topLinePunct w:val="0"/>
        <w:autoSpaceDE/>
        <w:autoSpaceDN/>
        <w:bidi w:val="0"/>
        <w:spacing w:line="600" w:lineRule="exact"/>
        <w:ind w:left="0" w:right="0" w:firstLine="643" w:firstLineChars="200"/>
        <w:textAlignment w:val="auto"/>
        <w:rPr>
          <w:rFonts w:ascii="仿宋" w:hAnsi="仿宋" w:eastAsia="仿宋" w:cs="仿宋"/>
          <w:bCs/>
          <w:color w:val="000000"/>
          <w:sz w:val="32"/>
          <w:szCs w:val="32"/>
        </w:rPr>
      </w:pPr>
      <w:r>
        <w:rPr>
          <w:rFonts w:hint="eastAsia" w:ascii="楷体" w:hAnsi="楷体" w:eastAsia="楷体" w:cs="楷体"/>
          <w:b/>
          <w:bCs/>
          <w:kern w:val="2"/>
          <w:sz w:val="32"/>
          <w:szCs w:val="32"/>
          <w:lang w:val="en-US" w:eastAsia="zh-CN" w:bidi="ar-SA"/>
        </w:rPr>
        <w:t>1.适龄妇女“两癌”免费检查项目（目标任务：13000）。</w:t>
      </w:r>
      <w:r>
        <w:rPr>
          <w:rFonts w:hint="eastAsia" w:ascii="仿宋" w:hAnsi="仿宋" w:eastAsia="仿宋" w:cs="仿宋"/>
          <w:bCs/>
          <w:color w:val="000000"/>
          <w:sz w:val="32"/>
          <w:szCs w:val="32"/>
        </w:rPr>
        <w:t>完成筛查人数14762人，完成全年目标任务数的113.55%，宫颈癌结案14762人，发现CIN1级229例，CIN2-3级95例，微小浸润癌3例，浸润癌3例。乳腺癌结案14762人，发现乳腺不典型增生1例，小叶原位癌1例，导管原位癌2例，浸润性导管癌5例，浸润性小叶癌1例，其它恶性肿瘤2例。宫颈癌早诊率97.03% ，乳腺癌早诊率70%。</w:t>
      </w:r>
    </w:p>
    <w:p>
      <w:pPr>
        <w:keepNext w:val="0"/>
        <w:keepLines w:val="0"/>
        <w:pageBreakBefore w:val="0"/>
        <w:kinsoku/>
        <w:wordWrap/>
        <w:overflowPunct/>
        <w:topLinePunct w:val="0"/>
        <w:autoSpaceDE/>
        <w:autoSpaceDN/>
        <w:bidi w:val="0"/>
        <w:spacing w:line="600" w:lineRule="exact"/>
        <w:ind w:left="0" w:right="0" w:firstLine="643" w:firstLineChars="200"/>
        <w:textAlignment w:val="auto"/>
        <w:rPr>
          <w:rFonts w:ascii="仿宋" w:hAnsi="仿宋" w:eastAsia="仿宋" w:cs="仿宋"/>
          <w:color w:val="000000"/>
          <w:sz w:val="32"/>
          <w:szCs w:val="32"/>
        </w:rPr>
      </w:pPr>
      <w:r>
        <w:rPr>
          <w:rFonts w:hint="eastAsia" w:ascii="楷体" w:hAnsi="楷体" w:eastAsia="楷体" w:cs="楷体"/>
          <w:b/>
          <w:bCs/>
          <w:kern w:val="2"/>
          <w:sz w:val="32"/>
          <w:szCs w:val="32"/>
          <w:lang w:val="en-US" w:eastAsia="zh-CN" w:bidi="ar-SA"/>
        </w:rPr>
        <w:t xml:space="preserve"> 2.免费产前筛查（目标任务：8600）。</w:t>
      </w:r>
      <w:r>
        <w:rPr>
          <w:rFonts w:hint="eastAsia" w:ascii="仿宋" w:hAnsi="仿宋" w:eastAsia="仿宋" w:cs="仿宋"/>
          <w:b/>
          <w:sz w:val="32"/>
          <w:szCs w:val="32"/>
        </w:rPr>
        <w:t xml:space="preserve"> </w:t>
      </w:r>
      <w:r>
        <w:rPr>
          <w:rFonts w:hint="eastAsia" w:ascii="仿宋" w:hAnsi="仿宋" w:eastAsia="仿宋" w:cs="仿宋"/>
          <w:color w:val="000000"/>
          <w:sz w:val="32"/>
          <w:szCs w:val="32"/>
        </w:rPr>
        <w:t xml:space="preserve">2021年1月1日至2021年12月31日完成产前筛查人数9328人，完成全年目标任务数的108.47%；其中高风险和临界高风险2448人，筛查异常率26.24%，产前筛查高危人群干预诊断率100.00%，检查诊断出37例异常出生缺陷胎儿，已全部终止妊娠，有效避免了严重出生缺陷儿的出生。          </w:t>
      </w:r>
    </w:p>
    <w:p>
      <w:pPr>
        <w:keepNext w:val="0"/>
        <w:keepLines w:val="0"/>
        <w:pageBreakBefore w:val="0"/>
        <w:kinsoku/>
        <w:wordWrap/>
        <w:overflowPunct/>
        <w:topLinePunct w:val="0"/>
        <w:autoSpaceDE/>
        <w:autoSpaceDN/>
        <w:bidi w:val="0"/>
        <w:spacing w:line="600" w:lineRule="exact"/>
        <w:ind w:left="0" w:right="0" w:firstLine="643" w:firstLineChars="200"/>
        <w:textAlignment w:val="auto"/>
        <w:rPr>
          <w:rFonts w:ascii="仿宋" w:hAnsi="仿宋" w:eastAsia="仿宋"/>
          <w:color w:val="000000" w:themeColor="text1"/>
          <w:sz w:val="32"/>
          <w:szCs w:val="32"/>
        </w:rPr>
      </w:pPr>
      <w:r>
        <w:rPr>
          <w:rFonts w:hint="eastAsia" w:ascii="楷体" w:hAnsi="楷体" w:eastAsia="楷体" w:cs="楷体"/>
          <w:b/>
          <w:bCs/>
          <w:kern w:val="2"/>
          <w:sz w:val="32"/>
          <w:szCs w:val="32"/>
          <w:lang w:val="en-US" w:eastAsia="zh-CN" w:bidi="ar-SA"/>
        </w:rPr>
        <w:t>3.NIPT（目标任务：应做尽做）。</w:t>
      </w:r>
      <w:r>
        <w:rPr>
          <w:rFonts w:hint="eastAsia" w:ascii="仿宋" w:hAnsi="仿宋" w:eastAsia="仿宋"/>
          <w:color w:val="000000" w:themeColor="text1"/>
          <w:sz w:val="32"/>
          <w:szCs w:val="32"/>
        </w:rPr>
        <w:t>全区完成孕产妇免费NIPT筛查9747人，筛查高风险90人，确诊21-三体14人、13-三体2人，其他异常14人。</w:t>
      </w:r>
    </w:p>
    <w:p>
      <w:pPr>
        <w:keepNext w:val="0"/>
        <w:keepLines w:val="0"/>
        <w:pageBreakBefore w:val="0"/>
        <w:kinsoku/>
        <w:wordWrap/>
        <w:overflowPunct/>
        <w:topLinePunct w:val="0"/>
        <w:autoSpaceDE/>
        <w:autoSpaceDN/>
        <w:bidi w:val="0"/>
        <w:spacing w:line="600" w:lineRule="exact"/>
        <w:ind w:left="0" w:right="0" w:firstLine="643" w:firstLineChars="200"/>
        <w:textAlignment w:val="auto"/>
        <w:rPr>
          <w:rFonts w:hint="eastAsia" w:ascii="仿宋" w:hAnsi="仿宋" w:eastAsia="仿宋" w:cs="仿宋"/>
          <w:bCs/>
          <w:color w:val="000000"/>
          <w:sz w:val="32"/>
          <w:szCs w:val="32"/>
          <w:lang w:eastAsia="zh-CN"/>
        </w:rPr>
      </w:pPr>
      <w:r>
        <w:rPr>
          <w:rFonts w:hint="eastAsia" w:ascii="楷体" w:hAnsi="楷体" w:eastAsia="楷体" w:cs="楷体"/>
          <w:b/>
          <w:bCs/>
          <w:kern w:val="2"/>
          <w:sz w:val="32"/>
          <w:szCs w:val="32"/>
          <w:lang w:val="en-US" w:eastAsia="zh-CN" w:bidi="ar-SA"/>
        </w:rPr>
        <w:t>4.新生儿多种遗传代谢性疾病筛查（目标任务：应做尽做）。</w:t>
      </w:r>
      <w:r>
        <w:rPr>
          <w:rFonts w:hint="eastAsia" w:ascii="仿宋" w:hAnsi="仿宋" w:eastAsia="仿宋" w:cs="仿宋"/>
          <w:bCs/>
          <w:color w:val="000000"/>
          <w:sz w:val="32"/>
          <w:szCs w:val="32"/>
        </w:rPr>
        <w:t>全区共有名9391新生儿进行了多种遗传代谢性疾病免费筛查，发现初筛阳性患儿550例，确诊甲低5例、G6PD28例，都进行了规范的诊治和随诊</w:t>
      </w:r>
      <w:r>
        <w:rPr>
          <w:rFonts w:hint="eastAsia" w:ascii="仿宋" w:hAnsi="仿宋" w:eastAsia="仿宋" w:cs="仿宋"/>
          <w:bCs/>
          <w:color w:val="000000"/>
          <w:sz w:val="32"/>
          <w:szCs w:val="32"/>
          <w:lang w:eastAsia="zh-CN"/>
        </w:rPr>
        <w:t>。</w:t>
      </w:r>
    </w:p>
    <w:p>
      <w:pPr>
        <w:keepNext w:val="0"/>
        <w:keepLines w:val="0"/>
        <w:pageBreakBefore w:val="0"/>
        <w:kinsoku/>
        <w:wordWrap/>
        <w:overflowPunct/>
        <w:topLinePunct w:val="0"/>
        <w:autoSpaceDE/>
        <w:autoSpaceDN/>
        <w:bidi w:val="0"/>
        <w:spacing w:line="600" w:lineRule="exact"/>
        <w:ind w:left="0" w:right="0" w:firstLine="643" w:firstLineChars="200"/>
        <w:textAlignment w:val="auto"/>
        <w:rPr>
          <w:rFonts w:ascii="仿宋" w:hAnsi="仿宋" w:eastAsia="仿宋" w:cs="仿宋"/>
          <w:bCs/>
          <w:color w:val="000000"/>
          <w:sz w:val="32"/>
          <w:szCs w:val="32"/>
        </w:rPr>
      </w:pPr>
      <w:r>
        <w:rPr>
          <w:rFonts w:hint="eastAsia" w:ascii="楷体" w:hAnsi="楷体" w:eastAsia="楷体" w:cs="楷体"/>
          <w:b/>
          <w:bCs/>
          <w:kern w:val="2"/>
          <w:sz w:val="32"/>
          <w:szCs w:val="32"/>
          <w:lang w:val="en-US" w:eastAsia="zh-CN" w:bidi="ar-SA"/>
        </w:rPr>
        <w:t>5.新生儿耳聋基因筛查（目标任务：应做尽做）。</w:t>
      </w:r>
      <w:r>
        <w:rPr>
          <w:rFonts w:hint="eastAsia" w:ascii="仿宋" w:hAnsi="仿宋" w:eastAsia="仿宋" w:cs="仿宋"/>
          <w:bCs/>
          <w:color w:val="000000"/>
          <w:sz w:val="32"/>
          <w:szCs w:val="32"/>
        </w:rPr>
        <w:t>全区共有9404名新生儿进行了耳聋基因免费筛查。发现结果异常的 442人（已经出结果的人），都进行了规范的诊治和随诊。</w:t>
      </w:r>
    </w:p>
    <w:p>
      <w:pPr>
        <w:keepNext w:val="0"/>
        <w:keepLines w:val="0"/>
        <w:pageBreakBefore w:val="0"/>
        <w:kinsoku/>
        <w:wordWrap/>
        <w:overflowPunct/>
        <w:topLinePunct w:val="0"/>
        <w:autoSpaceDE/>
        <w:autoSpaceDN/>
        <w:bidi w:val="0"/>
        <w:spacing w:line="600" w:lineRule="exact"/>
        <w:ind w:left="0"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五、存在的主要问题和困难</w:t>
      </w:r>
    </w:p>
    <w:p>
      <w:pPr>
        <w:keepNext w:val="0"/>
        <w:keepLines w:val="0"/>
        <w:pageBreakBefore w:val="0"/>
        <w:kinsoku/>
        <w:wordWrap/>
        <w:overflowPunct/>
        <w:topLinePunct w:val="0"/>
        <w:autoSpaceDE/>
        <w:autoSpaceDN/>
        <w:bidi w:val="0"/>
        <w:spacing w:line="600" w:lineRule="exact"/>
        <w:ind w:left="0" w:right="0" w:firstLine="643" w:firstLineChars="200"/>
        <w:textAlignment w:val="auto"/>
        <w:rPr>
          <w:rFonts w:ascii="仿宋" w:hAnsi="仿宋" w:eastAsia="仿宋" w:cs="仿宋"/>
          <w:bCs/>
          <w:color w:val="000000"/>
          <w:sz w:val="32"/>
          <w:szCs w:val="32"/>
        </w:rPr>
      </w:pPr>
      <w:r>
        <w:rPr>
          <w:rFonts w:hint="eastAsia" w:ascii="楷体" w:hAnsi="楷体" w:eastAsia="楷体" w:cs="楷体"/>
          <w:b/>
          <w:bCs/>
          <w:kern w:val="2"/>
          <w:sz w:val="32"/>
          <w:szCs w:val="32"/>
          <w:lang w:val="en-US" w:eastAsia="zh-CN" w:bidi="ar-SA"/>
        </w:rPr>
        <w:t>1.宣传工作不够深入。</w:t>
      </w:r>
      <w:r>
        <w:rPr>
          <w:rFonts w:hint="eastAsia" w:ascii="仿宋" w:hAnsi="仿宋" w:eastAsia="仿宋" w:cs="仿宋"/>
          <w:bCs/>
          <w:color w:val="000000"/>
          <w:sz w:val="32"/>
          <w:szCs w:val="32"/>
        </w:rPr>
        <w:t>目前项目没有充分利用电视、报纸等大媒体进行宣传，</w:t>
      </w:r>
      <w:r>
        <w:rPr>
          <w:rFonts w:hint="eastAsia" w:ascii="仿宋" w:hAnsi="仿宋" w:eastAsia="仿宋" w:cs="宋体"/>
          <w:bCs/>
          <w:color w:val="000000"/>
          <w:kern w:val="0"/>
          <w:sz w:val="32"/>
          <w:szCs w:val="32"/>
        </w:rPr>
        <w:t>一些政策还没有真正的宣传到群众中去，</w:t>
      </w:r>
      <w:r>
        <w:rPr>
          <w:rFonts w:hint="eastAsia" w:ascii="仿宋" w:hAnsi="仿宋" w:eastAsia="仿宋" w:cs="仿宋"/>
          <w:bCs/>
          <w:color w:val="000000"/>
          <w:sz w:val="32"/>
          <w:szCs w:val="32"/>
        </w:rPr>
        <w:t>导致有的对象错过了免费产前筛查时间或者</w:t>
      </w:r>
      <w:r>
        <w:rPr>
          <w:rFonts w:hint="eastAsia" w:ascii="仿宋" w:hAnsi="仿宋" w:eastAsia="仿宋" w:cs="仿宋"/>
          <w:bCs/>
          <w:color w:val="000000"/>
          <w:sz w:val="32"/>
          <w:szCs w:val="32"/>
          <w:lang w:eastAsia="zh-CN"/>
        </w:rPr>
        <w:t>因</w:t>
      </w:r>
      <w:r>
        <w:rPr>
          <w:rFonts w:hint="eastAsia" w:ascii="仿宋" w:hAnsi="仿宋" w:eastAsia="仿宋" w:cs="仿宋"/>
          <w:bCs/>
          <w:color w:val="000000"/>
          <w:sz w:val="32"/>
          <w:szCs w:val="32"/>
        </w:rPr>
        <w:t>没有居住证无法享受政策。</w:t>
      </w:r>
    </w:p>
    <w:p>
      <w:pPr>
        <w:keepNext w:val="0"/>
        <w:keepLines w:val="0"/>
        <w:pageBreakBefore w:val="0"/>
        <w:kinsoku/>
        <w:wordWrap/>
        <w:overflowPunct/>
        <w:topLinePunct w:val="0"/>
        <w:autoSpaceDE/>
        <w:autoSpaceDN/>
        <w:bidi w:val="0"/>
        <w:spacing w:line="600" w:lineRule="exact"/>
        <w:ind w:left="0" w:right="0" w:firstLine="643" w:firstLineChars="200"/>
        <w:textAlignment w:val="auto"/>
        <w:rPr>
          <w:rFonts w:ascii="仿宋" w:hAnsi="仿宋" w:eastAsia="仿宋" w:cs="仿宋"/>
          <w:bCs/>
          <w:color w:val="000000"/>
          <w:sz w:val="32"/>
          <w:szCs w:val="32"/>
        </w:rPr>
      </w:pPr>
      <w:r>
        <w:rPr>
          <w:rFonts w:hint="eastAsia" w:ascii="楷体" w:hAnsi="楷体" w:eastAsia="楷体" w:cs="楷体"/>
          <w:b/>
          <w:bCs/>
          <w:kern w:val="2"/>
          <w:sz w:val="32"/>
          <w:szCs w:val="32"/>
          <w:lang w:val="en-US" w:eastAsia="zh-CN" w:bidi="ar-SA"/>
        </w:rPr>
        <w:t>2.群众的保健意识有待提高。</w:t>
      </w:r>
      <w:r>
        <w:rPr>
          <w:rFonts w:hint="eastAsia" w:ascii="仿宋" w:hAnsi="仿宋" w:eastAsia="仿宋" w:cs="仿宋"/>
          <w:bCs/>
          <w:color w:val="000000"/>
          <w:sz w:val="32"/>
          <w:szCs w:val="32"/>
        </w:rPr>
        <w:t>“两癌”筛查部分对象对筛查阳性结果不太重视，进一步诊治依从性差。</w:t>
      </w:r>
    </w:p>
    <w:p>
      <w:pPr>
        <w:keepNext w:val="0"/>
        <w:keepLines w:val="0"/>
        <w:pageBreakBefore w:val="0"/>
        <w:kinsoku/>
        <w:wordWrap/>
        <w:overflowPunct/>
        <w:topLinePunct w:val="0"/>
        <w:autoSpaceDE/>
        <w:autoSpaceDN/>
        <w:bidi w:val="0"/>
        <w:spacing w:line="600" w:lineRule="exact"/>
        <w:ind w:left="0" w:right="0"/>
        <w:textAlignment w:val="auto"/>
        <w:rPr>
          <w:rFonts w:ascii="仿宋" w:hAnsi="仿宋" w:eastAsia="仿宋" w:cs="黑体"/>
          <w:sz w:val="32"/>
          <w:szCs w:val="32"/>
        </w:rPr>
      </w:pPr>
      <w:r>
        <w:rPr>
          <w:rFonts w:hint="eastAsia" w:ascii="仿宋" w:hAnsi="仿宋" w:eastAsia="仿宋" w:cs="黑体"/>
          <w:b/>
          <w:color w:val="000000"/>
          <w:kern w:val="0"/>
          <w:sz w:val="32"/>
          <w:szCs w:val="32"/>
        </w:rPr>
        <w:t xml:space="preserve"> </w:t>
      </w:r>
      <w:r>
        <w:rPr>
          <w:rFonts w:hint="eastAsia" w:ascii="黑体" w:hAnsi="黑体" w:eastAsia="黑体" w:cs="黑体"/>
          <w:b w:val="0"/>
          <w:bCs/>
          <w:color w:val="000000"/>
          <w:kern w:val="0"/>
          <w:sz w:val="32"/>
          <w:szCs w:val="32"/>
        </w:rPr>
        <w:t xml:space="preserve">   六、下一步工作措施</w:t>
      </w:r>
    </w:p>
    <w:p>
      <w:pPr>
        <w:pStyle w:val="5"/>
        <w:keepNext w:val="0"/>
        <w:keepLines w:val="0"/>
        <w:pageBreakBefore w:val="0"/>
        <w:kinsoku/>
        <w:wordWrap/>
        <w:overflowPunct/>
        <w:topLinePunct w:val="0"/>
        <w:autoSpaceDE/>
        <w:autoSpaceDN/>
        <w:bidi w:val="0"/>
        <w:spacing w:before="0" w:beforeAutospacing="0" w:after="0" w:afterAutospacing="0" w:line="600" w:lineRule="exact"/>
        <w:ind w:left="0" w:right="0"/>
        <w:textAlignment w:val="auto"/>
        <w:rPr>
          <w:rFonts w:ascii="仿宋_GB2312" w:hAnsi="仿宋_GB2312" w:eastAsia="仿宋_GB2312" w:cs="仿宋_GB2312"/>
          <w:sz w:val="32"/>
          <w:szCs w:val="32"/>
          <w:shd w:val="clear" w:color="auto" w:fill="FFFFFF"/>
        </w:rPr>
      </w:pPr>
      <w:r>
        <w:rPr>
          <w:rFonts w:hint="eastAsia" w:ascii="仿宋" w:hAnsi="仿宋" w:eastAsia="仿宋" w:cs="仿宋"/>
          <w:b/>
          <w:bCs/>
          <w:color w:val="000000"/>
          <w:sz w:val="32"/>
          <w:szCs w:val="32"/>
        </w:rPr>
        <w:t xml:space="preserve">   </w:t>
      </w:r>
      <w:r>
        <w:rPr>
          <w:rFonts w:hint="eastAsia" w:ascii="楷体" w:hAnsi="楷体" w:eastAsia="楷体" w:cs="楷体"/>
          <w:b/>
          <w:bCs/>
          <w:kern w:val="2"/>
          <w:sz w:val="32"/>
          <w:szCs w:val="32"/>
          <w:lang w:val="en-US" w:eastAsia="zh-CN" w:bidi="ar-SA"/>
        </w:rPr>
        <w:t xml:space="preserve"> 1.加强人员培训。</w:t>
      </w:r>
      <w:r>
        <w:rPr>
          <w:rFonts w:hint="eastAsia" w:ascii="仿宋" w:hAnsi="仿宋" w:eastAsia="仿宋" w:cs="仿宋_GB2312"/>
          <w:sz w:val="32"/>
          <w:szCs w:val="32"/>
          <w:shd w:val="clear" w:color="auto" w:fill="FFFFFF"/>
        </w:rPr>
        <w:t>每周召开的例会上，要求各社区卫生服务中心妇幼信息专干对街道的</w:t>
      </w:r>
      <w:r>
        <w:rPr>
          <w:rFonts w:hint="eastAsia" w:ascii="仿宋" w:hAnsi="仿宋" w:eastAsia="仿宋" w:cs="仿宋"/>
          <w:bCs/>
          <w:sz w:val="32"/>
          <w:szCs w:val="32"/>
        </w:rPr>
        <w:t>健康民生进展情况和实施过程中出现的问题进行汇报，共同探讨与解决问题；对业务人员进行培训，加强对</w:t>
      </w:r>
      <w:r>
        <w:rPr>
          <w:rFonts w:hint="eastAsia" w:ascii="仿宋" w:hAnsi="仿宋" w:eastAsia="仿宋" w:cs="仿宋"/>
          <w:sz w:val="32"/>
          <w:szCs w:val="32"/>
        </w:rPr>
        <w:t>健康民生工程政策的理解，确保上传的数据精确、真实；要求社区卫生服务中心与街道紧密配合合作，加强部门协作，提高服务效能。</w:t>
      </w:r>
    </w:p>
    <w:p>
      <w:pPr>
        <w:keepNext w:val="0"/>
        <w:keepLines w:val="0"/>
        <w:pageBreakBefore w:val="0"/>
        <w:kinsoku/>
        <w:wordWrap/>
        <w:overflowPunct/>
        <w:topLinePunct w:val="0"/>
        <w:autoSpaceDE/>
        <w:autoSpaceDN/>
        <w:bidi w:val="0"/>
        <w:spacing w:line="600" w:lineRule="exact"/>
        <w:ind w:left="0" w:right="0" w:firstLine="643" w:firstLineChars="200"/>
        <w:textAlignment w:val="auto"/>
        <w:rPr>
          <w:rFonts w:ascii="仿宋" w:hAnsi="仿宋" w:eastAsia="仿宋" w:cs="仿宋_GB2312"/>
          <w:sz w:val="32"/>
          <w:szCs w:val="32"/>
          <w:shd w:val="clear" w:color="auto" w:fill="FFFFFF"/>
        </w:rPr>
      </w:pPr>
      <w:r>
        <w:rPr>
          <w:rFonts w:hint="eastAsia" w:ascii="楷体" w:hAnsi="楷体" w:eastAsia="楷体" w:cs="楷体"/>
          <w:b/>
          <w:bCs/>
          <w:kern w:val="2"/>
          <w:sz w:val="32"/>
          <w:szCs w:val="32"/>
          <w:lang w:val="en-US" w:eastAsia="zh-CN" w:bidi="ar-SA"/>
        </w:rPr>
        <w:t>2.进一步做好健康民生宣教。</w:t>
      </w:r>
      <w:r>
        <w:rPr>
          <w:rFonts w:hint="eastAsia" w:ascii="仿宋" w:hAnsi="仿宋" w:eastAsia="仿宋" w:cs="仿宋_GB2312"/>
          <w:sz w:val="32"/>
          <w:szCs w:val="32"/>
          <w:shd w:val="clear" w:color="auto" w:fill="FFFFFF"/>
        </w:rPr>
        <w:t>开展全方位、多层次、立体式的宣传活动。借助室外电子显示屏、公交车显示屏等服务平台进行项目宣传。在孕妇学校免费授课，讲授产筛知识，努力提高广大孕妇对免费产前筛查与诊断服务的知晓率、认知度，加强其参与项目的自觉性、主动性。在各街道社区卫生服务中心、助产医疗机构门诊大厅、产科住院病房摆放宣传架、内设各种有关民生宣传资料，并将宣传手册发放到每个孕产妇手中，大力营造宣传氛围。</w:t>
      </w:r>
      <w:r>
        <w:rPr>
          <w:rFonts w:hint="eastAsia" w:ascii="仿宋" w:hAnsi="仿宋" w:eastAsia="仿宋" w:cs="仿宋"/>
          <w:color w:val="000000"/>
          <w:sz w:val="32"/>
          <w:szCs w:val="32"/>
          <w:shd w:val="clear" w:color="auto" w:fill="FFFFFF"/>
        </w:rPr>
        <w:t>对未按时做产筛的孕妇予以短信、微信和电话等温馨提示通知孕妇进行筛查。</w:t>
      </w:r>
    </w:p>
    <w:p>
      <w:pPr>
        <w:spacing w:line="600" w:lineRule="exact"/>
        <w:ind w:firstLine="560" w:firstLineChars="200"/>
        <w:rPr>
          <w:rFonts w:ascii="仿宋" w:hAnsi="仿宋" w:eastAsia="仿宋" w:cs="仿宋"/>
          <w:color w:val="000000"/>
          <w:sz w:val="28"/>
          <w:szCs w:val="28"/>
          <w:shd w:val="clear" w:color="auto" w:fill="FFFFFF"/>
        </w:rPr>
      </w:pPr>
    </w:p>
    <w:p>
      <w:pPr>
        <w:spacing w:line="600" w:lineRule="exact"/>
        <w:ind w:firstLine="560" w:firstLineChars="200"/>
        <w:rPr>
          <w:rFonts w:ascii="仿宋" w:hAnsi="仿宋" w:eastAsia="仿宋" w:cs="仿宋"/>
          <w:color w:val="000000"/>
          <w:sz w:val="28"/>
          <w:szCs w:val="28"/>
          <w:shd w:val="clear" w:color="auto" w:fill="FFFFFF"/>
        </w:rPr>
      </w:pPr>
    </w:p>
    <w:p>
      <w:pPr>
        <w:spacing w:line="600" w:lineRule="exact"/>
        <w:ind w:firstLine="560" w:firstLineChars="200"/>
        <w:rPr>
          <w:rFonts w:ascii="仿宋" w:hAnsi="仿宋" w:eastAsia="仿宋" w:cs="仿宋"/>
          <w:color w:val="000000"/>
          <w:sz w:val="28"/>
          <w:szCs w:val="28"/>
          <w:shd w:val="clear" w:color="auto" w:fill="FFFFFF"/>
        </w:rPr>
      </w:pPr>
    </w:p>
    <w:p>
      <w:pPr>
        <w:spacing w:line="600" w:lineRule="exact"/>
        <w:ind w:firstLine="560" w:firstLineChars="200"/>
        <w:rPr>
          <w:rFonts w:ascii="仿宋" w:hAnsi="仿宋" w:eastAsia="仿宋" w:cs="仿宋"/>
          <w:color w:val="000000"/>
          <w:sz w:val="28"/>
          <w:szCs w:val="28"/>
          <w:shd w:val="clear" w:color="auto" w:fill="FFFFFF"/>
        </w:rPr>
      </w:pPr>
    </w:p>
    <w:p>
      <w:pPr>
        <w:spacing w:line="60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w:t>
      </w:r>
    </w:p>
    <w:p>
      <w:pPr>
        <w:spacing w:line="600" w:lineRule="exact"/>
        <w:ind w:firstLine="640" w:firstLineChars="200"/>
        <w:rPr>
          <w:rFonts w:ascii="仿宋" w:hAnsi="仿宋" w:eastAsia="仿宋" w:cs="仿宋"/>
          <w:sz w:val="32"/>
          <w:szCs w:val="32"/>
        </w:rPr>
      </w:pPr>
    </w:p>
    <w:p>
      <w:pPr>
        <w:spacing w:line="600" w:lineRule="exact"/>
        <w:ind w:firstLine="600" w:firstLineChars="200"/>
        <w:rPr>
          <w:rFonts w:ascii="仿宋_GB2312" w:hAnsi="仿宋_GB2312" w:eastAsia="仿宋_GB2312"/>
          <w:bCs/>
          <w:color w:val="000000"/>
          <w:sz w:val="30"/>
          <w:szCs w:val="32"/>
        </w:rPr>
      </w:pPr>
    </w:p>
    <w:p>
      <w:pPr>
        <w:spacing w:line="600" w:lineRule="exact"/>
        <w:ind w:firstLine="600" w:firstLineChars="200"/>
        <w:rPr>
          <w:rFonts w:ascii="仿宋_GB2312" w:hAnsi="仿宋_GB2312" w:eastAsia="仿宋_GB2312"/>
          <w:bCs/>
          <w:color w:val="000000"/>
          <w:sz w:val="30"/>
          <w:szCs w:val="32"/>
        </w:rPr>
      </w:pPr>
    </w:p>
    <w:p>
      <w:pPr>
        <w:spacing w:line="600" w:lineRule="exact"/>
        <w:ind w:firstLine="600" w:firstLineChars="200"/>
        <w:rPr>
          <w:rFonts w:ascii="仿宋_GB2312" w:hAnsi="仿宋_GB2312" w:eastAsia="仿宋_GB2312"/>
          <w:bCs/>
          <w:color w:val="000000"/>
          <w:sz w:val="30"/>
          <w:szCs w:val="32"/>
        </w:rPr>
      </w:pPr>
    </w:p>
    <w:p>
      <w:pPr>
        <w:spacing w:line="600" w:lineRule="exact"/>
        <w:ind w:firstLine="600" w:firstLineChars="200"/>
        <w:rPr>
          <w:rFonts w:ascii="仿宋_GB2312" w:hAnsi="仿宋_GB2312" w:eastAsia="仿宋_GB2312"/>
          <w:bCs/>
          <w:color w:val="000000"/>
          <w:sz w:val="30"/>
          <w:szCs w:val="32"/>
        </w:rPr>
      </w:pPr>
    </w:p>
    <w:p>
      <w:pPr>
        <w:spacing w:line="600" w:lineRule="exact"/>
        <w:ind w:firstLine="600" w:firstLineChars="200"/>
        <w:rPr>
          <w:rFonts w:ascii="仿宋_GB2312" w:hAnsi="仿宋_GB2312" w:eastAsia="仿宋_GB2312"/>
          <w:bCs/>
          <w:color w:val="000000"/>
          <w:sz w:val="30"/>
          <w:szCs w:val="32"/>
        </w:rPr>
      </w:pPr>
    </w:p>
    <w:p>
      <w:pPr>
        <w:spacing w:line="600" w:lineRule="exact"/>
        <w:ind w:firstLine="600" w:firstLineChars="200"/>
        <w:rPr>
          <w:rFonts w:ascii="仿宋_GB2312" w:hAnsi="仿宋_GB2312" w:eastAsia="仿宋_GB2312"/>
          <w:bCs/>
          <w:color w:val="000000"/>
          <w:sz w:val="30"/>
          <w:szCs w:val="32"/>
        </w:rPr>
      </w:pPr>
    </w:p>
    <w:p>
      <w:pPr>
        <w:spacing w:line="600" w:lineRule="exact"/>
        <w:ind w:firstLine="600" w:firstLineChars="200"/>
        <w:rPr>
          <w:rFonts w:ascii="仿宋_GB2312" w:hAnsi="仿宋_GB2312" w:eastAsia="仿宋_GB2312"/>
          <w:bCs/>
          <w:color w:val="000000"/>
          <w:sz w:val="30"/>
          <w:szCs w:val="32"/>
        </w:rPr>
      </w:pPr>
    </w:p>
    <w:p>
      <w:pPr>
        <w:spacing w:line="600" w:lineRule="exact"/>
        <w:ind w:firstLine="600" w:firstLineChars="200"/>
        <w:rPr>
          <w:rFonts w:ascii="仿宋_GB2312" w:hAnsi="仿宋_GB2312" w:eastAsia="仿宋_GB2312"/>
          <w:bCs/>
          <w:color w:val="000000"/>
          <w:sz w:val="30"/>
          <w:szCs w:val="32"/>
        </w:rPr>
      </w:pPr>
    </w:p>
    <w:p>
      <w:pPr>
        <w:spacing w:line="600" w:lineRule="exact"/>
        <w:ind w:firstLine="600" w:firstLineChars="200"/>
        <w:rPr>
          <w:rFonts w:ascii="仿宋_GB2312" w:hAnsi="仿宋_GB2312" w:eastAsia="仿宋_GB2312"/>
          <w:bCs/>
          <w:color w:val="000000"/>
          <w:sz w:val="30"/>
          <w:szCs w:val="32"/>
        </w:rPr>
      </w:pPr>
    </w:p>
    <w:p>
      <w:pPr>
        <w:spacing w:line="600" w:lineRule="exact"/>
        <w:ind w:firstLine="600" w:firstLineChars="200"/>
        <w:rPr>
          <w:rFonts w:ascii="仿宋_GB2312" w:hAnsi="仿宋_GB2312" w:eastAsia="仿宋_GB2312"/>
          <w:bCs/>
          <w:color w:val="000000"/>
          <w:sz w:val="30"/>
          <w:szCs w:val="32"/>
        </w:rPr>
      </w:pPr>
    </w:p>
    <w:p>
      <w:pPr>
        <w:spacing w:line="600" w:lineRule="exact"/>
        <w:ind w:firstLine="600" w:firstLineChars="200"/>
        <w:rPr>
          <w:rFonts w:ascii="仿宋_GB2312" w:hAnsi="仿宋_GB2312" w:eastAsia="仿宋_GB2312"/>
          <w:bCs/>
          <w:color w:val="000000"/>
          <w:sz w:val="30"/>
          <w:szCs w:val="32"/>
        </w:rPr>
      </w:pPr>
    </w:p>
    <w:p>
      <w:pPr>
        <w:spacing w:line="600" w:lineRule="exact"/>
        <w:ind w:firstLine="600" w:firstLineChars="200"/>
        <w:rPr>
          <w:rFonts w:ascii="仿宋_GB2312" w:hAnsi="仿宋_GB2312" w:eastAsia="仿宋_GB2312"/>
          <w:bCs/>
          <w:color w:val="000000"/>
          <w:sz w:val="30"/>
          <w:szCs w:val="32"/>
        </w:rPr>
      </w:pPr>
    </w:p>
    <w:p>
      <w:pPr>
        <w:spacing w:line="600" w:lineRule="exact"/>
        <w:jc w:val="left"/>
        <w:rPr>
          <w:rFonts w:ascii="仿宋_GB2312" w:hAnsi="仿宋_GB2312" w:eastAsia="仿宋_GB2312"/>
          <w:bCs/>
          <w:color w:val="000000"/>
          <w:sz w:val="30"/>
          <w:szCs w:val="32"/>
        </w:rPr>
      </w:pPr>
    </w:p>
    <w:p>
      <w:pPr>
        <w:spacing w:line="600" w:lineRule="exact"/>
        <w:rPr>
          <w:rFonts w:hint="eastAsia" w:ascii="楷体" w:hAnsi="楷体" w:eastAsia="楷体" w:cs="楷体"/>
          <w:b/>
          <w:bCs/>
          <w:sz w:val="28"/>
          <w:szCs w:val="28"/>
        </w:rPr>
      </w:pPr>
      <w:r>
        <w:rPr>
          <w:rFonts w:hint="eastAsia" w:ascii="楷体" w:hAnsi="楷体" w:eastAsia="楷体" w:cs="楷体"/>
          <w:b/>
          <w:bCs/>
          <w:sz w:val="28"/>
          <w:szCs w:val="28"/>
        </w:rPr>
        <w:t>附件2</w:t>
      </w:r>
    </w:p>
    <w:p>
      <w:pPr>
        <w:widowControl/>
        <w:spacing w:line="60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项目支出绩效自评表</w:t>
      </w:r>
    </w:p>
    <w:tbl>
      <w:tblPr>
        <w:tblStyle w:val="6"/>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762"/>
        <w:gridCol w:w="854"/>
        <w:gridCol w:w="461"/>
        <w:gridCol w:w="2850"/>
        <w:gridCol w:w="263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blHeader/>
          <w:jc w:val="center"/>
        </w:trPr>
        <w:tc>
          <w:tcPr>
            <w:tcW w:w="41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黑体" w:cs="Times New Roman"/>
                <w:color w:val="000000"/>
                <w:kern w:val="0"/>
                <w:sz w:val="20"/>
                <w:lang w:bidi="ar"/>
              </w:rPr>
            </w:pPr>
            <w:r>
              <w:rPr>
                <w:rFonts w:hint="default" w:ascii="Times New Roman" w:hAnsi="Times New Roman" w:eastAsia="黑体" w:cs="Times New Roman"/>
                <w:color w:val="000000"/>
                <w:kern w:val="0"/>
                <w:sz w:val="20"/>
                <w:lang w:bidi="ar"/>
              </w:rPr>
              <w:t>一级</w:t>
            </w:r>
          </w:p>
          <w:p>
            <w:pPr>
              <w:widowControl/>
              <w:spacing w:line="280" w:lineRule="exact"/>
              <w:jc w:val="center"/>
              <w:textAlignment w:val="center"/>
              <w:rPr>
                <w:rFonts w:hint="default" w:ascii="Times New Roman" w:hAnsi="Times New Roman" w:eastAsia="黑体" w:cs="Times New Roman"/>
                <w:color w:val="000000"/>
                <w:sz w:val="20"/>
              </w:rPr>
            </w:pPr>
            <w:r>
              <w:rPr>
                <w:rFonts w:hint="default" w:ascii="Times New Roman" w:hAnsi="Times New Roman" w:eastAsia="黑体" w:cs="Times New Roman"/>
                <w:color w:val="000000"/>
                <w:kern w:val="0"/>
                <w:sz w:val="20"/>
                <w:lang w:bidi="ar"/>
              </w:rPr>
              <w:t>指标</w:t>
            </w:r>
          </w:p>
        </w:tc>
        <w:tc>
          <w:tcPr>
            <w:tcW w:w="40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黑体" w:cs="Times New Roman"/>
                <w:color w:val="000000"/>
                <w:kern w:val="0"/>
                <w:sz w:val="20"/>
                <w:lang w:bidi="ar"/>
              </w:rPr>
            </w:pPr>
            <w:r>
              <w:rPr>
                <w:rFonts w:hint="default" w:ascii="Times New Roman" w:hAnsi="Times New Roman" w:eastAsia="黑体" w:cs="Times New Roman"/>
                <w:color w:val="000000"/>
                <w:kern w:val="0"/>
                <w:sz w:val="20"/>
                <w:lang w:bidi="ar"/>
              </w:rPr>
              <w:t>二级</w:t>
            </w:r>
          </w:p>
          <w:p>
            <w:pPr>
              <w:widowControl/>
              <w:spacing w:line="280" w:lineRule="exact"/>
              <w:jc w:val="center"/>
              <w:textAlignment w:val="center"/>
              <w:rPr>
                <w:rFonts w:hint="default" w:ascii="Times New Roman" w:hAnsi="Times New Roman" w:eastAsia="黑体" w:cs="Times New Roman"/>
                <w:color w:val="000000"/>
                <w:sz w:val="20"/>
              </w:rPr>
            </w:pPr>
            <w:r>
              <w:rPr>
                <w:rFonts w:hint="default" w:ascii="Times New Roman" w:hAnsi="Times New Roman" w:eastAsia="黑体" w:cs="Times New Roman"/>
                <w:color w:val="000000"/>
                <w:kern w:val="0"/>
                <w:sz w:val="20"/>
                <w:lang w:bidi="ar"/>
              </w:rPr>
              <w:t>指标</w:t>
            </w: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黑体" w:cs="Times New Roman"/>
                <w:color w:val="000000"/>
                <w:kern w:val="0"/>
                <w:sz w:val="20"/>
                <w:lang w:bidi="ar"/>
              </w:rPr>
            </w:pPr>
            <w:r>
              <w:rPr>
                <w:rFonts w:hint="default" w:ascii="Times New Roman" w:hAnsi="Times New Roman" w:eastAsia="黑体" w:cs="Times New Roman"/>
                <w:color w:val="000000"/>
                <w:kern w:val="0"/>
                <w:sz w:val="20"/>
                <w:lang w:bidi="ar"/>
              </w:rPr>
              <w:t>三级</w:t>
            </w:r>
          </w:p>
          <w:p>
            <w:pPr>
              <w:widowControl/>
              <w:spacing w:line="280" w:lineRule="exact"/>
              <w:jc w:val="center"/>
              <w:textAlignment w:val="center"/>
              <w:rPr>
                <w:rFonts w:hint="default" w:ascii="Times New Roman" w:hAnsi="Times New Roman" w:eastAsia="黑体" w:cs="Times New Roman"/>
                <w:color w:val="000000"/>
                <w:sz w:val="20"/>
              </w:rPr>
            </w:pPr>
            <w:r>
              <w:rPr>
                <w:rFonts w:hint="default" w:ascii="Times New Roman" w:hAnsi="Times New Roman" w:eastAsia="黑体" w:cs="Times New Roman"/>
                <w:color w:val="000000"/>
                <w:kern w:val="0"/>
                <w:sz w:val="20"/>
                <w:lang w:bidi="ar"/>
              </w:rPr>
              <w:t>指标</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黑体" w:cs="Times New Roman"/>
                <w:color w:val="000000"/>
                <w:sz w:val="20"/>
              </w:rPr>
            </w:pPr>
            <w:r>
              <w:rPr>
                <w:rFonts w:hint="default" w:ascii="Times New Roman" w:hAnsi="Times New Roman" w:eastAsia="黑体" w:cs="Times New Roman"/>
                <w:color w:val="000000"/>
                <w:kern w:val="0"/>
                <w:sz w:val="20"/>
                <w:lang w:bidi="ar"/>
              </w:rPr>
              <w:t>分值</w:t>
            </w:r>
          </w:p>
        </w:tc>
        <w:tc>
          <w:tcPr>
            <w:tcW w:w="1531"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黑体" w:cs="Times New Roman"/>
                <w:color w:val="000000"/>
                <w:sz w:val="20"/>
              </w:rPr>
            </w:pPr>
            <w:r>
              <w:rPr>
                <w:rFonts w:hint="default" w:ascii="Times New Roman" w:hAnsi="Times New Roman" w:eastAsia="黑体" w:cs="Times New Roman"/>
                <w:color w:val="000000"/>
                <w:kern w:val="0"/>
                <w:sz w:val="20"/>
                <w:lang w:bidi="ar"/>
              </w:rPr>
              <w:t>评分要点</w:t>
            </w:r>
          </w:p>
        </w:tc>
        <w:tc>
          <w:tcPr>
            <w:tcW w:w="1415"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黑体" w:cs="Times New Roman"/>
                <w:color w:val="000000"/>
                <w:sz w:val="20"/>
              </w:rPr>
            </w:pPr>
            <w:r>
              <w:rPr>
                <w:rFonts w:hint="default" w:ascii="Times New Roman" w:hAnsi="Times New Roman" w:eastAsia="黑体" w:cs="Times New Roman"/>
                <w:color w:val="000000"/>
                <w:kern w:val="0"/>
                <w:sz w:val="20"/>
                <w:lang w:bidi="ar"/>
              </w:rPr>
              <w:t>评分标准</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黑体" w:cs="Times New Roman"/>
                <w:color w:val="000000"/>
                <w:kern w:val="0"/>
                <w:sz w:val="20"/>
                <w:lang w:bidi="ar"/>
              </w:rPr>
            </w:pPr>
            <w:r>
              <w:rPr>
                <w:rFonts w:hint="default" w:ascii="Times New Roman" w:hAnsi="Times New Roman" w:eastAsia="黑体" w:cs="Times New Roman"/>
                <w:color w:val="000000"/>
                <w:kern w:val="0"/>
                <w:sz w:val="20"/>
                <w:lang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1" w:hRule="atLeast"/>
          <w:jc w:val="center"/>
        </w:trPr>
        <w:tc>
          <w:tcPr>
            <w:tcW w:w="419" w:type="pct"/>
            <w:vMerge w:val="restart"/>
            <w:noWrap w:val="0"/>
            <w:tcMar>
              <w:top w:w="15" w:type="dxa"/>
              <w:left w:w="15" w:type="dxa"/>
              <w:right w:w="15" w:type="dxa"/>
            </w:tcMar>
            <w:vAlign w:val="center"/>
          </w:tcPr>
          <w:p>
            <w:pPr>
              <w:widowControl/>
              <w:spacing w:line="280" w:lineRule="exact"/>
              <w:jc w:val="center"/>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项目</w:t>
            </w:r>
          </w:p>
          <w:p>
            <w:pPr>
              <w:widowControl/>
              <w:spacing w:line="280" w:lineRule="exact"/>
              <w:jc w:val="center"/>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决策</w:t>
            </w:r>
          </w:p>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（16分）</w:t>
            </w:r>
          </w:p>
        </w:tc>
        <w:tc>
          <w:tcPr>
            <w:tcW w:w="409" w:type="pct"/>
            <w:vMerge w:val="restar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项目</w:t>
            </w:r>
          </w:p>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立项</w:t>
            </w:r>
          </w:p>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（5分）</w:t>
            </w: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立项依据充分性</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2</w:t>
            </w:r>
          </w:p>
        </w:tc>
        <w:tc>
          <w:tcPr>
            <w:tcW w:w="1531" w:type="pct"/>
            <w:noWrap w:val="0"/>
            <w:tcMar>
              <w:top w:w="15" w:type="dxa"/>
              <w:left w:w="15" w:type="dxa"/>
              <w:right w:w="15" w:type="dxa"/>
            </w:tcMar>
            <w:vAlign w:val="center"/>
          </w:tcPr>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①项目立项是否符合国家、省市法律法规、国民经济发展规划和相关政策；</w:t>
            </w:r>
          </w:p>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②项目立项是否符合行业发展规划和政策要求；</w:t>
            </w:r>
          </w:p>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③项目立项是否与部门职责范围相符，属于部门履职所需；</w:t>
            </w:r>
          </w:p>
          <w:p>
            <w:pPr>
              <w:widowControl/>
              <w:spacing w:line="280" w:lineRule="exact"/>
              <w:textAlignment w:val="center"/>
              <w:rPr>
                <w:rFonts w:hint="eastAsia" w:ascii="Times New Roman" w:hAnsi="Times New Roman" w:eastAsia="宋体" w:cs="Times New Roman"/>
                <w:color w:val="000000"/>
                <w:sz w:val="20"/>
                <w:lang w:eastAsia="zh-CN"/>
              </w:rPr>
            </w:pPr>
            <w:r>
              <w:rPr>
                <w:rFonts w:hint="default" w:ascii="Times New Roman" w:hAnsi="Times New Roman" w:eastAsia="宋体" w:cs="Times New Roman"/>
                <w:color w:val="000000"/>
                <w:kern w:val="0"/>
                <w:sz w:val="20"/>
                <w:lang w:bidi="ar"/>
              </w:rPr>
              <w:t>④项目是否属于公共财政支持范围，是否符合中央、地方事权支出责任划分原则</w:t>
            </w:r>
            <w:r>
              <w:rPr>
                <w:rFonts w:hint="eastAsia" w:eastAsia="宋体" w:cs="Times New Roman"/>
                <w:color w:val="000000"/>
                <w:kern w:val="0"/>
                <w:sz w:val="20"/>
                <w:lang w:eastAsia="zh-CN" w:bidi="ar"/>
              </w:rPr>
              <w:t>。</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①、②、③、④各0.5分，否则，酌情扣分。</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1"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立项程序规范性</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3</w:t>
            </w:r>
          </w:p>
        </w:tc>
        <w:tc>
          <w:tcPr>
            <w:tcW w:w="1531" w:type="pct"/>
            <w:noWrap w:val="0"/>
            <w:tcMar>
              <w:top w:w="15" w:type="dxa"/>
              <w:left w:w="15" w:type="dxa"/>
              <w:right w:w="15" w:type="dxa"/>
            </w:tcMar>
            <w:vAlign w:val="center"/>
          </w:tcPr>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①项目是否按照规定的程序申请设立；</w:t>
            </w:r>
          </w:p>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②审批文件、合同及材料是否符合相关要求；</w:t>
            </w:r>
          </w:p>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③事前是否已经过必要的可行性研究、专家论证、风险评估、绩效评估、集体决策。</w:t>
            </w:r>
          </w:p>
        </w:tc>
        <w:tc>
          <w:tcPr>
            <w:tcW w:w="1415" w:type="pct"/>
            <w:noWrap w:val="0"/>
            <w:tcMar>
              <w:top w:w="15" w:type="dxa"/>
              <w:left w:w="15" w:type="dxa"/>
              <w:right w:w="15" w:type="dxa"/>
            </w:tcMar>
            <w:vAlign w:val="center"/>
          </w:tcPr>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①按照规定的程序申请设立计1分，否则，酌情扣分；</w:t>
            </w:r>
          </w:p>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②审批文件、合同及材料符合相关要求计1份，否则，酌情扣分；</w:t>
            </w:r>
          </w:p>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③事前是否已经过必要的可行性研究、专家论证、风险评估、绩效评估、集体决策计1分，否则，酌情扣分。</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vMerge w:val="restar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绩效</w:t>
            </w:r>
          </w:p>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目标</w:t>
            </w:r>
          </w:p>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（4分）</w:t>
            </w: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绩效目标合理性</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2</w:t>
            </w:r>
          </w:p>
        </w:tc>
        <w:tc>
          <w:tcPr>
            <w:tcW w:w="1531"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①项目是否有绩效目标；②项目绩效目标与实际工作内容是否具有相关性；③项目绩效目标是否全面反映项目应达到的数量、质量、时效、成本及预期效益；④是否与预算确定的项目投资额或资金量相匹配。</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①、②、③、④、各0.5分，否则，酌情扣分。</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绩效指标明确性</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2</w:t>
            </w:r>
          </w:p>
        </w:tc>
        <w:tc>
          <w:tcPr>
            <w:tcW w:w="1531" w:type="pct"/>
            <w:noWrap w:val="0"/>
            <w:tcMar>
              <w:top w:w="15" w:type="dxa"/>
              <w:left w:w="15" w:type="dxa"/>
              <w:right w:w="15" w:type="dxa"/>
            </w:tcMar>
            <w:vAlign w:val="center"/>
          </w:tcPr>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①是否将项目绩效目标细化分解为具体的绩效指标；</w:t>
            </w:r>
          </w:p>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②是否通过清晰、可衡量的指标值予以体现；</w:t>
            </w:r>
          </w:p>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③是否与项目目标任务数或计划数相对应。</w:t>
            </w:r>
          </w:p>
        </w:tc>
        <w:tc>
          <w:tcPr>
            <w:tcW w:w="1415" w:type="pct"/>
            <w:noWrap w:val="0"/>
            <w:tcMar>
              <w:top w:w="15" w:type="dxa"/>
              <w:left w:w="15" w:type="dxa"/>
              <w:right w:w="15" w:type="dxa"/>
            </w:tcMar>
            <w:vAlign w:val="center"/>
          </w:tcPr>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①项目绩效目标细化分解为具体的绩效指标得1分，否则酌情扣分，扣完为止；</w:t>
            </w:r>
          </w:p>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②通过清晰、可衡量的指标值予以体现得0.5分，否则酌情扣分，扣完为止；</w:t>
            </w:r>
          </w:p>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③与项目目标任务数或计划数相对应得0.5分，否则酌情扣分，扣完为止。</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4"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资金</w:t>
            </w:r>
          </w:p>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投入</w:t>
            </w:r>
          </w:p>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（7分）</w:t>
            </w:r>
          </w:p>
        </w:tc>
        <w:tc>
          <w:tcPr>
            <w:tcW w:w="459" w:type="pct"/>
            <w:noWrap/>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预算编制科学性</w:t>
            </w:r>
          </w:p>
        </w:tc>
        <w:tc>
          <w:tcPr>
            <w:tcW w:w="248" w:type="pct"/>
            <w:noWrap/>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2</w:t>
            </w:r>
          </w:p>
        </w:tc>
        <w:tc>
          <w:tcPr>
            <w:tcW w:w="1531" w:type="pct"/>
            <w:noWrap w:val="0"/>
            <w:tcMar>
              <w:top w:w="15" w:type="dxa"/>
              <w:left w:w="15" w:type="dxa"/>
              <w:right w:w="15" w:type="dxa"/>
            </w:tcMar>
            <w:vAlign w:val="center"/>
          </w:tcPr>
          <w:p>
            <w:pPr>
              <w:widowControl/>
              <w:spacing w:line="280" w:lineRule="exact"/>
              <w:jc w:val="lef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①预算编制是否经过科学论证；</w:t>
            </w:r>
          </w:p>
          <w:p>
            <w:pPr>
              <w:widowControl/>
              <w:spacing w:line="280" w:lineRule="exact"/>
              <w:jc w:val="lef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②预算内容与项目内容是否匹配；</w:t>
            </w:r>
          </w:p>
          <w:p>
            <w:pPr>
              <w:widowControl/>
              <w:spacing w:line="280" w:lineRule="exact"/>
              <w:jc w:val="lef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③预算额度测算依据是否充分（含有效文件、市委</w:t>
            </w:r>
            <w:r>
              <w:rPr>
                <w:rFonts w:hint="eastAsia" w:eastAsia="宋体" w:cs="Times New Roman"/>
                <w:color w:val="000000"/>
                <w:kern w:val="0"/>
                <w:sz w:val="20"/>
                <w:lang w:eastAsia="zh-CN" w:bidi="ar"/>
              </w:rPr>
              <w:t>、市</w:t>
            </w:r>
            <w:r>
              <w:rPr>
                <w:rFonts w:hint="default" w:ascii="Times New Roman" w:hAnsi="Times New Roman" w:eastAsia="宋体" w:cs="Times New Roman"/>
                <w:color w:val="000000"/>
                <w:kern w:val="0"/>
                <w:sz w:val="20"/>
                <w:lang w:bidi="ar"/>
              </w:rPr>
              <w:t>政府会议纪要和主要领导批示所明确的具体金额），是否按照标准编制；</w:t>
            </w:r>
          </w:p>
          <w:p>
            <w:pPr>
              <w:widowControl/>
              <w:spacing w:line="280" w:lineRule="exact"/>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④预算确定的项目投资额或资金量是否与工作任务相匹配。</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①、②、③、④各0.5分，否则，酌情扣分；无预算超预算该项分数全扣。</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419" w:type="pct"/>
            <w:vMerge w:val="restart"/>
            <w:noWrap w:val="0"/>
            <w:tcMar>
              <w:top w:w="15" w:type="dxa"/>
              <w:left w:w="15" w:type="dxa"/>
              <w:right w:w="15" w:type="dxa"/>
            </w:tcMar>
            <w:vAlign w:val="center"/>
          </w:tcPr>
          <w:p>
            <w:pPr>
              <w:widowControl/>
              <w:spacing w:line="280" w:lineRule="exact"/>
              <w:jc w:val="center"/>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项目</w:t>
            </w:r>
          </w:p>
          <w:p>
            <w:pPr>
              <w:widowControl/>
              <w:spacing w:line="280" w:lineRule="exact"/>
              <w:jc w:val="center"/>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决策</w:t>
            </w:r>
          </w:p>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（16分）</w:t>
            </w:r>
          </w:p>
        </w:tc>
        <w:tc>
          <w:tcPr>
            <w:tcW w:w="409" w:type="pct"/>
            <w:vMerge w:val="restar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资金</w:t>
            </w:r>
          </w:p>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投入</w:t>
            </w:r>
          </w:p>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（7分）</w:t>
            </w:r>
          </w:p>
        </w:tc>
        <w:tc>
          <w:tcPr>
            <w:tcW w:w="459" w:type="pct"/>
            <w:vMerge w:val="restart"/>
            <w:noWrap/>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资金分配规范性</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1</w:t>
            </w:r>
          </w:p>
        </w:tc>
        <w:tc>
          <w:tcPr>
            <w:tcW w:w="1531"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①分配办法是否健全、规范；②分配标准、因素选择是否全面、合理。</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①分配办法健全、规范，计0.5分，1例不符合扣0.1分；②分配标准、因素选择全面、合理，计0.5分，1例不符合扣0.1分。</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59" w:type="pct"/>
            <w:vMerge w:val="continue"/>
            <w:noWrap/>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1</w:t>
            </w:r>
          </w:p>
        </w:tc>
        <w:tc>
          <w:tcPr>
            <w:tcW w:w="1531"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实际分配是否符合办法要求，结果是否公平、合理。</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实际分配符合办法要求，结果公平、合理，计1分，1例不符合扣0.1分。</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59" w:type="pct"/>
            <w:vMerge w:val="continue"/>
            <w:noWrap/>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1</w:t>
            </w:r>
          </w:p>
        </w:tc>
        <w:tc>
          <w:tcPr>
            <w:tcW w:w="1531"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①资金分配结果是否在公开渠道进行公示；②公示是否及时，公示期是否到达要求；③公示内容准确；④公示内容完整。</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①资金分配结果在公开渠道及时达到规定期限要求，进行公示，计0.5分；②公示内容准确、完整，计0.5分。否则，酌情扣分。</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结转</w:t>
            </w:r>
          </w:p>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结余资金</w:t>
            </w:r>
          </w:p>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合理性</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2</w:t>
            </w:r>
          </w:p>
        </w:tc>
        <w:tc>
          <w:tcPr>
            <w:tcW w:w="1531" w:type="pct"/>
            <w:noWrap w:val="0"/>
            <w:tcMar>
              <w:top w:w="15" w:type="dxa"/>
              <w:left w:w="15" w:type="dxa"/>
              <w:right w:w="15" w:type="dxa"/>
            </w:tcMar>
            <w:vAlign w:val="center"/>
          </w:tcPr>
          <w:p>
            <w:pPr>
              <w:widowControl/>
              <w:spacing w:line="280" w:lineRule="exact"/>
              <w:textAlignment w:val="center"/>
              <w:rPr>
                <w:rFonts w:hint="eastAsia" w:ascii="Times New Roman" w:hAnsi="Times New Roman" w:eastAsia="宋体" w:cs="Times New Roman"/>
                <w:color w:val="000000"/>
                <w:sz w:val="20"/>
                <w:lang w:eastAsia="zh-CN"/>
              </w:rPr>
            </w:pPr>
            <w:r>
              <w:rPr>
                <w:rFonts w:hint="default" w:ascii="Times New Roman" w:hAnsi="Times New Roman" w:eastAsia="宋体" w:cs="Times New Roman"/>
                <w:color w:val="000000"/>
                <w:kern w:val="0"/>
                <w:sz w:val="20"/>
                <w:lang w:bidi="ar"/>
              </w:rPr>
              <w:t>结转结余数指单位本年度的结转资金与结余资金之和（以决算为准）</w:t>
            </w:r>
            <w:r>
              <w:rPr>
                <w:rFonts w:hint="eastAsia" w:eastAsia="宋体" w:cs="Times New Roman"/>
                <w:color w:val="000000"/>
                <w:kern w:val="0"/>
                <w:sz w:val="20"/>
                <w:lang w:eastAsia="zh-CN" w:bidi="ar"/>
              </w:rPr>
              <w:t>。</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市本级公共项目资金不能结转，无结转计2分，有结转不得分。</w:t>
            </w:r>
          </w:p>
        </w:tc>
        <w:tc>
          <w:tcPr>
            <w:tcW w:w="516" w:type="pct"/>
            <w:noWrap w:val="0"/>
            <w:tcMar>
              <w:top w:w="15" w:type="dxa"/>
              <w:left w:w="15" w:type="dxa"/>
              <w:right w:w="15" w:type="dxa"/>
            </w:tcMar>
            <w:vAlign w:val="center"/>
          </w:tcPr>
          <w:p>
            <w:pPr>
              <w:widowControl/>
              <w:spacing w:line="280" w:lineRule="exact"/>
              <w:jc w:val="center"/>
              <w:textAlignment w:val="center"/>
              <w:rPr>
                <w:rFonts w:hint="eastAsia" w:ascii="Times New Roman" w:hAnsi="Times New Roman" w:eastAsia="宋体" w:cs="Times New Roman"/>
                <w:color w:val="000000"/>
                <w:kern w:val="0"/>
                <w:sz w:val="20"/>
                <w:lang w:eastAsia="zh-CN" w:bidi="ar"/>
              </w:rPr>
            </w:pPr>
            <w:r>
              <w:rPr>
                <w:rFonts w:hint="eastAsia" w:eastAsia="宋体" w:cs="Times New Roman"/>
                <w:color w:val="000000"/>
                <w:kern w:val="0"/>
                <w:sz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419" w:type="pct"/>
            <w:vMerge w:val="restart"/>
            <w:noWrap w:val="0"/>
            <w:tcMar>
              <w:top w:w="15" w:type="dxa"/>
              <w:left w:w="15" w:type="dxa"/>
              <w:right w:w="15" w:type="dxa"/>
            </w:tcMar>
            <w:vAlign w:val="center"/>
          </w:tcPr>
          <w:p>
            <w:pPr>
              <w:widowControl/>
              <w:spacing w:line="280" w:lineRule="exact"/>
              <w:jc w:val="center"/>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项目</w:t>
            </w:r>
          </w:p>
          <w:p>
            <w:pPr>
              <w:widowControl/>
              <w:spacing w:line="280" w:lineRule="exact"/>
              <w:jc w:val="center"/>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过程</w:t>
            </w:r>
          </w:p>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（24分）</w:t>
            </w:r>
          </w:p>
        </w:tc>
        <w:tc>
          <w:tcPr>
            <w:tcW w:w="409" w:type="pct"/>
            <w:vMerge w:val="restar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资金</w:t>
            </w:r>
          </w:p>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管理</w:t>
            </w:r>
          </w:p>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（13分）</w:t>
            </w: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资金</w:t>
            </w:r>
          </w:p>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到位率</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3</w:t>
            </w:r>
          </w:p>
        </w:tc>
        <w:tc>
          <w:tcPr>
            <w:tcW w:w="1531" w:type="pct"/>
            <w:noWrap w:val="0"/>
            <w:tcMar>
              <w:top w:w="15" w:type="dxa"/>
              <w:left w:w="15" w:type="dxa"/>
              <w:right w:w="15" w:type="dxa"/>
            </w:tcMar>
            <w:vAlign w:val="center"/>
          </w:tcPr>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资金到位率=（实际到位资金/预算资金）×100%。</w:t>
            </w:r>
          </w:p>
          <w:p>
            <w:pPr>
              <w:widowControl/>
              <w:spacing w:line="280" w:lineRule="exact"/>
              <w:textAlignment w:val="center"/>
              <w:rPr>
                <w:rFonts w:hint="eastAsia" w:ascii="Times New Roman" w:hAnsi="Times New Roman" w:eastAsia="宋体" w:cs="Times New Roman"/>
                <w:color w:val="000000"/>
                <w:spacing w:val="-6"/>
                <w:kern w:val="0"/>
                <w:sz w:val="20"/>
                <w:lang w:eastAsia="zh-CN" w:bidi="ar"/>
              </w:rPr>
            </w:pPr>
            <w:r>
              <w:rPr>
                <w:rFonts w:hint="default" w:ascii="Times New Roman" w:hAnsi="Times New Roman" w:eastAsia="宋体" w:cs="Times New Roman"/>
                <w:color w:val="000000"/>
                <w:spacing w:val="-6"/>
                <w:kern w:val="0"/>
                <w:sz w:val="20"/>
                <w:lang w:bidi="ar"/>
              </w:rPr>
              <w:t>实际到位资金：一定时期（本年度或项目期）内落实到具体项目的资金。</w:t>
            </w:r>
          </w:p>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pacing w:val="-6"/>
                <w:kern w:val="0"/>
                <w:sz w:val="20"/>
                <w:lang w:bidi="ar"/>
              </w:rPr>
              <w:t>预算资金：一定时期（本年度或项目期）内预算安排到具体项目的资金。</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经审批或下达资金指标文后，根据合同约定在规定时限内拨付到项目，计3分，否则不得分。</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59" w:type="pct"/>
            <w:noWrap w:val="0"/>
            <w:tcMar>
              <w:top w:w="15" w:type="dxa"/>
              <w:left w:w="15" w:type="dxa"/>
              <w:right w:w="15" w:type="dxa"/>
            </w:tcMar>
            <w:vAlign w:val="center"/>
          </w:tcPr>
          <w:p>
            <w:pPr>
              <w:widowControl/>
              <w:spacing w:line="280" w:lineRule="exact"/>
              <w:jc w:val="center"/>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预算执行进度率</w:t>
            </w:r>
          </w:p>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和调整率</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4</w:t>
            </w:r>
          </w:p>
        </w:tc>
        <w:tc>
          <w:tcPr>
            <w:tcW w:w="1531" w:type="pct"/>
            <w:noWrap w:val="0"/>
            <w:tcMar>
              <w:top w:w="15" w:type="dxa"/>
              <w:left w:w="15" w:type="dxa"/>
              <w:right w:w="15" w:type="dxa"/>
            </w:tcMar>
            <w:vAlign w:val="center"/>
          </w:tcPr>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①预算执行进度=</w:t>
            </w:r>
            <w:bookmarkStart w:id="0" w:name="_GoBack"/>
            <w:r>
              <w:rPr>
                <w:rFonts w:hint="default" w:ascii="Times New Roman" w:hAnsi="Times New Roman" w:eastAsia="宋体" w:cs="Times New Roman"/>
                <w:color w:val="000000"/>
                <w:kern w:val="0"/>
                <w:sz w:val="20"/>
                <w:lang w:bidi="ar"/>
              </w:rPr>
              <w:t>截止</w:t>
            </w:r>
            <w:bookmarkEnd w:id="0"/>
            <w:r>
              <w:rPr>
                <w:rFonts w:hint="default" w:ascii="Times New Roman" w:hAnsi="Times New Roman" w:eastAsia="宋体" w:cs="Times New Roman"/>
                <w:color w:val="000000"/>
                <w:kern w:val="0"/>
                <w:sz w:val="20"/>
                <w:lang w:bidi="ar"/>
              </w:rPr>
              <w:t>预算年度已安排使用的预算项目资金/预算资金*100%。</w:t>
            </w:r>
          </w:p>
          <w:p>
            <w:pPr>
              <w:widowControl/>
              <w:spacing w:line="280" w:lineRule="exact"/>
              <w:textAlignment w:val="center"/>
              <w:rPr>
                <w:rFonts w:hint="eastAsia" w:ascii="Times New Roman" w:hAnsi="Times New Roman" w:eastAsia="宋体" w:cs="Times New Roman"/>
                <w:color w:val="000000"/>
                <w:sz w:val="20"/>
                <w:lang w:eastAsia="zh-CN"/>
              </w:rPr>
            </w:pPr>
            <w:r>
              <w:rPr>
                <w:rFonts w:hint="default" w:ascii="Times New Roman" w:hAnsi="Times New Roman" w:eastAsia="宋体" w:cs="Times New Roman"/>
                <w:color w:val="000000"/>
                <w:kern w:val="0"/>
                <w:sz w:val="20"/>
                <w:lang w:bidi="ar"/>
              </w:rPr>
              <w:t>②预算调整率=预算调整金额/年初预算金额（应提交经审批调整的用途及原因）</w:t>
            </w:r>
            <w:r>
              <w:rPr>
                <w:rFonts w:hint="eastAsia" w:eastAsia="宋体" w:cs="Times New Roman"/>
                <w:color w:val="000000"/>
                <w:kern w:val="0"/>
                <w:sz w:val="20"/>
                <w:lang w:eastAsia="zh-CN" w:bidi="ar"/>
              </w:rPr>
              <w:t>。</w:t>
            </w:r>
          </w:p>
        </w:tc>
        <w:tc>
          <w:tcPr>
            <w:tcW w:w="1415" w:type="pct"/>
            <w:noWrap w:val="0"/>
            <w:tcMar>
              <w:top w:w="15" w:type="dxa"/>
              <w:left w:w="15" w:type="dxa"/>
              <w:right w:w="15" w:type="dxa"/>
            </w:tcMar>
            <w:vAlign w:val="center"/>
          </w:tcPr>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①资金安排在11月底之前分配完毕，计2分；全年执行进度低于95%，不计分。</w:t>
            </w:r>
          </w:p>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②预算调整率低于5%计2分，按比例每上升1%扣0.2分（经审批允许调整的除外），扣完为止。</w:t>
            </w:r>
          </w:p>
        </w:tc>
        <w:tc>
          <w:tcPr>
            <w:tcW w:w="516" w:type="pct"/>
            <w:noWrap w:val="0"/>
            <w:tcMar>
              <w:top w:w="15" w:type="dxa"/>
              <w:left w:w="15" w:type="dxa"/>
              <w:right w:w="15" w:type="dxa"/>
            </w:tcMar>
            <w:vAlign w:val="center"/>
          </w:tcPr>
          <w:p>
            <w:pPr>
              <w:widowControl/>
              <w:spacing w:line="280" w:lineRule="exact"/>
              <w:jc w:val="center"/>
              <w:textAlignment w:val="center"/>
              <w:rPr>
                <w:rFonts w:hint="eastAsia" w:ascii="Times New Roman" w:hAnsi="Times New Roman" w:eastAsia="宋体" w:cs="Times New Roman"/>
                <w:color w:val="000000"/>
                <w:kern w:val="0"/>
                <w:sz w:val="20"/>
                <w:lang w:eastAsia="zh-CN" w:bidi="ar"/>
              </w:rPr>
            </w:pPr>
            <w:r>
              <w:rPr>
                <w:rFonts w:hint="eastAsia" w:eastAsia="宋体" w:cs="Times New Roman"/>
                <w:color w:val="000000"/>
                <w:kern w:val="0"/>
                <w:sz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5"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资金使用合规性</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5</w:t>
            </w:r>
          </w:p>
        </w:tc>
        <w:tc>
          <w:tcPr>
            <w:tcW w:w="1531"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①是否符合国家财经法规和财务管理制度以及有关专项资金管理办法的规定；②资金的支付是否有完整的审批程序和验收手续；③项目的重大开支是否经过评估认证或单位集体决策；④是否符合项目预算批复或合同规定的用途；⑤是否存在截留、挤占、挪用、虚列支出等情况；⑥是否存在重复申报项目、虚报冒领资金。⑦现场核实的评价项目是否存在与项目申报资金下达内容和合同不符的情形。</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①符合国家财经法规和财务管理制度以及各类专项资金管理办法的规定，资金的支付有完整的审批程序，计1分，1例不符合扣0.2分；②项目的重大开支经过评估认证和单位集体决策，计1分，1例不符合扣0.2分；③符合项目预算批复或合同规定的用途，计1分，1例不符合扣0.2分；④不存在截留、挤占、挪用、虚列支出等情况，不存在重复申报项目、虚报冒领资金，不存在项目申报与合同和资金下达内容不符的，计2分，出现1例不符合，本指标的5分全扣；⑤违规情况特别严重的，重点绩效评价等级定为“差”。</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信息公开</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1</w:t>
            </w:r>
          </w:p>
        </w:tc>
        <w:tc>
          <w:tcPr>
            <w:tcW w:w="1531"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①项目绩效目标、自评情况是否全面、及时、准确按有关规定予以公开。</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全面、及时、准确公开，计1分，否则不得分。</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atLeast"/>
          <w:jc w:val="center"/>
        </w:trPr>
        <w:tc>
          <w:tcPr>
            <w:tcW w:w="419" w:type="pct"/>
            <w:vMerge w:val="restart"/>
            <w:noWrap w:val="0"/>
            <w:tcMar>
              <w:top w:w="15" w:type="dxa"/>
              <w:left w:w="15" w:type="dxa"/>
              <w:right w:w="15" w:type="dxa"/>
            </w:tcMar>
            <w:vAlign w:val="center"/>
          </w:tcPr>
          <w:p>
            <w:pPr>
              <w:widowControl/>
              <w:spacing w:line="280" w:lineRule="exact"/>
              <w:jc w:val="center"/>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项目</w:t>
            </w:r>
          </w:p>
          <w:p>
            <w:pPr>
              <w:widowControl/>
              <w:spacing w:line="280" w:lineRule="exact"/>
              <w:jc w:val="center"/>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过程</w:t>
            </w:r>
          </w:p>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（24分）</w:t>
            </w:r>
          </w:p>
        </w:tc>
        <w:tc>
          <w:tcPr>
            <w:tcW w:w="409" w:type="pct"/>
            <w:vMerge w:val="restar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组织</w:t>
            </w:r>
          </w:p>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实施</w:t>
            </w:r>
          </w:p>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（11分）</w:t>
            </w: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管理制度健全性</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3</w:t>
            </w:r>
          </w:p>
        </w:tc>
        <w:tc>
          <w:tcPr>
            <w:tcW w:w="1531"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①项目单位按有关规定需要进行政府采购、招投标和投资评审的项目，是否做到应采尽采、应招尽招、应评尽评，无规避政府采购、招投标和投资评审等行为；②是否按规定对有关项目进行中期检查、竣工验收，并进行跟踪管理；③是否制定合法、合规、完整的项目资金管理办法和项目管理制度。</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①、②、③各计1分。如果有部分单位①、②均不适应，则③为3分，有一项不适应，则③为2分。否则，酌情扣分。</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2"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制度执行有效性</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2</w:t>
            </w:r>
          </w:p>
        </w:tc>
        <w:tc>
          <w:tcPr>
            <w:tcW w:w="1531" w:type="pct"/>
            <w:noWrap w:val="0"/>
            <w:tcMar>
              <w:top w:w="15" w:type="dxa"/>
              <w:left w:w="15" w:type="dxa"/>
              <w:right w:w="15" w:type="dxa"/>
            </w:tcMar>
            <w:vAlign w:val="center"/>
          </w:tcPr>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①是否遵守相关法律法规和相关管理规定；</w:t>
            </w:r>
          </w:p>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②项目调整及支出调整手续是否完备；</w:t>
            </w:r>
          </w:p>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③项目合同书、验收报告、技术鉴定等资料是否齐全并及时归档；</w:t>
            </w:r>
          </w:p>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④项目实施的人员条件、场地设备、信息支撑等是否落实到位。</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①、②、③、④各0.5分。否则，酌情扣分。</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重点绩效评价整改情况</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2</w:t>
            </w:r>
          </w:p>
        </w:tc>
        <w:tc>
          <w:tcPr>
            <w:tcW w:w="1531" w:type="pct"/>
            <w:noWrap w:val="0"/>
            <w:tcMar>
              <w:top w:w="15" w:type="dxa"/>
              <w:left w:w="15" w:type="dxa"/>
              <w:right w:w="15" w:type="dxa"/>
            </w:tcMar>
            <w:vAlign w:val="center"/>
          </w:tcPr>
          <w:p>
            <w:pPr>
              <w:widowControl/>
              <w:spacing w:line="280" w:lineRule="exact"/>
              <w:textAlignment w:val="center"/>
              <w:rPr>
                <w:rFonts w:hint="eastAsia" w:ascii="Times New Roman" w:hAnsi="Times New Roman" w:eastAsia="宋体" w:cs="Times New Roman"/>
                <w:color w:val="000000"/>
                <w:sz w:val="20"/>
                <w:lang w:eastAsia="zh-CN"/>
              </w:rPr>
            </w:pPr>
            <w:r>
              <w:rPr>
                <w:rFonts w:hint="default" w:ascii="Times New Roman" w:hAnsi="Times New Roman" w:eastAsia="宋体" w:cs="Times New Roman"/>
                <w:color w:val="000000"/>
                <w:kern w:val="0"/>
                <w:sz w:val="20"/>
                <w:lang w:bidi="ar"/>
              </w:rPr>
              <w:t>对2019年重点绩效评价报告中存在的问题是否进行整改，未整改原因是否进行情况说明</w:t>
            </w:r>
            <w:r>
              <w:rPr>
                <w:rFonts w:hint="eastAsia" w:eastAsia="宋体" w:cs="Times New Roman"/>
                <w:color w:val="000000"/>
                <w:kern w:val="0"/>
                <w:sz w:val="20"/>
                <w:lang w:eastAsia="zh-CN" w:bidi="ar"/>
              </w:rPr>
              <w:t>。</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对2019年重点绩效评价报告中发现的问题全部整改，计2分；2019年反映问题部分整改，计1分；2019年反映问题未整改且无整改情况说明，计0分。</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绩效自评合规性</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4</w:t>
            </w:r>
          </w:p>
        </w:tc>
        <w:tc>
          <w:tcPr>
            <w:tcW w:w="1531" w:type="pct"/>
            <w:noWrap w:val="0"/>
            <w:tcMar>
              <w:top w:w="15" w:type="dxa"/>
              <w:left w:w="15" w:type="dxa"/>
              <w:right w:w="15" w:type="dxa"/>
            </w:tcMar>
            <w:vAlign w:val="center"/>
          </w:tcPr>
          <w:p>
            <w:pPr>
              <w:widowControl/>
              <w:spacing w:line="280" w:lineRule="exact"/>
              <w:textAlignment w:val="center"/>
              <w:rPr>
                <w:rFonts w:hint="eastAsia" w:ascii="Times New Roman" w:hAnsi="Times New Roman" w:eastAsia="宋体" w:cs="Times New Roman"/>
                <w:color w:val="000000"/>
                <w:sz w:val="20"/>
                <w:lang w:eastAsia="zh-CN"/>
              </w:rPr>
            </w:pPr>
            <w:r>
              <w:rPr>
                <w:rFonts w:hint="default" w:ascii="Times New Roman" w:hAnsi="Times New Roman" w:eastAsia="宋体" w:cs="Times New Roman"/>
                <w:color w:val="000000"/>
                <w:kern w:val="0"/>
                <w:sz w:val="20"/>
                <w:lang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r>
              <w:rPr>
                <w:rFonts w:hint="eastAsia" w:eastAsia="宋体" w:cs="Times New Roman"/>
                <w:color w:val="000000"/>
                <w:kern w:val="0"/>
                <w:sz w:val="20"/>
                <w:lang w:eastAsia="zh-CN" w:bidi="ar"/>
              </w:rPr>
              <w:t>。</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根据市财政局2020年考核结果，评审为优，得4分；评审为良，得3分；评审为中，得2分；评审为低，得1分；评审为差，得0分。</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restart"/>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产出</w:t>
            </w:r>
          </w:p>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（30分）</w:t>
            </w:r>
          </w:p>
        </w:tc>
        <w:tc>
          <w:tcPr>
            <w:tcW w:w="409" w:type="pct"/>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产出</w:t>
            </w:r>
          </w:p>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数量</w:t>
            </w: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实际</w:t>
            </w:r>
          </w:p>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完成率</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cs="Times New Roman"/>
                <w:color w:val="000000"/>
                <w:kern w:val="0"/>
                <w:sz w:val="20"/>
                <w:lang w:bidi="ar"/>
              </w:rPr>
              <w:t>8</w:t>
            </w:r>
          </w:p>
        </w:tc>
        <w:tc>
          <w:tcPr>
            <w:tcW w:w="1531"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预算支出实施的实际产出数与计划产出数的比率，用以反映和考核预算支出产出数量目标的实现程度。</w:t>
            </w:r>
          </w:p>
        </w:tc>
        <w:tc>
          <w:tcPr>
            <w:tcW w:w="1415" w:type="pct"/>
            <w:noWrap w:val="0"/>
            <w:tcMar>
              <w:top w:w="15" w:type="dxa"/>
              <w:left w:w="15" w:type="dxa"/>
              <w:right w:w="15" w:type="dxa"/>
            </w:tcMar>
            <w:vAlign w:val="center"/>
          </w:tcPr>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实际完成率=（实际产出数/计划产出数）*100%。实际产出数：一定时期（本年度或预算支出期）内预算支出实际产出的产品或提供的服务数量。计划产出数：预算支出绩效目标确定的在一定时期（本年度或预算支出期）内计划产出的产品或提供的服务数量</w:t>
            </w:r>
            <w:r>
              <w:rPr>
                <w:rFonts w:hint="eastAsia" w:eastAsia="宋体" w:cs="Times New Roman"/>
                <w:color w:val="000000"/>
                <w:kern w:val="0"/>
                <w:sz w:val="20"/>
                <w:lang w:eastAsia="zh-CN" w:bidi="ar"/>
              </w:rPr>
              <w:t>。</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产出</w:t>
            </w:r>
          </w:p>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质量</w:t>
            </w: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质量</w:t>
            </w:r>
          </w:p>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达标率</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cs="Times New Roman"/>
                <w:color w:val="000000"/>
                <w:kern w:val="0"/>
                <w:sz w:val="20"/>
                <w:lang w:bidi="ar"/>
              </w:rPr>
              <w:t>6</w:t>
            </w:r>
          </w:p>
        </w:tc>
        <w:tc>
          <w:tcPr>
            <w:tcW w:w="1531" w:type="pct"/>
            <w:noWrap w:val="0"/>
            <w:tcMar>
              <w:top w:w="15" w:type="dxa"/>
              <w:left w:w="15" w:type="dxa"/>
              <w:right w:w="15" w:type="dxa"/>
            </w:tcMar>
            <w:vAlign w:val="center"/>
          </w:tcPr>
          <w:p>
            <w:pPr>
              <w:widowControl/>
              <w:spacing w:line="280" w:lineRule="exact"/>
              <w:jc w:val="lef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预算支出完成的质量达标产出数与实际产出数的比率，用以反映和考核预算支出产出质量目标的实现程度。</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质量达标率=（质量达标产出数/实际产出数）*100%。质量达标产出数：一定时期（本年度或预算支出期）内实际达到既定质量标准的产品或服务数量。既定质量标准是指预算支出实施单位设立绩效时依据计划标准、行业标准、历时标准或其他标准而设立的绩效指标值。</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产出</w:t>
            </w:r>
          </w:p>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（30分）</w:t>
            </w:r>
          </w:p>
        </w:tc>
        <w:tc>
          <w:tcPr>
            <w:tcW w:w="409" w:type="pct"/>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产出</w:t>
            </w:r>
          </w:p>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时效</w:t>
            </w: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完成</w:t>
            </w:r>
          </w:p>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及时性</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cs="Times New Roman"/>
                <w:color w:val="000000"/>
                <w:kern w:val="0"/>
                <w:sz w:val="20"/>
                <w:lang w:bidi="ar"/>
              </w:rPr>
              <w:t>7</w:t>
            </w:r>
          </w:p>
        </w:tc>
        <w:tc>
          <w:tcPr>
            <w:tcW w:w="1531"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预算支出实际完成时间与计划完成时间的比较，用以反映和考核预算支出产出时效目标的实现程度。</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实际完成时间：预算支出实施单位完成该预算支出实际所耗用的时间。计划完成时间：按照预算支出实施计划或相关规定完成该预算支出所需的时间。</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5"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产出</w:t>
            </w:r>
          </w:p>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成本</w:t>
            </w: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成本</w:t>
            </w:r>
          </w:p>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节约率</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cs="Times New Roman"/>
                <w:color w:val="000000"/>
                <w:kern w:val="0"/>
                <w:sz w:val="20"/>
                <w:lang w:bidi="ar"/>
              </w:rPr>
              <w:t>9</w:t>
            </w:r>
          </w:p>
        </w:tc>
        <w:tc>
          <w:tcPr>
            <w:tcW w:w="1531"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完成预算支出计划工作目标的实际节约成本与计划成本的比率，用以反映和考核预算支出的成本节约程度。</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成本节约率=[（计划成本-实际成本）/计划成本]*100%。实际成本：预算支出实施单位如期、保质、保量完成既定工作目标实际所耗费的支出。计划成本：预算支出实施单位为完成工作目标计划安排的支出，一般以预算支出预算为参考。</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效益</w:t>
            </w:r>
          </w:p>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（30分）</w:t>
            </w:r>
          </w:p>
        </w:tc>
        <w:tc>
          <w:tcPr>
            <w:tcW w:w="409" w:type="pct"/>
            <w:vMerge w:val="restart"/>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sz w:val="20"/>
              </w:rPr>
              <w:t>预算支出效益</w:t>
            </w: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实施效益</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cs="Times New Roman"/>
                <w:color w:val="000000"/>
                <w:kern w:val="0"/>
                <w:sz w:val="20"/>
                <w:lang w:bidi="ar"/>
              </w:rPr>
              <w:t>20</w:t>
            </w:r>
          </w:p>
        </w:tc>
        <w:tc>
          <w:tcPr>
            <w:tcW w:w="1531" w:type="pct"/>
            <w:noWrap w:val="0"/>
            <w:tcMar>
              <w:top w:w="15" w:type="dxa"/>
              <w:left w:w="15" w:type="dxa"/>
              <w:right w:w="15" w:type="dxa"/>
            </w:tcMar>
            <w:vAlign w:val="center"/>
          </w:tcPr>
          <w:p>
            <w:pPr>
              <w:widowControl/>
              <w:spacing w:line="280" w:lineRule="exact"/>
              <w:textAlignment w:val="center"/>
              <w:rPr>
                <w:rFonts w:hint="eastAsia" w:ascii="Times New Roman" w:hAnsi="Times New Roman" w:eastAsia="宋体" w:cs="Times New Roman"/>
                <w:color w:val="000000"/>
                <w:kern w:val="0"/>
                <w:sz w:val="20"/>
                <w:lang w:eastAsia="zh-CN" w:bidi="ar"/>
              </w:rPr>
            </w:pPr>
            <w:r>
              <w:rPr>
                <w:rFonts w:hint="default" w:ascii="Times New Roman" w:hAnsi="Times New Roman" w:eastAsia="宋体" w:cs="Times New Roman"/>
                <w:color w:val="000000"/>
                <w:kern w:val="0"/>
                <w:sz w:val="20"/>
                <w:lang w:bidi="ar"/>
              </w:rPr>
              <w:t>预算支出实施所产生的效益</w:t>
            </w:r>
            <w:r>
              <w:rPr>
                <w:rFonts w:hint="eastAsia" w:eastAsia="宋体" w:cs="Times New Roman"/>
                <w:color w:val="000000"/>
                <w:kern w:val="0"/>
                <w:sz w:val="20"/>
                <w:lang w:eastAsia="zh-CN" w:bidi="ar"/>
              </w:rPr>
              <w:t>。</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预算支出实施所产生的社会效益、经济效益、生态效益、可持续影响等。可根据预算支出实际情况有选择的设置和细化。</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09" w:type="pct"/>
            <w:vMerge w:val="continue"/>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社会公众或服务对象满意度</w:t>
            </w: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10</w:t>
            </w:r>
          </w:p>
        </w:tc>
        <w:tc>
          <w:tcPr>
            <w:tcW w:w="1531"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社会公众或服务对象对预算支出实施效果的满意程度。</w:t>
            </w: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社会公众或服务对象是指因该预算支出实施而受到影响的部门、群体或个人。一般采取社会调查的方式。</w:t>
            </w: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419" w:type="pct"/>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r>
              <w:rPr>
                <w:rFonts w:hint="default" w:ascii="Times New Roman" w:hAnsi="Times New Roman" w:cs="Times New Roman"/>
                <w:color w:val="000000"/>
                <w:sz w:val="20"/>
              </w:rPr>
              <w:t>合计</w:t>
            </w:r>
          </w:p>
        </w:tc>
        <w:tc>
          <w:tcPr>
            <w:tcW w:w="409" w:type="pct"/>
            <w:noWrap w:val="0"/>
            <w:tcMar>
              <w:top w:w="15" w:type="dxa"/>
              <w:left w:w="15" w:type="dxa"/>
              <w:right w:w="15" w:type="dxa"/>
            </w:tcMar>
            <w:vAlign w:val="center"/>
          </w:tcPr>
          <w:p>
            <w:pPr>
              <w:spacing w:line="280" w:lineRule="exact"/>
              <w:jc w:val="center"/>
              <w:rPr>
                <w:rFonts w:hint="default" w:ascii="Times New Roman" w:hAnsi="Times New Roman" w:eastAsia="宋体" w:cs="Times New Roman"/>
                <w:color w:val="000000"/>
                <w:sz w:val="20"/>
              </w:rPr>
            </w:pPr>
            <w:r>
              <w:rPr>
                <w:rFonts w:hint="default" w:ascii="Times New Roman" w:hAnsi="Times New Roman" w:cs="Times New Roman"/>
                <w:color w:val="000000"/>
                <w:sz w:val="20"/>
              </w:rPr>
              <w:t xml:space="preserve"> </w:t>
            </w:r>
          </w:p>
        </w:tc>
        <w:tc>
          <w:tcPr>
            <w:tcW w:w="459"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p>
        </w:tc>
        <w:tc>
          <w:tcPr>
            <w:tcW w:w="248"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100</w:t>
            </w:r>
          </w:p>
        </w:tc>
        <w:tc>
          <w:tcPr>
            <w:tcW w:w="1531"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kern w:val="0"/>
                <w:sz w:val="20"/>
                <w:lang w:bidi="ar"/>
              </w:rPr>
            </w:pPr>
          </w:p>
        </w:tc>
        <w:tc>
          <w:tcPr>
            <w:tcW w:w="1415" w:type="pct"/>
            <w:noWrap w:val="0"/>
            <w:tcMar>
              <w:top w:w="15" w:type="dxa"/>
              <w:left w:w="15" w:type="dxa"/>
              <w:right w:w="15" w:type="dxa"/>
            </w:tcMar>
            <w:vAlign w:val="center"/>
          </w:tcPr>
          <w:p>
            <w:pPr>
              <w:widowControl/>
              <w:spacing w:line="280" w:lineRule="exact"/>
              <w:textAlignment w:val="center"/>
              <w:rPr>
                <w:rFonts w:hint="default" w:ascii="Times New Roman" w:hAnsi="Times New Roman" w:eastAsia="宋体" w:cs="Times New Roman"/>
                <w:color w:val="000000"/>
                <w:kern w:val="0"/>
                <w:sz w:val="20"/>
                <w:lang w:bidi="ar"/>
              </w:rPr>
            </w:pPr>
          </w:p>
        </w:tc>
        <w:tc>
          <w:tcPr>
            <w:tcW w:w="516" w:type="pct"/>
            <w:noWrap w:val="0"/>
            <w:tcMar>
              <w:top w:w="15" w:type="dxa"/>
              <w:left w:w="15" w:type="dxa"/>
              <w:right w:w="15" w:type="dxa"/>
            </w:tcMar>
            <w:vAlign w:val="center"/>
          </w:tcPr>
          <w:p>
            <w:pPr>
              <w:widowControl/>
              <w:spacing w:line="280" w:lineRule="exact"/>
              <w:jc w:val="center"/>
              <w:textAlignment w:val="center"/>
              <w:rPr>
                <w:rFonts w:hint="default" w:ascii="Times New Roman" w:hAnsi="Times New Roman" w:eastAsia="宋体" w:cs="Times New Roman"/>
                <w:color w:val="000000"/>
                <w:kern w:val="0"/>
                <w:sz w:val="20"/>
                <w:lang w:val="en-US" w:eastAsia="zh-CN" w:bidi="ar"/>
              </w:rPr>
            </w:pPr>
            <w:r>
              <w:rPr>
                <w:rFonts w:hint="eastAsia" w:eastAsia="宋体" w:cs="Times New Roman"/>
                <w:color w:val="000000"/>
                <w:kern w:val="0"/>
                <w:sz w:val="20"/>
                <w:lang w:val="en-US" w:eastAsia="zh-CN" w:bidi="ar"/>
              </w:rPr>
              <w:t>100</w:t>
            </w:r>
          </w:p>
        </w:tc>
      </w:tr>
    </w:tbl>
    <w:p>
      <w:pPr>
        <w:spacing w:line="600" w:lineRule="exact"/>
        <w:jc w:val="left"/>
        <w:rPr>
          <w:rFonts w:ascii="仿宋_GB2312" w:hAnsi="仿宋_GB2312" w:eastAsia="仿宋_GB2312"/>
          <w:bCs/>
          <w:color w:val="000000"/>
          <w:sz w:val="30"/>
          <w:szCs w:val="32"/>
        </w:rPr>
      </w:pPr>
    </w:p>
    <w:p>
      <w:pPr>
        <w:spacing w:line="600" w:lineRule="exact"/>
        <w:jc w:val="center"/>
        <w:rPr>
          <w:rFonts w:ascii="仿宋_GB2312" w:eastAsia="仿宋_GB2312"/>
          <w:color w:val="000000"/>
          <w:sz w:val="30"/>
          <w:szCs w:val="30"/>
        </w:rPr>
      </w:pPr>
    </w:p>
    <w:p>
      <w:pPr>
        <w:spacing w:line="6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 体">
    <w:altName w:val="宋体"/>
    <w:panose1 w:val="00000000000000000000"/>
    <w:charset w:val="86"/>
    <w:family w:val="auto"/>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A45F19"/>
    <w:rsid w:val="00001AD6"/>
    <w:rsid w:val="00014C03"/>
    <w:rsid w:val="00021C57"/>
    <w:rsid w:val="00061EC4"/>
    <w:rsid w:val="000736E4"/>
    <w:rsid w:val="000A4824"/>
    <w:rsid w:val="000A4B8A"/>
    <w:rsid w:val="000C0A59"/>
    <w:rsid w:val="000F5E0A"/>
    <w:rsid w:val="000F5FC8"/>
    <w:rsid w:val="00142A68"/>
    <w:rsid w:val="00170554"/>
    <w:rsid w:val="00183C60"/>
    <w:rsid w:val="001847D6"/>
    <w:rsid w:val="001A7B9C"/>
    <w:rsid w:val="001B602E"/>
    <w:rsid w:val="001C2371"/>
    <w:rsid w:val="002A62C0"/>
    <w:rsid w:val="002E1AC7"/>
    <w:rsid w:val="002E5146"/>
    <w:rsid w:val="002F39E5"/>
    <w:rsid w:val="00303FF7"/>
    <w:rsid w:val="00373AC9"/>
    <w:rsid w:val="003810BD"/>
    <w:rsid w:val="003B59CE"/>
    <w:rsid w:val="003C73AB"/>
    <w:rsid w:val="003F0FEF"/>
    <w:rsid w:val="003F6729"/>
    <w:rsid w:val="00435297"/>
    <w:rsid w:val="004355E3"/>
    <w:rsid w:val="00440F07"/>
    <w:rsid w:val="004A59C6"/>
    <w:rsid w:val="004E16BA"/>
    <w:rsid w:val="004E4058"/>
    <w:rsid w:val="0059163D"/>
    <w:rsid w:val="005D2A20"/>
    <w:rsid w:val="005D50AA"/>
    <w:rsid w:val="005D5296"/>
    <w:rsid w:val="005E34B1"/>
    <w:rsid w:val="005F2B94"/>
    <w:rsid w:val="00630DE0"/>
    <w:rsid w:val="00662231"/>
    <w:rsid w:val="00686FCF"/>
    <w:rsid w:val="006A0024"/>
    <w:rsid w:val="006A1A34"/>
    <w:rsid w:val="006B03ED"/>
    <w:rsid w:val="006B6E63"/>
    <w:rsid w:val="006D143E"/>
    <w:rsid w:val="00717E73"/>
    <w:rsid w:val="007A58F9"/>
    <w:rsid w:val="0080444E"/>
    <w:rsid w:val="008230CB"/>
    <w:rsid w:val="008630A5"/>
    <w:rsid w:val="00892AA7"/>
    <w:rsid w:val="008D29F2"/>
    <w:rsid w:val="0094511F"/>
    <w:rsid w:val="009540AC"/>
    <w:rsid w:val="0097588A"/>
    <w:rsid w:val="00977D49"/>
    <w:rsid w:val="009B5735"/>
    <w:rsid w:val="009C3A7B"/>
    <w:rsid w:val="009E43BC"/>
    <w:rsid w:val="00A3105A"/>
    <w:rsid w:val="00A339B0"/>
    <w:rsid w:val="00A45F19"/>
    <w:rsid w:val="00A746AF"/>
    <w:rsid w:val="00AF3865"/>
    <w:rsid w:val="00B257DA"/>
    <w:rsid w:val="00B32739"/>
    <w:rsid w:val="00B834B5"/>
    <w:rsid w:val="00B85A1D"/>
    <w:rsid w:val="00C45ED7"/>
    <w:rsid w:val="00C54CEC"/>
    <w:rsid w:val="00CB6C02"/>
    <w:rsid w:val="00CC2F4A"/>
    <w:rsid w:val="00D72A44"/>
    <w:rsid w:val="00D744F8"/>
    <w:rsid w:val="00D76671"/>
    <w:rsid w:val="00DB00D5"/>
    <w:rsid w:val="00DE410A"/>
    <w:rsid w:val="00DF7994"/>
    <w:rsid w:val="00E00D90"/>
    <w:rsid w:val="00E14CBF"/>
    <w:rsid w:val="00EE1B67"/>
    <w:rsid w:val="00F001B0"/>
    <w:rsid w:val="00F22941"/>
    <w:rsid w:val="00F57841"/>
    <w:rsid w:val="00F63506"/>
    <w:rsid w:val="00F90C7D"/>
    <w:rsid w:val="052F512B"/>
    <w:rsid w:val="17117DAB"/>
    <w:rsid w:val="1B9E4290"/>
    <w:rsid w:val="2E1345C4"/>
    <w:rsid w:val="2EF64843"/>
    <w:rsid w:val="328A011E"/>
    <w:rsid w:val="5A27459A"/>
    <w:rsid w:val="5AC35097"/>
    <w:rsid w:val="79446BC9"/>
    <w:rsid w:val="7A6448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 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nhideWhenUsed/>
    <w:qFormat/>
    <w:uiPriority w:val="1"/>
    <w:pPr>
      <w:spacing w:before="43"/>
      <w:ind w:left="120"/>
    </w:pPr>
    <w:rPr>
      <w:rFonts w:ascii="仿宋" w:hAnsi="仿宋" w:eastAsia="仿宋" w:cs="仿宋"/>
      <w:sz w:val="32"/>
      <w:szCs w:val="32"/>
      <w:lang w:val="zh-CN" w:bidi="zh-CN"/>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0"/>
    <w:pPr>
      <w:spacing w:before="100" w:beforeAutospacing="1" w:after="100" w:afterAutospacing="1"/>
      <w:jc w:val="left"/>
    </w:pPr>
    <w:rPr>
      <w:rFonts w:ascii="Calibri" w:hAnsi="Calibri" w:eastAsia="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正文文本 Char"/>
    <w:basedOn w:val="7"/>
    <w:link w:val="2"/>
    <w:qFormat/>
    <w:uiPriority w:val="1"/>
    <w:rPr>
      <w:rFonts w:ascii="Times New Roman" w:hAnsi="Times New Roman" w:eastAsia="宋 体" w:cs="Times New Roman"/>
      <w:szCs w:val="20"/>
    </w:rPr>
  </w:style>
  <w:style w:type="character" w:customStyle="1" w:styleId="11">
    <w:name w:val="正文文本 Char1"/>
    <w:basedOn w:val="7"/>
    <w:link w:val="2"/>
    <w:qFormat/>
    <w:locked/>
    <w:uiPriority w:val="1"/>
    <w:rPr>
      <w:rFonts w:ascii="仿宋" w:hAnsi="仿宋" w:eastAsia="仿宋" w:cs="仿宋"/>
      <w:sz w:val="32"/>
      <w:szCs w:val="32"/>
      <w:lang w:val="zh-CN" w:bidi="zh-CN"/>
    </w:rPr>
  </w:style>
  <w:style w:type="paragraph" w:styleId="12">
    <w:name w:val="List Paragraph"/>
    <w:basedOn w:val="1"/>
    <w:qFormat/>
    <w:uiPriority w:val="34"/>
    <w:pPr>
      <w:ind w:firstLine="420" w:firstLineChars="200"/>
    </w:pPr>
  </w:style>
  <w:style w:type="character" w:customStyle="1" w:styleId="13">
    <w:name w:val="font01"/>
    <w:basedOn w:val="7"/>
    <w:qFormat/>
    <w:uiPriority w:val="0"/>
    <w:rPr>
      <w:rFonts w:hint="eastAsia" w:ascii="宋体" w:hAnsi="宋体" w:eastAsia="宋体" w:cs="宋体"/>
      <w:b/>
      <w:bCs/>
      <w:color w:val="000000"/>
      <w:sz w:val="30"/>
      <w:szCs w:val="30"/>
      <w:u w:val="none"/>
    </w:rPr>
  </w:style>
  <w:style w:type="character" w:customStyle="1" w:styleId="14">
    <w:name w:val="font31"/>
    <w:basedOn w:val="7"/>
    <w:qFormat/>
    <w:uiPriority w:val="0"/>
    <w:rPr>
      <w:rFonts w:hint="default" w:ascii="Times New Roman" w:hAnsi="Times New Roman" w:cs="Times New Roman"/>
      <w:color w:val="000000"/>
      <w:sz w:val="21"/>
      <w:szCs w:val="21"/>
      <w:u w:val="none"/>
    </w:rPr>
  </w:style>
  <w:style w:type="character" w:customStyle="1" w:styleId="15">
    <w:name w:val="font21"/>
    <w:basedOn w:val="7"/>
    <w:qFormat/>
    <w:uiPriority w:val="0"/>
    <w:rPr>
      <w:rFonts w:hint="eastAsia" w:ascii="宋体" w:hAnsi="宋体" w:eastAsia="宋体" w:cs="宋体"/>
      <w:color w:val="000000"/>
      <w:sz w:val="24"/>
      <w:szCs w:val="24"/>
      <w:u w:val="none"/>
    </w:rPr>
  </w:style>
  <w:style w:type="character" w:customStyle="1" w:styleId="16">
    <w:name w:val="font51"/>
    <w:basedOn w:val="7"/>
    <w:qFormat/>
    <w:uiPriority w:val="0"/>
    <w:rPr>
      <w:rFonts w:hint="eastAsia" w:ascii="宋体" w:hAnsi="宋体" w:eastAsia="宋体" w:cs="宋体"/>
      <w:color w:val="000000"/>
      <w:sz w:val="20"/>
      <w:szCs w:val="20"/>
      <w:u w:val="none"/>
    </w:rPr>
  </w:style>
  <w:style w:type="character" w:customStyle="1" w:styleId="17">
    <w:name w:val="font41"/>
    <w:basedOn w:val="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7127</Words>
  <Characters>7624</Characters>
  <Lines>28</Lines>
  <Paragraphs>8</Paragraphs>
  <TotalTime>4</TotalTime>
  <ScaleCrop>false</ScaleCrop>
  <LinksUpToDate>false</LinksUpToDate>
  <CharactersWithSpaces>7814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2021-02-22T01:51:00Z</dcterms:created>
  <dc:creator>zs4</dc:creator>
  <cp:lastModifiedBy>Administrator</cp:lastModifiedBy>
  <dcterms:modified xsi:type="dcterms:W3CDTF">2022-10-26T07:01:50Z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7610240E6C3F459BAA6F6BBC273FE7B7</vt:lpwstr>
  </property>
</Properties>
</file>