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02" w:firstLineChars="600"/>
        <w:jc w:val="both"/>
        <w:rPr>
          <w:rFonts w:hint="eastAsia" w:ascii="宋体" w:hAnsi="宋体" w:cs="黑体"/>
          <w:color w:val="000000"/>
          <w:kern w:val="0"/>
          <w:sz w:val="32"/>
          <w:szCs w:val="32"/>
          <w:lang w:val="en-US" w:eastAsia="zh-CN" w:bidi="ar-SA"/>
        </w:rPr>
      </w:pPr>
    </w:p>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19</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lang w:eastAsia="zh-CN"/>
        </w:rPr>
        <w:t>长沙市雨花区数据资源中心</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095001</w:t>
      </w:r>
      <w:r>
        <w:rPr>
          <w:rFonts w:hint="eastAsia" w:eastAsia="仿宋_GB2312"/>
          <w:sz w:val="32"/>
          <w:u w:val="single"/>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03</w:t>
      </w:r>
      <w:r>
        <w:rPr>
          <w:rFonts w:hint="eastAsia" w:eastAsia="仿宋_GB2312"/>
          <w:sz w:val="32"/>
        </w:rPr>
        <w:t>月</w:t>
      </w:r>
      <w:r>
        <w:rPr>
          <w:rFonts w:hint="eastAsia" w:eastAsia="仿宋_GB2312"/>
          <w:sz w:val="32"/>
          <w:lang w:val="en-US" w:eastAsia="zh-CN"/>
        </w:rPr>
        <w:t>25</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701" w:left="1417" w:header="851" w:footer="992" w:gutter="0"/>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5"/>
        <w:tblW w:w="0" w:type="auto"/>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楼堂馆所面积控制率=实际建设面积/批准建设面积×100%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楼堂馆所投资预算控制率=实际投资金额/批准投资金额×100%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公用经费控制率=（实际支出公用经费总额/预算安排公用经费总额）×100%。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政府采购执行率=（实际政府采购金额/政府采购预算数）×100%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①有内部财务管理制度、会计核算制度等管理制度，2分；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根据绩效办2015年对各部门为民办实事和部门重点工程与重点工作考核分数折算。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90%（含）以上计6分；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80%（含）-90%，计4分；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70%（含）-80%，计2分；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　</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5"/>
        <w:tblW w:w="10490" w:type="dxa"/>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2018年决算数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4093.136865</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1261</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4226.74</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1、业务工作专项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2、运行维护专项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24.57</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28.30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23.73</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szCs w:val="24"/>
                <w:lang w:val="en-US" w:eastAsia="zh-CN" w:bidi="ar-SA"/>
              </w:rPr>
            </w:pP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szCs w:val="24"/>
                <w:lang w:val="en-US" w:eastAsia="zh-CN" w:bidi="ar-SA"/>
              </w:rPr>
            </w:pP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szCs w:val="24"/>
                <w:lang w:val="en-US" w:eastAsia="zh-CN" w:bidi="ar-SA"/>
              </w:rPr>
            </w:pP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154" w:hRule="atLeast"/>
          <w:jc w:val="center"/>
        </w:trPr>
        <w:tc>
          <w:tcPr>
            <w:tcW w:w="35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楼堂馆所控制情况</w:t>
            </w:r>
            <w:r>
              <w:rPr>
                <w:rFonts w:hint="eastAsia" w:ascii="宋体" w:hAnsi="宋体" w:cs="宋体"/>
                <w:kern w:val="0"/>
                <w:sz w:val="24"/>
              </w:rPr>
              <w:br w:type="textWrapping"/>
            </w:r>
            <w:r>
              <w:rPr>
                <w:rFonts w:hint="eastAsia" w:ascii="宋体" w:hAnsi="宋体" w:cs="宋体"/>
                <w:kern w:val="0"/>
                <w:sz w:val="24"/>
              </w:rPr>
              <w:t>（2019年完工项目）</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批复规模</w:t>
            </w:r>
            <w:r>
              <w:rPr>
                <w:rFonts w:hint="eastAsia" w:ascii="宋体" w:hAnsi="宋体" w:cs="宋体"/>
                <w:b/>
                <w:bCs/>
                <w:kern w:val="0"/>
                <w:sz w:val="24"/>
              </w:rPr>
              <w:br w:type="textWrapping"/>
            </w: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实际规模</w:t>
            </w:r>
            <w:r>
              <w:rPr>
                <w:rFonts w:hint="eastAsia" w:ascii="宋体" w:hAnsi="宋体" w:cs="宋体"/>
                <w:b/>
                <w:bCs/>
                <w:kern w:val="0"/>
                <w:sz w:val="24"/>
              </w:rPr>
              <w:br w:type="textWrapping"/>
            </w: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预算投资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98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5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宋体" w:eastAsia="黑体" w:cs="宋体"/>
          <w:kern w:val="0"/>
          <w:sz w:val="32"/>
          <w:szCs w:val="32"/>
        </w:rPr>
      </w:pPr>
      <w:r>
        <w:rPr>
          <w:rFonts w:hint="eastAsia" w:ascii="黑体" w:hAnsi="宋体" w:eastAsia="黑体" w:cs="宋体"/>
          <w:kern w:val="0"/>
          <w:sz w:val="32"/>
          <w:szCs w:val="32"/>
        </w:rPr>
        <w:t>附件3</w:t>
      </w:r>
    </w:p>
    <w:p>
      <w:pPr>
        <w:rPr>
          <w:rFonts w:hint="eastAsia" w:ascii="黑体" w:hAnsi="宋体" w:eastAsia="黑体" w:cs="宋体"/>
          <w:kern w:val="0"/>
          <w:sz w:val="32"/>
          <w:szCs w:val="32"/>
        </w:rPr>
      </w:pPr>
    </w:p>
    <w:p>
      <w:pPr>
        <w:pStyle w:val="4"/>
        <w:spacing w:before="0" w:beforeAutospacing="0" w:after="0" w:afterAutospacing="0" w:line="500" w:lineRule="exact"/>
        <w:jc w:val="center"/>
        <w:rPr>
          <w:rStyle w:val="7"/>
          <w:rFonts w:hint="eastAsia" w:ascii="黑体" w:hAnsi="黑体" w:eastAsia="黑体" w:cs="黑体"/>
          <w:sz w:val="44"/>
          <w:szCs w:val="44"/>
        </w:rPr>
      </w:pPr>
      <w:r>
        <w:rPr>
          <w:rStyle w:val="7"/>
          <w:rFonts w:hint="eastAsia" w:ascii="黑体" w:hAnsi="黑体" w:eastAsia="黑体" w:cs="黑体"/>
          <w:sz w:val="44"/>
          <w:szCs w:val="44"/>
          <w:lang w:eastAsia="zh-CN"/>
        </w:rPr>
        <w:t>长沙市</w:t>
      </w:r>
      <w:r>
        <w:rPr>
          <w:rStyle w:val="7"/>
          <w:rFonts w:hint="eastAsia" w:ascii="黑体" w:hAnsi="黑体" w:eastAsia="黑体" w:cs="黑体"/>
          <w:sz w:val="44"/>
          <w:szCs w:val="44"/>
        </w:rPr>
        <w:t>雨花</w:t>
      </w:r>
      <w:r>
        <w:rPr>
          <w:rStyle w:val="7"/>
          <w:rFonts w:hint="eastAsia" w:ascii="黑体" w:hAnsi="黑体" w:eastAsia="黑体" w:cs="黑体"/>
          <w:sz w:val="44"/>
          <w:szCs w:val="44"/>
          <w:lang w:eastAsia="zh-CN"/>
        </w:rPr>
        <w:t>数据资源中心</w:t>
      </w:r>
      <w:r>
        <w:rPr>
          <w:rStyle w:val="7"/>
          <w:rFonts w:hint="eastAsia" w:ascii="黑体" w:hAnsi="黑体" w:eastAsia="黑体" w:cs="黑体"/>
          <w:sz w:val="44"/>
          <w:szCs w:val="44"/>
        </w:rPr>
        <w:t>部门整体支出</w:t>
      </w:r>
    </w:p>
    <w:p>
      <w:pPr>
        <w:pStyle w:val="4"/>
        <w:spacing w:before="0" w:beforeAutospacing="0" w:after="0" w:afterAutospacing="0" w:line="500" w:lineRule="exact"/>
        <w:jc w:val="center"/>
        <w:rPr>
          <w:rFonts w:hint="eastAsia" w:ascii="华文仿宋" w:hAnsi="华文仿宋" w:eastAsia="华文仿宋" w:cs="华文仿宋"/>
          <w:sz w:val="32"/>
          <w:szCs w:val="32"/>
        </w:rPr>
      </w:pPr>
      <w:r>
        <w:rPr>
          <w:rStyle w:val="7"/>
          <w:rFonts w:hint="eastAsia" w:ascii="黑体" w:hAnsi="黑体" w:eastAsia="黑体" w:cs="黑体"/>
          <w:sz w:val="44"/>
          <w:szCs w:val="44"/>
        </w:rPr>
        <w:t>绩效评价报告</w:t>
      </w:r>
    </w:p>
    <w:p>
      <w:pPr>
        <w:rPr>
          <w:rFonts w:hint="eastAsia" w:ascii="黑体" w:hAnsi="宋体" w:eastAsia="黑体" w:cs="宋体"/>
          <w:kern w:val="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rPr>
        <w:t>一、部门</w:t>
      </w:r>
      <w:r>
        <w:rPr>
          <w:rFonts w:hint="eastAsia" w:ascii="黑体" w:hAnsi="黑体" w:eastAsia="黑体" w:cs="黑体"/>
          <w:b w:val="0"/>
          <w:bCs/>
          <w:sz w:val="32"/>
          <w:szCs w:val="32"/>
          <w:lang w:eastAsia="zh-CN"/>
        </w:rPr>
        <w:t>概况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（一）部门</w:t>
      </w:r>
      <w:r>
        <w:rPr>
          <w:rFonts w:hint="eastAsia" w:ascii="仿宋" w:hAnsi="仿宋" w:eastAsia="仿宋" w:cs="仿宋"/>
          <w:kern w:val="0"/>
          <w:sz w:val="32"/>
          <w:szCs w:val="32"/>
          <w:lang w:eastAsia="zh-CN"/>
        </w:rPr>
        <w:t>基本情况</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eastAsia" w:ascii="仿宋_GB2312" w:eastAsia="仿宋_GB2312"/>
          <w:bCs/>
          <w:sz w:val="32"/>
          <w:szCs w:val="32"/>
        </w:rPr>
      </w:pPr>
      <w:r>
        <w:rPr>
          <w:rFonts w:hint="eastAsia" w:ascii="仿宋_GB2312" w:eastAsia="仿宋_GB2312"/>
          <w:bCs/>
          <w:sz w:val="32"/>
          <w:szCs w:val="32"/>
        </w:rPr>
        <w:t>l、贯彻执行国家、省、市有关电子政务、</w:t>
      </w:r>
      <w:r>
        <w:rPr>
          <w:rFonts w:hint="eastAsia" w:ascii="仿宋_GB2312" w:eastAsia="仿宋_GB2312"/>
          <w:bCs/>
          <w:sz w:val="32"/>
          <w:szCs w:val="32"/>
          <w:lang w:eastAsia="zh-CN"/>
        </w:rPr>
        <w:t>智慧</w:t>
      </w:r>
      <w:r>
        <w:rPr>
          <w:rFonts w:hint="eastAsia" w:ascii="仿宋_GB2312" w:eastAsia="仿宋_GB2312"/>
          <w:bCs/>
          <w:sz w:val="32"/>
          <w:szCs w:val="32"/>
        </w:rPr>
        <w:t>城市工作的方针、政策和法律、法规、规章；拟订和发布电子政务、</w:t>
      </w:r>
      <w:r>
        <w:rPr>
          <w:rFonts w:hint="eastAsia" w:ascii="仿宋_GB2312" w:eastAsia="仿宋_GB2312"/>
          <w:bCs/>
          <w:sz w:val="32"/>
          <w:szCs w:val="32"/>
          <w:lang w:eastAsia="zh-CN"/>
        </w:rPr>
        <w:t>智慧</w:t>
      </w:r>
      <w:r>
        <w:rPr>
          <w:rFonts w:hint="eastAsia" w:ascii="仿宋_GB2312" w:eastAsia="仿宋_GB2312"/>
          <w:bCs/>
          <w:sz w:val="32"/>
          <w:szCs w:val="32"/>
        </w:rPr>
        <w:t>城市工作规范性文件和政策，并组织实施；会同有关部门组织实施电子政务、</w:t>
      </w:r>
      <w:r>
        <w:rPr>
          <w:rFonts w:hint="eastAsia" w:ascii="仿宋_GB2312" w:eastAsia="仿宋_GB2312"/>
          <w:bCs/>
          <w:sz w:val="32"/>
          <w:szCs w:val="32"/>
          <w:lang w:eastAsia="zh-CN"/>
        </w:rPr>
        <w:t>智慧</w:t>
      </w:r>
      <w:r>
        <w:rPr>
          <w:rFonts w:hint="eastAsia" w:ascii="仿宋_GB2312" w:eastAsia="仿宋_GB2312"/>
          <w:bCs/>
          <w:sz w:val="32"/>
          <w:szCs w:val="32"/>
        </w:rPr>
        <w:t>城市相关技术和应用标准；组织建立电子政务、</w:t>
      </w:r>
      <w:r>
        <w:rPr>
          <w:rFonts w:hint="eastAsia" w:ascii="仿宋_GB2312" w:eastAsia="仿宋_GB2312"/>
          <w:bCs/>
          <w:sz w:val="32"/>
          <w:szCs w:val="32"/>
          <w:lang w:eastAsia="zh-CN"/>
        </w:rPr>
        <w:t>智慧</w:t>
      </w:r>
      <w:r>
        <w:rPr>
          <w:rFonts w:hint="eastAsia" w:ascii="仿宋_GB2312" w:eastAsia="仿宋_GB2312"/>
          <w:bCs/>
          <w:sz w:val="32"/>
          <w:szCs w:val="32"/>
        </w:rPr>
        <w:t>城市工作的协调机制。</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eastAsia" w:ascii="仿宋_GB2312" w:eastAsia="仿宋_GB2312"/>
          <w:bCs/>
          <w:sz w:val="32"/>
          <w:szCs w:val="32"/>
        </w:rPr>
      </w:pPr>
      <w:r>
        <w:rPr>
          <w:rFonts w:hint="eastAsia" w:ascii="仿宋_GB2312" w:eastAsia="仿宋_GB2312"/>
          <w:bCs/>
          <w:sz w:val="32"/>
          <w:szCs w:val="32"/>
        </w:rPr>
        <w:t>2、根据国民经济和社会发展总体规划，拟订电子政务、</w:t>
      </w:r>
      <w:r>
        <w:rPr>
          <w:rFonts w:hint="eastAsia" w:ascii="仿宋_GB2312" w:eastAsia="仿宋_GB2312"/>
          <w:bCs/>
          <w:sz w:val="32"/>
          <w:szCs w:val="32"/>
          <w:lang w:eastAsia="zh-CN"/>
        </w:rPr>
        <w:t>智慧</w:t>
      </w:r>
      <w:r>
        <w:rPr>
          <w:rFonts w:hint="eastAsia" w:ascii="仿宋_GB2312" w:eastAsia="仿宋_GB2312"/>
          <w:bCs/>
          <w:sz w:val="32"/>
          <w:szCs w:val="32"/>
        </w:rPr>
        <w:t>城市发展战略，编制电子政务、</w:t>
      </w:r>
      <w:r>
        <w:rPr>
          <w:rFonts w:hint="eastAsia" w:ascii="仿宋_GB2312" w:eastAsia="仿宋_GB2312"/>
          <w:bCs/>
          <w:sz w:val="32"/>
          <w:szCs w:val="32"/>
          <w:lang w:eastAsia="zh-CN"/>
        </w:rPr>
        <w:t>智慧</w:t>
      </w:r>
      <w:r>
        <w:rPr>
          <w:rFonts w:hint="eastAsia" w:ascii="仿宋_GB2312" w:eastAsia="仿宋_GB2312"/>
          <w:bCs/>
          <w:sz w:val="32"/>
          <w:szCs w:val="32"/>
        </w:rPr>
        <w:t>城市中长期规划和年度计划，并监督实施；组织建立电子政务和</w:t>
      </w:r>
      <w:r>
        <w:rPr>
          <w:rFonts w:hint="eastAsia" w:ascii="仿宋_GB2312" w:eastAsia="仿宋_GB2312"/>
          <w:bCs/>
          <w:sz w:val="32"/>
          <w:szCs w:val="32"/>
          <w:lang w:eastAsia="zh-CN"/>
        </w:rPr>
        <w:t>智慧</w:t>
      </w:r>
      <w:r>
        <w:rPr>
          <w:rFonts w:hint="eastAsia" w:ascii="仿宋_GB2312" w:eastAsia="仿宋_GB2312"/>
          <w:bCs/>
          <w:sz w:val="32"/>
          <w:szCs w:val="32"/>
        </w:rPr>
        <w:t>城市建设调查统计制度。</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eastAsia" w:ascii="仿宋_GB2312" w:eastAsia="仿宋_GB2312"/>
          <w:bCs/>
          <w:sz w:val="32"/>
          <w:szCs w:val="32"/>
        </w:rPr>
      </w:pPr>
      <w:r>
        <w:rPr>
          <w:rFonts w:hint="eastAsia" w:ascii="仿宋_GB2312" w:eastAsia="仿宋_GB2312"/>
          <w:bCs/>
          <w:sz w:val="32"/>
          <w:szCs w:val="32"/>
        </w:rPr>
        <w:t>3、会同有关部门组织实施和管理政府投资的电子政务、</w:t>
      </w:r>
      <w:r>
        <w:rPr>
          <w:rFonts w:hint="eastAsia" w:ascii="仿宋_GB2312" w:eastAsia="仿宋_GB2312"/>
          <w:bCs/>
          <w:sz w:val="32"/>
          <w:szCs w:val="32"/>
          <w:lang w:eastAsia="zh-CN"/>
        </w:rPr>
        <w:t>智慧</w:t>
      </w:r>
      <w:r>
        <w:rPr>
          <w:rFonts w:hint="eastAsia" w:ascii="仿宋_GB2312" w:eastAsia="仿宋_GB2312"/>
          <w:bCs/>
          <w:sz w:val="32"/>
          <w:szCs w:val="32"/>
        </w:rPr>
        <w:t>城市项目。</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eastAsia" w:ascii="仿宋_GB2312" w:eastAsia="仿宋_GB2312"/>
          <w:bCs/>
          <w:sz w:val="32"/>
          <w:szCs w:val="32"/>
        </w:rPr>
      </w:pPr>
      <w:r>
        <w:rPr>
          <w:rFonts w:hint="eastAsia" w:ascii="仿宋_GB2312" w:eastAsia="仿宋_GB2312"/>
          <w:bCs/>
          <w:sz w:val="32"/>
          <w:szCs w:val="32"/>
        </w:rPr>
        <w:t>4、组织、协调和指导信息资源的开发、电子政务建设应用以及</w:t>
      </w:r>
      <w:r>
        <w:rPr>
          <w:rFonts w:hint="eastAsia" w:ascii="仿宋_GB2312" w:eastAsia="仿宋_GB2312"/>
          <w:bCs/>
          <w:sz w:val="32"/>
          <w:szCs w:val="32"/>
          <w:lang w:eastAsia="zh-CN"/>
        </w:rPr>
        <w:t>智慧</w:t>
      </w:r>
      <w:r>
        <w:rPr>
          <w:rFonts w:hint="eastAsia" w:ascii="仿宋_GB2312" w:eastAsia="仿宋_GB2312"/>
          <w:bCs/>
          <w:sz w:val="32"/>
          <w:szCs w:val="32"/>
        </w:rPr>
        <w:t>城市应用推进工作；负责社会公共信息资源共享的协调管理；负责建立全区电子政务骨干网；组织协调跨部门、跨行业、跨领域的</w:t>
      </w:r>
      <w:r>
        <w:rPr>
          <w:rFonts w:hint="eastAsia" w:ascii="仿宋_GB2312" w:eastAsia="仿宋_GB2312"/>
          <w:bCs/>
          <w:sz w:val="32"/>
          <w:szCs w:val="32"/>
          <w:lang w:eastAsia="zh-CN"/>
        </w:rPr>
        <w:t>智慧</w:t>
      </w:r>
      <w:r>
        <w:rPr>
          <w:rFonts w:hint="eastAsia" w:ascii="仿宋_GB2312" w:eastAsia="仿宋_GB2312"/>
          <w:bCs/>
          <w:sz w:val="32"/>
          <w:szCs w:val="32"/>
        </w:rPr>
        <w:t>化应用；承担区政府门户网站及集约化体系的建设与管理；负责平安城市监控系统的运维工作。</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eastAsia" w:ascii="仿宋_GB2312" w:eastAsia="仿宋_GB2312"/>
          <w:bCs/>
          <w:sz w:val="32"/>
          <w:szCs w:val="32"/>
        </w:rPr>
      </w:pPr>
      <w:r>
        <w:rPr>
          <w:rFonts w:hint="eastAsia" w:ascii="仿宋_GB2312" w:eastAsia="仿宋_GB2312"/>
          <w:bCs/>
          <w:sz w:val="32"/>
          <w:szCs w:val="32"/>
        </w:rPr>
        <w:t>5、负责组织推进、指导、协调、监督全区政府信息公开工作。</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eastAsia" w:ascii="仿宋_GB2312" w:eastAsia="仿宋_GB2312"/>
          <w:bCs/>
          <w:sz w:val="32"/>
          <w:szCs w:val="32"/>
        </w:rPr>
      </w:pPr>
      <w:r>
        <w:rPr>
          <w:rFonts w:hint="eastAsia" w:ascii="仿宋_GB2312" w:eastAsia="仿宋_GB2312"/>
          <w:bCs/>
          <w:sz w:val="32"/>
          <w:szCs w:val="32"/>
        </w:rPr>
        <w:t>6、承担全区网上办事业务系统及电子监察系统建设；负责全区党政机关协同办公系统的建设、运行和维护。</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eastAsia" w:ascii="仿宋_GB2312" w:eastAsia="仿宋_GB2312"/>
          <w:bCs/>
          <w:sz w:val="32"/>
          <w:szCs w:val="32"/>
        </w:rPr>
      </w:pPr>
      <w:r>
        <w:rPr>
          <w:rFonts w:hint="eastAsia" w:ascii="仿宋_GB2312" w:eastAsia="仿宋_GB2312"/>
          <w:bCs/>
          <w:sz w:val="32"/>
          <w:szCs w:val="32"/>
        </w:rPr>
        <w:t>7、负责电子政务信息安全的技术管理工作；参与指导监督政府部门的重要信息系统与基础信息网络的安全保障工作，协调处理电子政务信息安全的重大事件。</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jc w:val="left"/>
        <w:textAlignment w:val="auto"/>
        <w:rPr>
          <w:rFonts w:hint="eastAsia" w:ascii="仿宋_GB2312" w:eastAsia="仿宋_GB2312"/>
          <w:bCs/>
          <w:sz w:val="32"/>
          <w:szCs w:val="32"/>
        </w:rPr>
      </w:pPr>
      <w:r>
        <w:rPr>
          <w:rFonts w:hint="eastAsia" w:ascii="仿宋_GB2312" w:eastAsia="仿宋_GB2312"/>
          <w:bCs/>
          <w:sz w:val="32"/>
          <w:szCs w:val="32"/>
        </w:rPr>
        <w:t>8、负责电子政务、</w:t>
      </w:r>
      <w:r>
        <w:rPr>
          <w:rFonts w:hint="eastAsia" w:ascii="仿宋_GB2312" w:eastAsia="仿宋_GB2312"/>
          <w:bCs/>
          <w:sz w:val="32"/>
          <w:szCs w:val="32"/>
          <w:lang w:eastAsia="zh-CN"/>
        </w:rPr>
        <w:t>智慧</w:t>
      </w:r>
      <w:r>
        <w:rPr>
          <w:rFonts w:hint="eastAsia" w:ascii="仿宋_GB2312" w:eastAsia="仿宋_GB2312"/>
          <w:bCs/>
          <w:sz w:val="32"/>
          <w:szCs w:val="32"/>
        </w:rPr>
        <w:t>城市、信息技术等相关培训工作。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rPr>
        <w:t>（ 二）机构设置及人员情况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ascii="仿宋" w:hAnsi="仿宋" w:eastAsia="仿宋"/>
          <w:sz w:val="32"/>
          <w:szCs w:val="32"/>
          <w:lang w:val="en-US" w:eastAsia="zh-CN"/>
        </w:rPr>
        <w:t>长沙市雨花区电子政务管理办公室是由区政府办归口管理的正科级事业单位，核定事业编制11人，</w:t>
      </w:r>
      <w:r>
        <w:rPr>
          <w:rFonts w:hint="eastAsia" w:ascii="仿宋_GB2312" w:eastAsia="仿宋_GB2312"/>
          <w:bCs/>
          <w:sz w:val="32"/>
          <w:szCs w:val="32"/>
        </w:rPr>
        <w:t>依据雨雇通知</w:t>
      </w:r>
      <w:r>
        <w:rPr>
          <w:rFonts w:hint="eastAsia" w:ascii="仿宋_GB2312" w:eastAsia="仿宋_GB2312"/>
          <w:bCs/>
          <w:sz w:val="32"/>
          <w:szCs w:val="32"/>
          <w:lang w:eastAsia="zh-CN"/>
        </w:rPr>
        <w:t>〔</w:t>
      </w:r>
      <w:r>
        <w:rPr>
          <w:rFonts w:hint="eastAsia" w:ascii="华文仿宋" w:hAnsi="华文仿宋" w:eastAsia="华文仿宋" w:cs="华文仿宋"/>
          <w:sz w:val="32"/>
          <w:szCs w:val="32"/>
        </w:rPr>
        <w:t>2014</w:t>
      </w:r>
      <w:r>
        <w:rPr>
          <w:rFonts w:hint="eastAsia" w:ascii="仿宋_GB2312" w:eastAsia="仿宋_GB2312"/>
          <w:bCs/>
          <w:sz w:val="32"/>
          <w:szCs w:val="32"/>
          <w:lang w:eastAsia="zh-CN"/>
        </w:rPr>
        <w:t>〕</w:t>
      </w:r>
      <w:r>
        <w:rPr>
          <w:rFonts w:hint="eastAsia" w:ascii="华文仿宋" w:hAnsi="华文仿宋" w:eastAsia="华文仿宋" w:cs="华文仿宋"/>
          <w:sz w:val="32"/>
          <w:szCs w:val="32"/>
        </w:rPr>
        <w:t>31号核定</w:t>
      </w:r>
      <w:r>
        <w:rPr>
          <w:rFonts w:hint="eastAsia" w:ascii="仿宋_GB2312" w:eastAsia="仿宋_GB2312"/>
          <w:bCs/>
          <w:sz w:val="32"/>
          <w:szCs w:val="32"/>
        </w:rPr>
        <w:t>雇员数额4人</w:t>
      </w:r>
      <w:r>
        <w:rPr>
          <w:rFonts w:hint="eastAsia" w:ascii="仿宋_GB2312" w:eastAsia="仿宋_GB2312"/>
          <w:bCs/>
          <w:sz w:val="32"/>
          <w:szCs w:val="32"/>
          <w:lang w:eastAsia="zh-CN"/>
        </w:rPr>
        <w:t>，根据长沙市雨花区人民政府区长办公会议纪要〔201</w:t>
      </w:r>
      <w:r>
        <w:rPr>
          <w:rFonts w:hint="eastAsia" w:ascii="仿宋_GB2312" w:eastAsia="仿宋_GB2312"/>
          <w:bCs/>
          <w:sz w:val="32"/>
          <w:szCs w:val="32"/>
          <w:lang w:val="en-US" w:eastAsia="zh-CN"/>
        </w:rPr>
        <w:t>7</w:t>
      </w:r>
      <w:r>
        <w:rPr>
          <w:rFonts w:hint="eastAsia" w:ascii="仿宋_GB2312" w:eastAsia="仿宋_GB2312"/>
          <w:bCs/>
          <w:sz w:val="32"/>
          <w:szCs w:val="32"/>
          <w:lang w:eastAsia="zh-CN"/>
        </w:rPr>
        <w:t>〕</w:t>
      </w:r>
      <w:r>
        <w:rPr>
          <w:rFonts w:hint="eastAsia" w:ascii="仿宋_GB2312" w:eastAsia="仿宋_GB2312"/>
          <w:bCs/>
          <w:sz w:val="32"/>
          <w:szCs w:val="32"/>
          <w:lang w:val="en-US" w:eastAsia="zh-CN"/>
        </w:rPr>
        <w:t>14号公开招聘3名特殊岗位编外合同制人员，目前</w:t>
      </w:r>
      <w:r>
        <w:rPr>
          <w:rFonts w:hint="eastAsia" w:ascii="仿宋_GB2312" w:eastAsia="仿宋_GB2312"/>
          <w:bCs/>
          <w:sz w:val="32"/>
          <w:szCs w:val="32"/>
        </w:rPr>
        <w:t>区</w:t>
      </w:r>
      <w:r>
        <w:rPr>
          <w:rFonts w:hint="eastAsia" w:ascii="仿宋_GB2312" w:eastAsia="仿宋_GB2312"/>
          <w:bCs/>
          <w:sz w:val="32"/>
          <w:szCs w:val="32"/>
          <w:lang w:eastAsia="zh-CN"/>
        </w:rPr>
        <w:t>数据资源中心</w:t>
      </w:r>
      <w:r>
        <w:rPr>
          <w:rFonts w:hint="eastAsia" w:ascii="仿宋_GB2312" w:eastAsia="仿宋_GB2312"/>
          <w:bCs/>
          <w:sz w:val="32"/>
          <w:szCs w:val="32"/>
        </w:rPr>
        <w:t>在编在岗工作人员</w:t>
      </w:r>
      <w:r>
        <w:rPr>
          <w:rFonts w:hint="eastAsia" w:ascii="仿宋_GB2312" w:eastAsia="仿宋_GB2312"/>
          <w:bCs/>
          <w:sz w:val="32"/>
          <w:szCs w:val="32"/>
          <w:lang w:val="en-US" w:eastAsia="zh-CN"/>
        </w:rPr>
        <w:t>11</w:t>
      </w:r>
      <w:r>
        <w:rPr>
          <w:rFonts w:hint="eastAsia" w:ascii="仿宋_GB2312" w:eastAsia="仿宋_GB2312"/>
          <w:bCs/>
          <w:sz w:val="32"/>
          <w:szCs w:val="32"/>
        </w:rPr>
        <w:t>名，雇员</w:t>
      </w:r>
      <w:r>
        <w:rPr>
          <w:rFonts w:hint="eastAsia" w:ascii="仿宋_GB2312" w:eastAsia="仿宋_GB2312"/>
          <w:bCs/>
          <w:sz w:val="32"/>
          <w:szCs w:val="32"/>
          <w:lang w:val="en-US" w:eastAsia="zh-CN"/>
        </w:rPr>
        <w:t>6</w:t>
      </w:r>
      <w:r>
        <w:rPr>
          <w:rFonts w:hint="eastAsia" w:ascii="仿宋_GB2312" w:eastAsia="仿宋_GB2312"/>
          <w:bCs/>
          <w:sz w:val="32"/>
          <w:szCs w:val="32"/>
        </w:rPr>
        <w:t>人。</w:t>
      </w:r>
      <w:r>
        <w:rPr>
          <w:rFonts w:hint="eastAsia" w:ascii="仿宋" w:hAnsi="仿宋" w:eastAsia="仿宋"/>
          <w:sz w:val="32"/>
          <w:szCs w:val="32"/>
        </w:rPr>
        <w:t>内设综合科</w:t>
      </w:r>
      <w:r>
        <w:rPr>
          <w:rFonts w:hint="eastAsia" w:ascii="仿宋" w:hAnsi="仿宋" w:eastAsia="仿宋"/>
          <w:sz w:val="32"/>
          <w:szCs w:val="32"/>
          <w:lang w:eastAsia="zh-CN"/>
        </w:rPr>
        <w:t>（办公室）</w:t>
      </w:r>
      <w:r>
        <w:rPr>
          <w:rFonts w:hint="eastAsia" w:ascii="仿宋" w:hAnsi="仿宋" w:eastAsia="仿宋"/>
          <w:sz w:val="32"/>
          <w:szCs w:val="32"/>
        </w:rPr>
        <w:t>、网络管理科、网站管理科、应用推进科、资源管理科5个</w:t>
      </w:r>
      <w:r>
        <w:rPr>
          <w:rFonts w:hint="eastAsia" w:ascii="仿宋" w:hAnsi="仿宋" w:eastAsia="仿宋"/>
          <w:sz w:val="32"/>
          <w:szCs w:val="32"/>
          <w:lang w:eastAsia="zh-CN"/>
        </w:rPr>
        <w:t>职能</w:t>
      </w:r>
      <w:r>
        <w:rPr>
          <w:rFonts w:hint="eastAsia" w:ascii="仿宋" w:hAnsi="仿宋" w:eastAsia="仿宋"/>
          <w:sz w:val="32"/>
          <w:szCs w:val="32"/>
        </w:rPr>
        <w:t>科</w:t>
      </w:r>
      <w:r>
        <w:rPr>
          <w:rFonts w:hint="eastAsia" w:ascii="仿宋" w:hAnsi="仿宋" w:eastAsia="仿宋"/>
          <w:sz w:val="32"/>
          <w:szCs w:val="32"/>
          <w:lang w:eastAsia="zh-CN"/>
        </w:rPr>
        <w:t>（</w:t>
      </w:r>
      <w:r>
        <w:rPr>
          <w:rFonts w:hint="eastAsia" w:ascii="仿宋" w:hAnsi="仿宋" w:eastAsia="仿宋"/>
          <w:sz w:val="32"/>
          <w:szCs w:val="32"/>
        </w:rPr>
        <w:t>室</w:t>
      </w:r>
      <w:r>
        <w:rPr>
          <w:rFonts w:hint="eastAsia" w:ascii="仿宋" w:hAnsi="仿宋" w:eastAsia="仿宋"/>
          <w:sz w:val="32"/>
          <w:szCs w:val="32"/>
          <w:lang w:eastAsia="zh-CN"/>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kern w:val="0"/>
          <w:sz w:val="32"/>
          <w:szCs w:val="32"/>
          <w:lang w:eastAsia="zh-CN"/>
        </w:rPr>
      </w:pPr>
      <w:r>
        <w:rPr>
          <w:rFonts w:hint="eastAsia" w:eastAsia="仿宋_GB2312"/>
          <w:sz w:val="32"/>
          <w:szCs w:val="32"/>
          <w:lang w:eastAsia="zh-CN"/>
        </w:rPr>
        <w:t>（三）</w:t>
      </w:r>
      <w:r>
        <w:rPr>
          <w:rFonts w:hint="eastAsia" w:eastAsia="仿宋_GB2312"/>
          <w:color w:val="auto"/>
          <w:sz w:val="32"/>
          <w:szCs w:val="32"/>
          <w:lang w:val="en-US" w:eastAsia="zh-CN"/>
        </w:rPr>
        <w:t>2019年预算批复1557.43万元，其中基本支出296.43万元，项目支出1261万</w:t>
      </w:r>
      <w:r>
        <w:rPr>
          <w:rFonts w:hint="eastAsia" w:eastAsia="仿宋_GB2312"/>
          <w:sz w:val="32"/>
          <w:szCs w:val="32"/>
          <w:lang w:val="en-US" w:eastAsia="zh-CN"/>
        </w:rPr>
        <w:t>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部门整体支出管理及使用情况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楷体_GB2312"/>
          <w:b/>
          <w:sz w:val="32"/>
          <w:szCs w:val="32"/>
        </w:rPr>
      </w:pPr>
      <w:r>
        <w:rPr>
          <w:rFonts w:hint="eastAsia" w:eastAsia="楷体_GB2312"/>
          <w:b/>
          <w:sz w:val="32"/>
          <w:szCs w:val="32"/>
        </w:rPr>
        <w:t>（一）基本支出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19</w:t>
      </w:r>
      <w:r>
        <w:rPr>
          <w:rFonts w:hint="eastAsia" w:eastAsia="仿宋_GB2312"/>
          <w:sz w:val="32"/>
          <w:szCs w:val="32"/>
        </w:rPr>
        <w:t>年度基本支出决算数</w:t>
      </w:r>
      <w:r>
        <w:rPr>
          <w:rFonts w:hint="eastAsia" w:eastAsia="仿宋_GB2312"/>
          <w:sz w:val="32"/>
          <w:szCs w:val="32"/>
          <w:lang w:val="en-US" w:eastAsia="zh-CN"/>
        </w:rPr>
        <w:t>340.69</w:t>
      </w:r>
      <w:r>
        <w:rPr>
          <w:rFonts w:hint="eastAsia" w:eastAsia="仿宋_GB2312"/>
          <w:sz w:val="32"/>
          <w:szCs w:val="32"/>
        </w:rPr>
        <w:t>万元，占支出总额</w:t>
      </w:r>
      <w:r>
        <w:rPr>
          <w:rFonts w:hint="eastAsia" w:eastAsia="仿宋_GB2312"/>
          <w:sz w:val="32"/>
          <w:szCs w:val="32"/>
          <w:lang w:val="en-US" w:eastAsia="zh-CN"/>
        </w:rPr>
        <w:t>6</w:t>
      </w:r>
      <w:r>
        <w:rPr>
          <w:rFonts w:hint="eastAsia" w:eastAsia="仿宋_GB2312"/>
          <w:sz w:val="32"/>
          <w:szCs w:val="32"/>
        </w:rPr>
        <w:t>%；主要包含201</w:t>
      </w:r>
      <w:r>
        <w:rPr>
          <w:rFonts w:hint="eastAsia" w:eastAsia="仿宋_GB2312"/>
          <w:sz w:val="32"/>
          <w:szCs w:val="32"/>
          <w:lang w:val="en-US" w:eastAsia="zh-CN"/>
        </w:rPr>
        <w:t>9</w:t>
      </w:r>
      <w:r>
        <w:rPr>
          <w:rFonts w:hint="eastAsia" w:eastAsia="仿宋_GB2312"/>
          <w:sz w:val="32"/>
          <w:szCs w:val="32"/>
        </w:rPr>
        <w:t>年度人员工资福利支出、公用办公经费支出、工会经费支出等。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rPr>
        <w:t>其中“三公”经费支出情况：公务车运行与维护费支出预算数</w:t>
      </w:r>
      <w:r>
        <w:rPr>
          <w:rFonts w:hint="eastAsia" w:eastAsia="仿宋_GB2312"/>
          <w:sz w:val="32"/>
          <w:szCs w:val="32"/>
          <w:lang w:val="en-US" w:eastAsia="zh-CN"/>
        </w:rPr>
        <w:t>0</w:t>
      </w:r>
      <w:r>
        <w:rPr>
          <w:rFonts w:hint="eastAsia" w:eastAsia="仿宋_GB2312"/>
          <w:sz w:val="32"/>
          <w:szCs w:val="32"/>
        </w:rPr>
        <w:t>万元，决算数</w:t>
      </w:r>
      <w:r>
        <w:rPr>
          <w:rFonts w:hint="eastAsia" w:eastAsia="仿宋_GB2312"/>
          <w:sz w:val="32"/>
          <w:szCs w:val="32"/>
          <w:lang w:val="en-US" w:eastAsia="zh-CN"/>
        </w:rPr>
        <w:t>0</w:t>
      </w:r>
      <w:r>
        <w:rPr>
          <w:rFonts w:hint="eastAsia" w:eastAsia="仿宋_GB2312"/>
          <w:sz w:val="32"/>
          <w:szCs w:val="32"/>
        </w:rPr>
        <w:t>万元；公务接待支出预算数</w:t>
      </w:r>
      <w:r>
        <w:rPr>
          <w:rFonts w:hint="eastAsia" w:eastAsia="仿宋_GB2312"/>
          <w:sz w:val="32"/>
          <w:szCs w:val="32"/>
          <w:lang w:val="en-US" w:eastAsia="zh-CN"/>
        </w:rPr>
        <w:t>1</w:t>
      </w:r>
      <w:r>
        <w:rPr>
          <w:rFonts w:hint="eastAsia" w:eastAsia="仿宋_GB2312"/>
          <w:sz w:val="32"/>
          <w:szCs w:val="32"/>
        </w:rPr>
        <w:t>万元，决算数</w:t>
      </w:r>
      <w:r>
        <w:rPr>
          <w:rFonts w:hint="eastAsia" w:eastAsia="仿宋_GB2312"/>
          <w:sz w:val="32"/>
          <w:szCs w:val="32"/>
          <w:lang w:val="en-US" w:eastAsia="zh-CN"/>
        </w:rPr>
        <w:t>0</w:t>
      </w:r>
      <w:r>
        <w:rPr>
          <w:rFonts w:hint="eastAsia" w:eastAsia="仿宋_GB2312"/>
          <w:sz w:val="32"/>
          <w:szCs w:val="32"/>
        </w:rPr>
        <w:t>万元；</w:t>
      </w:r>
      <w:r>
        <w:rPr>
          <w:rFonts w:hint="eastAsia" w:eastAsia="仿宋_GB2312"/>
          <w:sz w:val="32"/>
          <w:szCs w:val="32"/>
          <w:lang w:eastAsia="zh-CN"/>
        </w:rPr>
        <w:t>因公出国出境预算数</w:t>
      </w:r>
      <w:r>
        <w:rPr>
          <w:rFonts w:hint="eastAsia" w:eastAsia="仿宋_GB2312"/>
          <w:sz w:val="32"/>
          <w:szCs w:val="32"/>
          <w:lang w:val="en-US" w:eastAsia="zh-CN"/>
        </w:rPr>
        <w:t>0万元，决算数0万元。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楷体_GB2312"/>
          <w:b/>
          <w:sz w:val="32"/>
          <w:szCs w:val="32"/>
          <w:lang w:val="en-US" w:eastAsia="zh-CN"/>
        </w:rPr>
      </w:pPr>
      <w:r>
        <w:rPr>
          <w:rFonts w:hint="eastAsia" w:eastAsia="楷体_GB2312"/>
          <w:b/>
          <w:sz w:val="32"/>
          <w:szCs w:val="32"/>
        </w:rPr>
        <w:t>（二）专项支出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1、</w:t>
      </w:r>
      <w:r>
        <w:rPr>
          <w:rFonts w:hint="eastAsia" w:eastAsia="仿宋_GB2312"/>
          <w:sz w:val="32"/>
          <w:szCs w:val="32"/>
        </w:rPr>
        <w:t>项目支出决算数</w:t>
      </w:r>
      <w:r>
        <w:rPr>
          <w:rFonts w:hint="eastAsia" w:eastAsia="仿宋_GB2312"/>
          <w:sz w:val="32"/>
          <w:szCs w:val="32"/>
          <w:lang w:val="en-US" w:eastAsia="zh-CN"/>
        </w:rPr>
        <w:t>4226.74</w:t>
      </w:r>
      <w:r>
        <w:rPr>
          <w:rFonts w:hint="eastAsia" w:eastAsia="仿宋_GB2312"/>
          <w:sz w:val="32"/>
          <w:szCs w:val="32"/>
        </w:rPr>
        <w:t>万元，占总支出的</w:t>
      </w:r>
      <w:r>
        <w:rPr>
          <w:rFonts w:hint="eastAsia" w:eastAsia="仿宋_GB2312"/>
          <w:sz w:val="32"/>
          <w:szCs w:val="32"/>
          <w:lang w:val="en-US" w:eastAsia="zh-CN"/>
        </w:rPr>
        <w:t>94</w:t>
      </w:r>
      <w:r>
        <w:rPr>
          <w:rFonts w:hint="eastAsia" w:eastAsia="仿宋_GB2312"/>
          <w:sz w:val="32"/>
          <w:szCs w:val="32"/>
        </w:rPr>
        <w:t>%。主要</w:t>
      </w:r>
      <w:r>
        <w:rPr>
          <w:rFonts w:hint="eastAsia" w:eastAsia="仿宋_GB2312"/>
          <w:sz w:val="32"/>
          <w:szCs w:val="32"/>
          <w:lang w:eastAsia="zh-CN"/>
        </w:rPr>
        <w:t>包括市、区财政下拨的第二十六届中国国际农产品交易会暨</w:t>
      </w:r>
      <w:r>
        <w:rPr>
          <w:rFonts w:hint="eastAsia" w:eastAsia="仿宋_GB2312"/>
          <w:sz w:val="32"/>
          <w:szCs w:val="32"/>
          <w:lang w:val="en-US" w:eastAsia="zh-CN"/>
        </w:rPr>
        <w:t>第二十届中国中部（湖南）农业博览会专项经费、线路租用项目经费、安防系统维护项目经费、政府网站项目经费、政务网络管理项目经费、终端维护项目经费、网络安全设备采购项目经费、短信发送项目经费、安全管理项目经费、信息化建设专项经费、产业扶持专项经费、工程尾款经费、规划工作经费、会展工作经费、国土卫片执法经费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rPr>
        <w:t>2、专项资金（主要指财政资金）实际使用情况如下：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eastAsia="zh-CN"/>
        </w:rPr>
        <w:t>安防系统维护经费</w:t>
      </w:r>
      <w:r>
        <w:rPr>
          <w:rFonts w:hint="eastAsia" w:eastAsia="仿宋_GB2312"/>
          <w:sz w:val="32"/>
          <w:szCs w:val="32"/>
          <w:lang w:val="en-US" w:eastAsia="zh-CN"/>
        </w:rPr>
        <w:t>180万元，</w:t>
      </w:r>
      <w:r>
        <w:rPr>
          <w:rFonts w:hint="eastAsia" w:eastAsia="仿宋_GB2312"/>
          <w:color w:val="000000"/>
          <w:sz w:val="32"/>
          <w:szCs w:val="32"/>
          <w:lang w:val="en-US" w:eastAsia="zh-CN"/>
        </w:rPr>
        <w:t>上年度结转48.3395万元，实际使用157.48万元，剩余70.8587万元</w:t>
      </w:r>
      <w:r>
        <w:rPr>
          <w:rFonts w:hint="eastAsia"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安全管理经费40万元，上年度结转2.9万元，实际使用22万元，剩余2.9万元。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长财农指〔2018〕0164号下达第十六届中国国际农产品交易会专项资金400万元，实际使用400万元，剩余0万元；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70C0"/>
          <w:sz w:val="32"/>
          <w:szCs w:val="32"/>
          <w:lang w:val="en-US" w:eastAsia="zh-CN"/>
        </w:rPr>
      </w:pPr>
      <w:r>
        <w:rPr>
          <w:rFonts w:hint="eastAsia" w:eastAsia="仿宋_GB2312"/>
          <w:color w:val="000000"/>
          <w:sz w:val="32"/>
          <w:szCs w:val="32"/>
          <w:lang w:val="en-US" w:eastAsia="zh-CN"/>
        </w:rPr>
        <w:t>长财农指〔2018〕0225号下达第十六届中国国际农产品交专项资金500万元，实际使用500万元，剩余0万元；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长财农指〔2019〕0010号下达第二十六届中国国际农产品交易会专项资金200万元，实际使用200万元，剩余0万元；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长财外指〔2019〕0060号下达2019省级第一批农业财政资金300万元，实际使用300万元，剩余0万元；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短信发送经费35万元，上年度结转28.9288万元，实际使用12.3196万元，剩余22.6803万元；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规划工作专项经费100万元，实际使用96.7510，剩余3.2490万元；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工程尾款经费19.3360万元，实际使用13.9550万元，剩余5.3810万元；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会展工作经费40万，实际使用24.6984万元，剩余15.3015万元，；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卫片执法工作经费30万，实际使用30万元，剩余30万元；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信息化建设专项经费，实际使用907.7244万元，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线路租用费591万元，实际使用377.1955万元，剩余213.8045万元；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政府网站管理费70万，上年度结转8.6780万元，实际使用,48.3552万元，剩余30.3228万元；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70C0"/>
          <w:sz w:val="32"/>
          <w:szCs w:val="32"/>
          <w:lang w:val="en-US" w:eastAsia="zh-CN"/>
        </w:rPr>
      </w:pPr>
      <w:r>
        <w:rPr>
          <w:rFonts w:hint="eastAsia" w:eastAsia="仿宋_GB2312"/>
          <w:color w:val="000000"/>
          <w:sz w:val="32"/>
          <w:szCs w:val="32"/>
          <w:lang w:val="en-US" w:eastAsia="zh-CN"/>
        </w:rPr>
        <w:t>政务网络管理费75万，实际使用66.48万元，剩余8.52万元；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终端维护经费30万，上年度结转11.1753万元，实际使用12.7632万元，剩余28.4121万元；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数据资源管理50万，实际使用13.5354万元，剩余36.4645万元；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eastAsia="仿宋_GB2312"/>
          <w:color w:val="000000"/>
          <w:sz w:val="32"/>
          <w:szCs w:val="32"/>
          <w:lang w:val="en-US" w:eastAsia="zh-CN"/>
        </w:rPr>
      </w:pPr>
      <w:r>
        <w:rPr>
          <w:rFonts w:hint="eastAsia" w:eastAsia="仿宋_GB2312"/>
          <w:color w:val="000000"/>
          <w:sz w:val="32"/>
          <w:szCs w:val="32"/>
          <w:lang w:val="en-US" w:eastAsia="zh-CN"/>
        </w:rPr>
        <w:t>税务征收经费500万元，实际使用500万元，剩余0万元；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rPr>
        <w:t>3、本单位专项资金均专款专用，按照“三重一大”议事制度和“民主理财”报账程序进行资金预算、使用等管理工作。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黑体"/>
          <w:kern w:val="0"/>
          <w:sz w:val="32"/>
          <w:szCs w:val="32"/>
        </w:rPr>
      </w:pPr>
      <w:r>
        <w:rPr>
          <w:rFonts w:hint="eastAsia" w:eastAsia="黑体"/>
          <w:kern w:val="0"/>
          <w:sz w:val="32"/>
          <w:szCs w:val="32"/>
        </w:rPr>
        <w:t>三、部门专项组织实施情况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eastAsia="zh-CN"/>
        </w:rPr>
      </w:pPr>
      <w:r>
        <w:rPr>
          <w:rFonts w:hint="eastAsia" w:eastAsia="仿宋_GB2312"/>
          <w:sz w:val="32"/>
          <w:szCs w:val="32"/>
        </w:rPr>
        <w:t>（一）本单位专项资金使用时均按相关要求、相关制度进行，</w:t>
      </w:r>
      <w:r>
        <w:rPr>
          <w:rFonts w:hint="eastAsia" w:eastAsia="仿宋_GB2312"/>
          <w:sz w:val="32"/>
          <w:szCs w:val="32"/>
          <w:lang w:eastAsia="zh-CN"/>
        </w:rPr>
        <w:t>严格按照政府采购相关规定开展政府采购招投标工作，所有项目严格遵循项目审批流程，项目验收按照相关规定邀请专家评审，验收资料完备，实现验收工作有据可查。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仿宋_GB2312" w:cs="楷体_GB2312"/>
          <w:b/>
          <w:sz w:val="32"/>
          <w:szCs w:val="32"/>
          <w:lang w:eastAsia="zh-CN"/>
        </w:rPr>
      </w:pPr>
      <w:r>
        <w:rPr>
          <w:rFonts w:hint="eastAsia" w:eastAsia="仿宋_GB2312"/>
          <w:sz w:val="32"/>
          <w:szCs w:val="32"/>
        </w:rPr>
        <w:t>（二）专项资金使用均按</w:t>
      </w:r>
      <w:r>
        <w:rPr>
          <w:rFonts w:hint="eastAsia" w:eastAsia="仿宋_GB2312"/>
          <w:sz w:val="32"/>
          <w:szCs w:val="32"/>
          <w:lang w:eastAsia="zh-CN"/>
        </w:rPr>
        <w:t>区财政</w:t>
      </w:r>
      <w:r>
        <w:rPr>
          <w:rFonts w:hint="eastAsia" w:eastAsia="仿宋_GB2312"/>
          <w:sz w:val="32"/>
          <w:szCs w:val="32"/>
        </w:rPr>
        <w:t>局相关制度进行</w:t>
      </w:r>
      <w:r>
        <w:rPr>
          <w:rFonts w:hint="eastAsia" w:eastAsia="仿宋_GB2312"/>
          <w:sz w:val="32"/>
          <w:szCs w:val="32"/>
          <w:lang w:eastAsia="zh-CN"/>
        </w:rPr>
        <w:t>，</w:t>
      </w:r>
      <w:r>
        <w:rPr>
          <w:rFonts w:hint="eastAsia" w:ascii="仿宋" w:hAnsi="仿宋" w:eastAsia="仿宋" w:cs="仿宋"/>
          <w:kern w:val="0"/>
          <w:sz w:val="32"/>
          <w:szCs w:val="32"/>
        </w:rPr>
        <w:t>对资金采取归口集中管理，制定了《预算资金管理制度》、《财务管理制度》、《固定资产管理制度》、《外包人员日常管理制度》、《机房日常管理制度》等相关的制度</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实现了机房专人管理、专人值班制度，严格履行了报</w:t>
      </w:r>
      <w:r>
        <w:rPr>
          <w:rFonts w:hint="eastAsia" w:ascii="仿宋" w:hAnsi="仿宋" w:eastAsia="仿宋" w:cs="仿宋"/>
          <w:kern w:val="0"/>
          <w:sz w:val="32"/>
          <w:szCs w:val="32"/>
          <w:lang w:eastAsia="zh-CN"/>
        </w:rPr>
        <w:t>账</w:t>
      </w:r>
      <w:r>
        <w:rPr>
          <w:rFonts w:hint="eastAsia" w:ascii="仿宋" w:hAnsi="仿宋" w:eastAsia="仿宋" w:cs="仿宋"/>
          <w:kern w:val="0"/>
          <w:sz w:val="32"/>
          <w:szCs w:val="32"/>
        </w:rPr>
        <w:t>审批程序，实行了国库集中支付</w:t>
      </w:r>
      <w:r>
        <w:rPr>
          <w:rFonts w:hint="eastAsia" w:ascii="仿宋" w:hAnsi="仿宋" w:eastAsia="仿宋" w:cs="仿宋"/>
          <w:kern w:val="0"/>
          <w:sz w:val="32"/>
          <w:szCs w:val="32"/>
          <w:lang w:eastAsia="zh-CN"/>
        </w:rPr>
        <w:t>。</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eastAsia" w:ascii="仿宋_GB2312" w:eastAsia="仿宋_GB2312"/>
          <w:b/>
          <w:sz w:val="30"/>
          <w:szCs w:val="30"/>
        </w:rPr>
      </w:pPr>
      <w:r>
        <w:rPr>
          <w:rFonts w:hint="eastAsia" w:ascii="楷体_GB2312" w:hAnsi="楷体_GB2312" w:eastAsia="楷体_GB2312" w:cs="楷体_GB2312"/>
          <w:b/>
          <w:sz w:val="32"/>
          <w:szCs w:val="32"/>
          <w:lang w:eastAsia="zh-CN"/>
        </w:rPr>
        <w:t>四、</w:t>
      </w:r>
      <w:r>
        <w:rPr>
          <w:rFonts w:hint="eastAsia" w:ascii="仿宋_GB2312" w:eastAsia="仿宋_GB2312"/>
          <w:b/>
          <w:sz w:val="30"/>
          <w:szCs w:val="30"/>
        </w:rPr>
        <w:t>资产管理情况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根据《行政单位国有资产管理暂行办法》（财政部令第35号）、《事业单位国有资产管理暂行办法》（财政部令第36号）、《行政事业单位国有资产报告制度》和《关于编制2018年度行政事业单位国有资产报表的通知》（雨财发</w:t>
      </w:r>
      <w:r>
        <w:rPr>
          <w:rFonts w:hint="eastAsia" w:ascii="仿宋_GB2312" w:eastAsia="仿宋_GB2312"/>
          <w:bCs/>
          <w:sz w:val="32"/>
          <w:szCs w:val="32"/>
          <w:lang w:eastAsia="zh-CN"/>
        </w:rPr>
        <w:t>〔201</w:t>
      </w:r>
      <w:r>
        <w:rPr>
          <w:rFonts w:hint="eastAsia" w:ascii="仿宋_GB2312" w:eastAsia="仿宋_GB2312"/>
          <w:bCs/>
          <w:sz w:val="32"/>
          <w:szCs w:val="32"/>
          <w:lang w:val="en-US" w:eastAsia="zh-CN"/>
        </w:rPr>
        <w:t>9</w:t>
      </w:r>
      <w:r>
        <w:rPr>
          <w:rFonts w:hint="eastAsia" w:ascii="仿宋_GB2312" w:eastAsia="仿宋_GB2312"/>
          <w:bCs/>
          <w:sz w:val="32"/>
          <w:szCs w:val="32"/>
          <w:lang w:eastAsia="zh-CN"/>
        </w:rPr>
        <w:t>〕</w:t>
      </w:r>
      <w:r>
        <w:rPr>
          <w:rFonts w:hint="eastAsia" w:eastAsia="仿宋_GB2312"/>
          <w:sz w:val="32"/>
          <w:szCs w:val="32"/>
          <w:lang w:val="en-US" w:eastAsia="zh-CN"/>
        </w:rPr>
        <w:t>8号）等有关规定。</w:t>
      </w:r>
    </w:p>
    <w:p>
      <w:pPr>
        <w:ind w:firstLine="640" w:firstLineChars="200"/>
        <w:rPr>
          <w:rFonts w:hint="eastAsia" w:ascii="宋体" w:hAnsi="宋体" w:eastAsia="仿宋_GB2312" w:cs="Arial"/>
          <w:color w:val="auto"/>
          <w:kern w:val="0"/>
          <w:sz w:val="18"/>
          <w:szCs w:val="18"/>
          <w:lang w:eastAsia="zh-CN"/>
        </w:rPr>
      </w:pPr>
      <w:r>
        <w:rPr>
          <w:rFonts w:hint="eastAsia" w:eastAsia="仿宋_GB2312"/>
          <w:color w:val="auto"/>
          <w:sz w:val="32"/>
          <w:szCs w:val="32"/>
          <w:lang w:val="en-US" w:eastAsia="zh-CN"/>
        </w:rPr>
        <w:t>2019年末资产账面总额为</w:t>
      </w:r>
      <w:r>
        <w:rPr>
          <w:rFonts w:hint="eastAsia" w:ascii="仿宋_GB2312" w:eastAsia="仿宋_GB2312"/>
          <w:color w:val="auto"/>
          <w:sz w:val="32"/>
          <w:szCs w:val="32"/>
          <w:lang w:val="en-US" w:eastAsia="zh-CN"/>
        </w:rPr>
        <w:t>37231329.33</w:t>
      </w:r>
      <w:r>
        <w:rPr>
          <w:rFonts w:hint="eastAsia" w:eastAsia="仿宋_GB2312"/>
          <w:color w:val="auto"/>
          <w:sz w:val="32"/>
          <w:szCs w:val="32"/>
          <w:lang w:val="en-US" w:eastAsia="zh-CN"/>
        </w:rPr>
        <w:t>元，其中流动资产</w:t>
      </w:r>
      <w:r>
        <w:rPr>
          <w:rFonts w:hint="eastAsia" w:ascii="仿宋_GB2312" w:eastAsia="仿宋_GB2312"/>
          <w:color w:val="auto"/>
          <w:sz w:val="32"/>
          <w:szCs w:val="32"/>
          <w:lang w:val="en-US" w:eastAsia="zh-CN"/>
        </w:rPr>
        <w:t>15455088.42</w:t>
      </w:r>
      <w:r>
        <w:rPr>
          <w:rFonts w:hint="eastAsia" w:eastAsia="仿宋_GB2312"/>
          <w:color w:val="auto"/>
          <w:sz w:val="32"/>
          <w:szCs w:val="32"/>
          <w:lang w:val="en-US" w:eastAsia="zh-CN"/>
        </w:rPr>
        <w:t>元、</w:t>
      </w:r>
      <w:r>
        <w:rPr>
          <w:rFonts w:hint="eastAsia" w:ascii="仿宋_GB2312" w:eastAsia="仿宋_GB2312"/>
          <w:color w:val="auto"/>
          <w:sz w:val="32"/>
          <w:szCs w:val="32"/>
          <w:lang w:val="en-US" w:eastAsia="zh-CN"/>
        </w:rPr>
        <w:t>固定资产原值37314223.23元，</w:t>
      </w:r>
      <w:r>
        <w:rPr>
          <w:rFonts w:hint="eastAsia" w:ascii="宋体" w:hAnsi="宋体" w:eastAsia="宋体"/>
          <w:color w:val="auto"/>
          <w:kern w:val="0"/>
          <w:sz w:val="32"/>
          <w:szCs w:val="32"/>
        </w:rPr>
        <w:t>201</w:t>
      </w:r>
      <w:r>
        <w:rPr>
          <w:rFonts w:hint="eastAsia" w:ascii="宋体" w:hAnsi="宋体" w:eastAsia="宋体"/>
          <w:color w:val="auto"/>
          <w:kern w:val="0"/>
          <w:sz w:val="32"/>
          <w:szCs w:val="32"/>
          <w:lang w:val="en-US" w:eastAsia="zh-CN"/>
        </w:rPr>
        <w:t>9</w:t>
      </w:r>
      <w:r>
        <w:rPr>
          <w:rFonts w:hint="eastAsia" w:ascii="宋体" w:hAnsi="宋体" w:eastAsia="宋体"/>
          <w:color w:val="auto"/>
          <w:kern w:val="0"/>
          <w:sz w:val="32"/>
          <w:szCs w:val="32"/>
        </w:rPr>
        <w:t>年新增</w:t>
      </w:r>
      <w:r>
        <w:rPr>
          <w:rFonts w:hint="eastAsia" w:ascii="仿宋_GB2312" w:eastAsia="仿宋_GB2312"/>
          <w:color w:val="auto"/>
          <w:sz w:val="32"/>
          <w:szCs w:val="32"/>
        </w:rPr>
        <w:t>固定资产</w:t>
      </w:r>
      <w:r>
        <w:rPr>
          <w:rFonts w:hint="eastAsia" w:ascii="仿宋_GB2312" w:eastAsia="仿宋_GB2312"/>
          <w:color w:val="auto"/>
          <w:sz w:val="32"/>
          <w:szCs w:val="32"/>
          <w:lang w:val="en-US" w:eastAsia="zh-CN"/>
        </w:rPr>
        <w:t>9211872</w:t>
      </w:r>
      <w:r>
        <w:rPr>
          <w:rFonts w:hint="eastAsia" w:ascii="仿宋_GB2312" w:eastAsia="仿宋_GB2312"/>
          <w:color w:val="auto"/>
          <w:sz w:val="32"/>
          <w:szCs w:val="32"/>
        </w:rPr>
        <w:t>元，</w:t>
      </w:r>
      <w:r>
        <w:rPr>
          <w:rFonts w:hint="eastAsia" w:ascii="仿宋_GB2312" w:eastAsia="仿宋_GB2312"/>
          <w:color w:val="auto"/>
          <w:sz w:val="32"/>
          <w:szCs w:val="32"/>
          <w:lang w:eastAsia="zh-CN"/>
        </w:rPr>
        <w:t>减少</w:t>
      </w:r>
      <w:r>
        <w:rPr>
          <w:rFonts w:hint="eastAsia" w:ascii="仿宋_GB2312" w:eastAsia="仿宋_GB2312"/>
          <w:color w:val="auto"/>
          <w:sz w:val="32"/>
          <w:szCs w:val="32"/>
          <w:lang w:val="en-US" w:eastAsia="zh-CN"/>
        </w:rPr>
        <w:t>1782528元，</w:t>
      </w:r>
      <w:r>
        <w:rPr>
          <w:rFonts w:hint="eastAsia" w:ascii="仿宋_GB2312" w:eastAsia="仿宋_GB2312"/>
          <w:color w:val="auto"/>
          <w:sz w:val="32"/>
          <w:szCs w:val="32"/>
          <w:lang w:eastAsia="zh-CN"/>
        </w:rPr>
        <w:t>年末</w:t>
      </w:r>
      <w:r>
        <w:rPr>
          <w:rFonts w:hint="eastAsia" w:ascii="仿宋_GB2312" w:eastAsia="仿宋_GB2312"/>
          <w:color w:val="auto"/>
          <w:sz w:val="32"/>
          <w:szCs w:val="32"/>
          <w:lang w:val="en-US" w:eastAsia="zh-CN"/>
        </w:rPr>
        <w:t>44743567.23元，其</w:t>
      </w:r>
      <w:r>
        <w:rPr>
          <w:rFonts w:hint="eastAsia" w:ascii="仿宋_GB2312" w:eastAsia="仿宋_GB2312"/>
          <w:color w:val="auto"/>
          <w:sz w:val="32"/>
          <w:szCs w:val="32"/>
        </w:rPr>
        <w:t>中房屋</w:t>
      </w:r>
      <w:r>
        <w:rPr>
          <w:rFonts w:hint="eastAsia" w:ascii="仿宋_GB2312" w:eastAsia="仿宋_GB2312"/>
          <w:color w:val="auto"/>
          <w:sz w:val="32"/>
          <w:szCs w:val="32"/>
          <w:lang w:eastAsia="zh-CN"/>
        </w:rPr>
        <w:t>原值</w:t>
      </w:r>
      <w:r>
        <w:rPr>
          <w:rFonts w:hint="eastAsia" w:ascii="仿宋_GB2312" w:eastAsia="仿宋_GB2312"/>
          <w:color w:val="auto"/>
          <w:sz w:val="32"/>
          <w:szCs w:val="32"/>
        </w:rPr>
        <w:t>1200元（防盗门），通用设备</w:t>
      </w:r>
      <w:r>
        <w:rPr>
          <w:rFonts w:hint="eastAsia" w:ascii="仿宋_GB2312" w:eastAsia="仿宋_GB2312"/>
          <w:color w:val="auto"/>
          <w:sz w:val="32"/>
          <w:szCs w:val="32"/>
          <w:lang w:eastAsia="zh-CN"/>
        </w:rPr>
        <w:t>原值</w:t>
      </w:r>
      <w:r>
        <w:rPr>
          <w:rFonts w:hint="eastAsia" w:ascii="仿宋_GB2312" w:eastAsia="仿宋_GB2312"/>
          <w:color w:val="auto"/>
          <w:sz w:val="32"/>
          <w:szCs w:val="32"/>
          <w:lang w:val="en-US" w:eastAsia="zh-CN"/>
        </w:rPr>
        <w:t>44284970.23</w:t>
      </w:r>
      <w:r>
        <w:rPr>
          <w:rFonts w:hint="eastAsia" w:ascii="宋体" w:hAnsi="宋体" w:cs="Arial"/>
          <w:color w:val="auto"/>
          <w:kern w:val="0"/>
          <w:sz w:val="32"/>
          <w:szCs w:val="32"/>
        </w:rPr>
        <w:t>元</w:t>
      </w:r>
      <w:r>
        <w:rPr>
          <w:rFonts w:hint="eastAsia" w:ascii="宋体" w:hAnsi="宋体" w:cs="Arial"/>
          <w:color w:val="auto"/>
          <w:kern w:val="0"/>
          <w:sz w:val="32"/>
          <w:szCs w:val="32"/>
          <w:lang w:eastAsia="zh-CN"/>
        </w:rPr>
        <w:t>（</w:t>
      </w:r>
      <w:r>
        <w:rPr>
          <w:rFonts w:hint="eastAsia" w:ascii="仿宋_GB2312" w:eastAsia="仿宋_GB2312"/>
          <w:color w:val="auto"/>
          <w:sz w:val="32"/>
          <w:szCs w:val="32"/>
        </w:rPr>
        <w:t>网络硬件等设备</w:t>
      </w:r>
      <w:r>
        <w:rPr>
          <w:rFonts w:hint="eastAsia" w:ascii="仿宋_GB2312" w:eastAsia="仿宋_GB2312"/>
          <w:color w:val="auto"/>
          <w:sz w:val="32"/>
          <w:szCs w:val="32"/>
          <w:lang w:eastAsia="zh-CN"/>
        </w:rPr>
        <w:t>）</w:t>
      </w:r>
      <w:r>
        <w:rPr>
          <w:rFonts w:hint="eastAsia" w:ascii="宋体" w:hAnsi="宋体" w:cs="Arial"/>
          <w:color w:val="auto"/>
          <w:kern w:val="0"/>
          <w:sz w:val="32"/>
          <w:szCs w:val="32"/>
        </w:rPr>
        <w:t>，图书</w:t>
      </w:r>
      <w:r>
        <w:rPr>
          <w:rFonts w:hint="eastAsia" w:ascii="仿宋_GB2312" w:eastAsia="仿宋_GB2312"/>
          <w:color w:val="auto"/>
          <w:sz w:val="32"/>
          <w:szCs w:val="32"/>
          <w:lang w:val="en-US" w:eastAsia="zh-CN"/>
        </w:rPr>
        <w:t>原值91000.00</w:t>
      </w:r>
      <w:r>
        <w:rPr>
          <w:rFonts w:hint="eastAsia" w:ascii="宋体" w:hAnsi="宋体" w:cs="Arial"/>
          <w:color w:val="auto"/>
          <w:kern w:val="0"/>
          <w:sz w:val="32"/>
          <w:szCs w:val="32"/>
        </w:rPr>
        <w:t>元，</w:t>
      </w:r>
      <w:r>
        <w:rPr>
          <w:rFonts w:hint="eastAsia" w:ascii="仿宋_GB2312" w:eastAsia="仿宋_GB2312"/>
          <w:color w:val="auto"/>
          <w:sz w:val="32"/>
          <w:szCs w:val="32"/>
        </w:rPr>
        <w:t>专用设备</w:t>
      </w:r>
      <w:r>
        <w:rPr>
          <w:rFonts w:hint="eastAsia" w:ascii="仿宋_GB2312" w:eastAsia="仿宋_GB2312"/>
          <w:color w:val="auto"/>
          <w:sz w:val="32"/>
          <w:szCs w:val="32"/>
          <w:lang w:eastAsia="zh-CN"/>
        </w:rPr>
        <w:t>原值</w:t>
      </w:r>
      <w:r>
        <w:rPr>
          <w:rFonts w:ascii="仿宋_GB2312" w:eastAsia="仿宋_GB2312"/>
          <w:color w:val="auto"/>
          <w:sz w:val="32"/>
          <w:szCs w:val="32"/>
        </w:rPr>
        <w:t>96270</w:t>
      </w:r>
      <w:r>
        <w:rPr>
          <w:rFonts w:hint="eastAsia" w:ascii="仿宋_GB2312" w:eastAsia="仿宋_GB2312"/>
          <w:color w:val="auto"/>
          <w:sz w:val="32"/>
          <w:szCs w:val="32"/>
        </w:rPr>
        <w:t>元，家具用具</w:t>
      </w:r>
      <w:r>
        <w:rPr>
          <w:rFonts w:hint="eastAsia" w:ascii="仿宋_GB2312" w:eastAsia="仿宋_GB2312"/>
          <w:color w:val="auto"/>
          <w:sz w:val="32"/>
          <w:szCs w:val="32"/>
          <w:lang w:eastAsia="zh-CN"/>
        </w:rPr>
        <w:t>原值</w:t>
      </w:r>
      <w:r>
        <w:rPr>
          <w:rFonts w:hint="eastAsia" w:ascii="仿宋_GB2312" w:eastAsia="仿宋_GB2312"/>
          <w:color w:val="auto"/>
          <w:sz w:val="32"/>
          <w:szCs w:val="32"/>
        </w:rPr>
        <w:t>70127.元</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无形资产原值3946950元，</w:t>
      </w:r>
      <w:r>
        <w:rPr>
          <w:rFonts w:hint="eastAsia" w:ascii="仿宋_GB2312" w:eastAsia="仿宋_GB2312"/>
          <w:color w:val="auto"/>
          <w:sz w:val="32"/>
          <w:szCs w:val="32"/>
        </w:rPr>
        <w:t>新增无形资产</w:t>
      </w:r>
      <w:r>
        <w:rPr>
          <w:rFonts w:hint="eastAsia" w:ascii="仿宋_GB2312" w:eastAsia="仿宋_GB2312"/>
          <w:color w:val="auto"/>
          <w:sz w:val="32"/>
          <w:szCs w:val="32"/>
          <w:lang w:val="en-US" w:eastAsia="zh-CN"/>
        </w:rPr>
        <w:t>4499000</w:t>
      </w:r>
      <w:r>
        <w:rPr>
          <w:rFonts w:hint="eastAsia" w:ascii="仿宋_GB2312" w:eastAsia="仿宋_GB2312"/>
          <w:color w:val="auto"/>
          <w:sz w:val="32"/>
          <w:szCs w:val="32"/>
        </w:rPr>
        <w:t>元，</w:t>
      </w:r>
      <w:r>
        <w:rPr>
          <w:rFonts w:hint="eastAsia" w:ascii="仿宋_GB2312" w:eastAsia="仿宋_GB2312"/>
          <w:color w:val="auto"/>
          <w:sz w:val="32"/>
          <w:szCs w:val="32"/>
          <w:lang w:eastAsia="zh-CN"/>
        </w:rPr>
        <w:t>年末数</w:t>
      </w:r>
      <w:r>
        <w:rPr>
          <w:rFonts w:hint="eastAsia" w:ascii="仿宋_GB2312" w:eastAsia="仿宋_GB2312"/>
          <w:color w:val="auto"/>
          <w:sz w:val="32"/>
          <w:szCs w:val="32"/>
          <w:lang w:val="en-US" w:eastAsia="zh-CN"/>
        </w:rPr>
        <w:t>8445950,元，</w:t>
      </w:r>
      <w:r>
        <w:rPr>
          <w:rFonts w:hint="eastAsia" w:ascii="宋体" w:hAnsi="宋体" w:eastAsia="宋体"/>
          <w:color w:val="auto"/>
          <w:kern w:val="0"/>
          <w:sz w:val="32"/>
          <w:szCs w:val="32"/>
          <w:lang w:val="en-US" w:eastAsia="zh-CN"/>
        </w:rPr>
        <w:t>非流动资产53189517.23元，</w:t>
      </w:r>
      <w:r>
        <w:rPr>
          <w:rFonts w:hint="eastAsia" w:ascii="宋体" w:hAnsi="宋体" w:eastAsia="宋体"/>
          <w:color w:val="auto"/>
          <w:kern w:val="0"/>
          <w:sz w:val="32"/>
          <w:szCs w:val="32"/>
        </w:rPr>
        <w:t>固定资产</w:t>
      </w:r>
      <w:r>
        <w:rPr>
          <w:rFonts w:hint="eastAsia" w:ascii="宋体" w:hAnsi="宋体" w:eastAsia="宋体"/>
          <w:color w:val="auto"/>
          <w:kern w:val="0"/>
          <w:sz w:val="32"/>
          <w:szCs w:val="32"/>
          <w:lang w:eastAsia="zh-CN"/>
        </w:rPr>
        <w:t>折旧</w:t>
      </w:r>
      <w:r>
        <w:rPr>
          <w:rFonts w:hint="eastAsia" w:ascii="宋体" w:hAnsi="宋体" w:eastAsia="宋体"/>
          <w:color w:val="auto"/>
          <w:kern w:val="0"/>
          <w:sz w:val="32"/>
          <w:szCs w:val="32"/>
          <w:lang w:val="en-US" w:eastAsia="zh-CN"/>
        </w:rPr>
        <w:t>29609037.6元，</w:t>
      </w:r>
      <w:r>
        <w:rPr>
          <w:rFonts w:hint="eastAsia" w:ascii="宋体" w:hAnsi="宋体" w:eastAsia="宋体"/>
          <w:color w:val="auto"/>
          <w:kern w:val="0"/>
          <w:sz w:val="32"/>
          <w:szCs w:val="32"/>
          <w:lang w:eastAsia="zh-CN"/>
        </w:rPr>
        <w:t>无形资产</w:t>
      </w:r>
      <w:r>
        <w:rPr>
          <w:rFonts w:hint="eastAsia" w:ascii="仿宋_GB2312" w:eastAsia="仿宋_GB2312"/>
          <w:color w:val="auto"/>
          <w:sz w:val="32"/>
          <w:szCs w:val="32"/>
          <w:lang w:val="en-US" w:eastAsia="zh-CN"/>
        </w:rPr>
        <w:t>累计</w:t>
      </w:r>
      <w:r>
        <w:rPr>
          <w:rFonts w:hint="eastAsia" w:ascii="宋体" w:hAnsi="宋体" w:eastAsia="宋体"/>
          <w:color w:val="auto"/>
          <w:kern w:val="0"/>
          <w:sz w:val="32"/>
          <w:szCs w:val="32"/>
          <w:lang w:eastAsia="zh-CN"/>
        </w:rPr>
        <w:t>摊销</w:t>
      </w:r>
      <w:r>
        <w:rPr>
          <w:rFonts w:hint="eastAsia" w:ascii="宋体" w:hAnsi="宋体" w:eastAsia="宋体"/>
          <w:color w:val="auto"/>
          <w:kern w:val="0"/>
          <w:sz w:val="32"/>
          <w:szCs w:val="32"/>
          <w:lang w:val="en-US" w:eastAsia="zh-CN"/>
        </w:rPr>
        <w:t>1825156.72</w:t>
      </w:r>
      <w:r>
        <w:rPr>
          <w:rFonts w:hint="eastAsia" w:ascii="宋体" w:hAnsi="宋体" w:eastAsia="宋体"/>
          <w:color w:val="auto"/>
          <w:kern w:val="0"/>
          <w:sz w:val="32"/>
          <w:szCs w:val="32"/>
        </w:rPr>
        <w:t>元</w:t>
      </w:r>
      <w:r>
        <w:rPr>
          <w:rFonts w:hint="eastAsia" w:ascii="宋体" w:hAnsi="宋体" w:eastAsia="宋体"/>
          <w:color w:val="auto"/>
          <w:kern w:val="0"/>
          <w:sz w:val="32"/>
          <w:szCs w:val="32"/>
          <w:lang w:eastAsia="zh-CN"/>
        </w:rPr>
        <w:t>，非流动</w:t>
      </w:r>
      <w:r>
        <w:rPr>
          <w:rFonts w:hint="eastAsia" w:ascii="仿宋_GB2312" w:eastAsia="仿宋_GB2312"/>
          <w:color w:val="auto"/>
          <w:sz w:val="32"/>
          <w:szCs w:val="32"/>
        </w:rPr>
        <w:t>资产</w:t>
      </w:r>
      <w:r>
        <w:rPr>
          <w:rFonts w:hint="eastAsia" w:ascii="仿宋_GB2312" w:eastAsia="仿宋_GB2312"/>
          <w:color w:val="auto"/>
          <w:sz w:val="32"/>
          <w:szCs w:val="32"/>
          <w:lang w:eastAsia="zh-CN"/>
        </w:rPr>
        <w:t>净值为</w:t>
      </w:r>
      <w:r>
        <w:rPr>
          <w:rFonts w:hint="eastAsia" w:ascii="仿宋_GB2312" w:eastAsia="仿宋_GB2312"/>
          <w:color w:val="auto"/>
          <w:sz w:val="32"/>
          <w:szCs w:val="32"/>
          <w:lang w:val="en-US" w:eastAsia="zh-CN"/>
        </w:rPr>
        <w:t>21755322.91</w:t>
      </w:r>
      <w:r>
        <w:rPr>
          <w:rFonts w:hint="eastAsia" w:ascii="仿宋_GB2312" w:eastAsia="仿宋_GB2312"/>
          <w:color w:val="auto"/>
          <w:sz w:val="32"/>
          <w:szCs w:val="32"/>
        </w:rPr>
        <w:t>元</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没有国有资产对外投资、出租出借或处置国有资产取得的收益情况。</w:t>
      </w:r>
    </w:p>
    <w:p>
      <w:pPr>
        <w:keepNext w:val="0"/>
        <w:keepLines w:val="0"/>
        <w:pageBreakBefore w:val="0"/>
        <w:widowControl w:val="0"/>
        <w:tabs>
          <w:tab w:val="left" w:pos="8595"/>
        </w:tabs>
        <w:kinsoku/>
        <w:wordWrap/>
        <w:overflowPunct/>
        <w:topLinePunct w:val="0"/>
        <w:autoSpaceDE/>
        <w:autoSpaceDN/>
        <w:bidi w:val="0"/>
        <w:spacing w:line="600" w:lineRule="exact"/>
        <w:ind w:firstLine="640" w:firstLineChars="200"/>
        <w:textAlignment w:val="auto"/>
        <w:rPr>
          <w:rFonts w:hint="eastAsia" w:ascii="仿宋_GB2312" w:hAnsi="仿宋" w:eastAsia="仿宋_GB2312"/>
          <w:color w:val="auto"/>
          <w:sz w:val="32"/>
          <w:szCs w:val="32"/>
          <w:lang w:eastAsia="zh-CN"/>
        </w:rPr>
      </w:pPr>
      <w:r>
        <w:rPr>
          <w:rFonts w:hint="eastAsia" w:ascii="Times New Roman" w:hAnsi="Times New Roman" w:eastAsia="仿宋_GB2312"/>
          <w:color w:val="auto"/>
          <w:sz w:val="32"/>
          <w:szCs w:val="32"/>
          <w:lang w:eastAsia="zh-CN"/>
        </w:rPr>
        <w:t>总体来说，</w:t>
      </w:r>
      <w:r>
        <w:rPr>
          <w:rFonts w:ascii="Times New Roman" w:hAnsi="Times New Roman" w:eastAsia="仿宋_GB2312"/>
          <w:color w:val="auto"/>
          <w:sz w:val="32"/>
          <w:szCs w:val="32"/>
        </w:rPr>
        <w:t>加强</w:t>
      </w:r>
      <w:r>
        <w:rPr>
          <w:rFonts w:hint="eastAsia" w:ascii="Times New Roman" w:hAnsi="Times New Roman" w:eastAsia="仿宋_GB2312"/>
          <w:color w:val="auto"/>
          <w:sz w:val="32"/>
          <w:szCs w:val="32"/>
        </w:rPr>
        <w:t>了</w:t>
      </w:r>
      <w:r>
        <w:rPr>
          <w:rFonts w:ascii="Times New Roman" w:hAnsi="Times New Roman" w:eastAsia="仿宋_GB2312"/>
          <w:color w:val="auto"/>
          <w:sz w:val="32"/>
          <w:szCs w:val="32"/>
        </w:rPr>
        <w:t>电子政务项目的统一规划、计划，规范</w:t>
      </w:r>
      <w:r>
        <w:rPr>
          <w:rFonts w:hint="eastAsia" w:ascii="Times New Roman" w:hAnsi="Times New Roman" w:eastAsia="仿宋_GB2312"/>
          <w:color w:val="auto"/>
          <w:sz w:val="32"/>
          <w:szCs w:val="32"/>
        </w:rPr>
        <w:t>了</w:t>
      </w:r>
      <w:r>
        <w:rPr>
          <w:rFonts w:ascii="Times New Roman" w:hAnsi="Times New Roman" w:eastAsia="仿宋_GB2312"/>
          <w:color w:val="auto"/>
          <w:sz w:val="32"/>
          <w:szCs w:val="32"/>
        </w:rPr>
        <w:t>电子政务项目管理，降低了电子政务建设和运行成本</w:t>
      </w:r>
      <w:r>
        <w:rPr>
          <w:rFonts w:hint="eastAsia" w:ascii="Times New Roman" w:hAnsi="Times New Roman" w:eastAsia="仿宋_GB2312"/>
          <w:color w:val="auto"/>
          <w:sz w:val="32"/>
          <w:szCs w:val="32"/>
        </w:rPr>
        <w:t>。</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eastAsia" w:ascii="楷体_GB2312" w:hAnsi="楷体_GB2312" w:eastAsia="楷体_GB2312" w:cs="楷体_GB2312"/>
          <w:b/>
          <w:color w:val="auto"/>
          <w:sz w:val="32"/>
          <w:szCs w:val="32"/>
          <w:lang w:eastAsia="zh-CN"/>
        </w:rPr>
      </w:pPr>
      <w:r>
        <w:rPr>
          <w:rFonts w:hint="eastAsia" w:ascii="楷体_GB2312" w:hAnsi="楷体_GB2312" w:eastAsia="楷体_GB2312" w:cs="楷体_GB2312"/>
          <w:b/>
          <w:color w:val="auto"/>
          <w:sz w:val="32"/>
          <w:szCs w:val="32"/>
          <w:lang w:eastAsia="zh-CN"/>
        </w:rPr>
        <w:t>五、部门整体支出绩效情况</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1、</w:t>
      </w:r>
      <w:r>
        <w:rPr>
          <w:rFonts w:hint="eastAsia" w:ascii="Times New Roman" w:hAnsi="Times New Roman" w:eastAsia="楷体_GB2312" w:cs="Times New Roman"/>
          <w:sz w:val="32"/>
          <w:szCs w:val="32"/>
        </w:rPr>
        <w:t>有序推进智慧城市项目建设工作</w:t>
      </w:r>
    </w:p>
    <w:p>
      <w:pPr>
        <w:ind w:firstLine="640" w:firstLineChars="200"/>
        <w:rPr>
          <w:rFonts w:ascii="仿宋_GB2312" w:hAnsi="仿宋_GB2312" w:eastAsia="仿宋_GB2312" w:cs="仿宋_GB2312"/>
          <w:sz w:val="32"/>
          <w:szCs w:val="32"/>
        </w:rPr>
      </w:pPr>
      <w:r>
        <w:rPr>
          <w:rFonts w:ascii="Times New Roman" w:hAnsi="Times New Roman" w:eastAsia="仿宋_GB2312" w:cs="Times New Roman"/>
          <w:b/>
          <w:bCs/>
          <w:sz w:val="32"/>
          <w:szCs w:val="32"/>
        </w:rPr>
        <w:t>一是</w:t>
      </w:r>
      <w:r>
        <w:rPr>
          <w:rFonts w:ascii="Times New Roman" w:hAnsi="Times New Roman" w:eastAsia="仿宋_GB2312" w:cs="Times New Roman"/>
          <w:sz w:val="32"/>
          <w:szCs w:val="32"/>
        </w:rPr>
        <w:t>智慧雨花调度指挥中心项目建设情况</w:t>
      </w:r>
      <w:r>
        <w:rPr>
          <w:rFonts w:hint="eastAsia" w:ascii="Times New Roman" w:hAnsi="Times New Roman" w:eastAsia="仿宋_GB2312" w:cs="Times New Roman"/>
          <w:sz w:val="32"/>
          <w:szCs w:val="32"/>
        </w:rPr>
        <w:t>。初步完成政务数据中心建设，并对入库数据资源进行清洗融合，整理入库各类数据340多万条，整合业务系统14个，拥有各类人口数据194万，实现了11万多条法人数据的入库，共享城市管理、市民热线、政务服务、产业经济、环境生活等专题数据近130万多条，完善对接包括数字城管系统、空气质量检测、水情检测系统等13个业务系统，完善视频汇集，整合公安天网、住建等视频资源近9000路，并完成数据资源统计分析APP开发；初步完成指挥调度、智慧民生界面整体架构，对今日雨花、政务大数据、智慧政务界面进行优化调整，嵌入对接智慧南站管理界面，初步实现城市管理可视化呈现，并对接“雪亮工程”视频资源共享平台和综治视联网，实现应急指挥调度可视化。</w:t>
      </w:r>
      <w:r>
        <w:rPr>
          <w:rFonts w:hint="eastAsia" w:ascii="Times New Roman" w:hAnsi="Times New Roman" w:eastAsia="仿宋_GB2312" w:cs="Times New Roman"/>
          <w:b/>
          <w:bCs/>
          <w:sz w:val="32"/>
          <w:szCs w:val="32"/>
        </w:rPr>
        <w:t>二是</w:t>
      </w:r>
      <w:r>
        <w:rPr>
          <w:rFonts w:hint="eastAsia" w:ascii="Times New Roman" w:hAnsi="Times New Roman" w:eastAsia="仿宋_GB2312" w:cs="Times New Roman"/>
          <w:sz w:val="32"/>
          <w:szCs w:val="32"/>
        </w:rPr>
        <w:t>雨花区“雪亮工程”项目建设情况。</w:t>
      </w:r>
      <w:r>
        <w:rPr>
          <w:rFonts w:hint="eastAsia" w:ascii="仿宋_GB2312" w:hAnsi="仿宋_GB2312" w:eastAsia="仿宋_GB2312" w:cs="仿宋_GB2312"/>
          <w:sz w:val="32"/>
          <w:szCs w:val="32"/>
          <w:lang w:val="en-US" w:eastAsia="zh-CN"/>
        </w:rPr>
        <w:t>目前，已完成外场350</w:t>
      </w:r>
      <w:r>
        <w:rPr>
          <w:rFonts w:hint="eastAsia" w:ascii="仿宋_GB2312" w:hAnsi="仿宋_GB2312" w:eastAsia="仿宋_GB2312" w:cs="仿宋_GB2312"/>
          <w:sz w:val="32"/>
          <w:szCs w:val="32"/>
        </w:rPr>
        <w:t>路人脸识别点位</w:t>
      </w:r>
      <w:r>
        <w:rPr>
          <w:rFonts w:hint="eastAsia" w:ascii="仿宋_GB2312" w:hAnsi="仿宋_GB2312" w:eastAsia="仿宋_GB2312" w:cs="仿宋_GB2312"/>
          <w:sz w:val="32"/>
          <w:szCs w:val="32"/>
          <w:lang w:val="en-US" w:eastAsia="zh-CN"/>
        </w:rPr>
        <w:t>建设和2960路社会视频接入，</w:t>
      </w:r>
      <w:r>
        <w:rPr>
          <w:rFonts w:hint="eastAsia" w:ascii="仿宋_GB2312" w:hAnsi="仿宋_GB2312" w:eastAsia="仿宋_GB2312" w:cs="仿宋_GB2312"/>
          <w:sz w:val="32"/>
          <w:szCs w:val="32"/>
        </w:rPr>
        <w:t>已搭建完成视频</w:t>
      </w:r>
      <w:r>
        <w:rPr>
          <w:rFonts w:hint="eastAsia" w:ascii="Times New Roman" w:hAnsi="Times New Roman" w:eastAsia="仿宋_GB2312" w:cs="Times New Roman"/>
          <w:sz w:val="32"/>
          <w:szCs w:val="32"/>
        </w:rPr>
        <w:t>资源</w:t>
      </w:r>
      <w:r>
        <w:rPr>
          <w:rFonts w:hint="eastAsia" w:ascii="仿宋_GB2312" w:hAnsi="仿宋_GB2312" w:eastAsia="仿宋_GB2312" w:cs="仿宋_GB2312"/>
          <w:sz w:val="32"/>
          <w:szCs w:val="32"/>
        </w:rPr>
        <w:t>共享平台、移动指挥调度系统，并完成与智慧雨花的对接工作。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楷体_GB2312" w:cs="Times New Roman"/>
          <w:color w:val="auto"/>
          <w:sz w:val="32"/>
          <w:szCs w:val="32"/>
        </w:rPr>
      </w:pPr>
      <w:r>
        <w:rPr>
          <w:rFonts w:hint="eastAsia" w:ascii="黑体" w:hAnsi="黑体" w:eastAsia="黑体" w:cs="楷体_GB2312"/>
          <w:kern w:val="0"/>
          <w:sz w:val="32"/>
          <w:szCs w:val="32"/>
          <w:lang w:val="en-US" w:eastAsia="zh-CN"/>
        </w:rPr>
        <w:t>2、</w:t>
      </w:r>
      <w:r>
        <w:rPr>
          <w:rFonts w:hint="eastAsia" w:ascii="Times New Roman" w:hAnsi="Times New Roman" w:eastAsia="楷体_GB2312" w:cs="Times New Roman"/>
          <w:color w:val="auto"/>
          <w:sz w:val="32"/>
          <w:szCs w:val="32"/>
        </w:rPr>
        <w:t>同步市区政务信息资源管理系统数据，完善电子地图功能</w:t>
      </w:r>
    </w:p>
    <w:p>
      <w:pPr>
        <w:shd w:val="clear" w:color="auto" w:fill="FFFFFF"/>
        <w:spacing w:line="600" w:lineRule="exact"/>
        <w:ind w:firstLine="640" w:firstLineChars="200"/>
        <w:rPr>
          <w:rFonts w:ascii="仿宋_GB2312" w:hAnsi="Verdana" w:eastAsia="仿宋_GB2312" w:cs="宋体"/>
          <w:color w:val="000000"/>
          <w:sz w:val="32"/>
          <w:szCs w:val="32"/>
        </w:rPr>
      </w:pP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完成市政务信息资源目录管理系统数据录入工作，录入2289条目录、33645条信息项，实现市、区政务信息资源目录管理系统数据同步。</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做好电子证照目录梳理及数据汇聚工作，通过对全区36个部门单位报送的电子证照目录清单进行梳理，收集整理我区电子证照181项。</w:t>
      </w:r>
      <w:r>
        <w:rPr>
          <w:rFonts w:hint="eastAsia" w:ascii="仿宋_GB2312" w:hAnsi="仿宋_GB2312" w:eastAsia="仿宋_GB2312" w:cs="仿宋_GB2312"/>
          <w:b/>
          <w:sz w:val="32"/>
          <w:szCs w:val="32"/>
        </w:rPr>
        <w:t>三是</w:t>
      </w:r>
      <w:r>
        <w:rPr>
          <w:rFonts w:hint="eastAsia" w:ascii="仿宋_GB2312" w:hAnsi="Verdana" w:eastAsia="仿宋_GB2312" w:cs="宋体"/>
          <w:color w:val="000000"/>
          <w:sz w:val="32"/>
          <w:szCs w:val="32"/>
        </w:rPr>
        <w:t>做好“雨花区十五分钟生活圈电子地图”建设维护工作，补充设施点位数据、完善电子地图功能，增加电子地图App版本。截至目前录入</w:t>
      </w:r>
      <w:r>
        <w:rPr>
          <w:rFonts w:hint="eastAsia" w:ascii="仿宋" w:hAnsi="仿宋" w:eastAsia="仿宋" w:cs="仿宋"/>
          <w:sz w:val="32"/>
          <w:szCs w:val="32"/>
        </w:rPr>
        <w:t>各类公共服务设施</w:t>
      </w:r>
      <w:r>
        <w:rPr>
          <w:rFonts w:hint="eastAsia" w:ascii="仿宋_GB2312" w:hAnsi="Verdana" w:eastAsia="仿宋_GB2312" w:cs="宋体"/>
          <w:color w:val="000000"/>
          <w:sz w:val="32"/>
          <w:szCs w:val="32"/>
        </w:rPr>
        <w:t>数据2500余条，发布消息420余条，收到市民评论2100余条。</w:t>
      </w:r>
    </w:p>
    <w:p>
      <w:pPr>
        <w:ind w:firstLine="640" w:firstLineChars="200"/>
        <w:rPr>
          <w:rFonts w:hint="eastAsia" w:ascii="Times New Roman" w:hAnsi="Times New Roman" w:eastAsia="楷体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楷体_GB2312" w:cs="Times New Roman"/>
          <w:color w:val="auto"/>
          <w:sz w:val="32"/>
          <w:szCs w:val="32"/>
          <w:lang w:val="en-US" w:eastAsia="zh-CN"/>
        </w:rPr>
        <w:t>做好“互联网+政务服务”日常运维保障工作，提高公共服务效率</w:t>
      </w:r>
    </w:p>
    <w:p>
      <w:pPr>
        <w:ind w:firstLine="640" w:firstLineChars="200"/>
        <w:rPr>
          <w:rFonts w:hint="eastAsia" w:ascii="黑体" w:hAnsi="黑体" w:eastAsia="黑体" w:cs="楷体_GB2312"/>
          <w:kern w:val="0"/>
          <w:sz w:val="32"/>
          <w:szCs w:val="32"/>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按照国务院、省、市政府关于“互联网+政务服务”及审批服务便民化的要求，以“最多跑一次”改革为切入点，落实省市电子化要求，深化政务服务深度，提升群众办事体验，优化基层政务服务人员工作，长沙市“互联网+政务服务”雨花延伸系统目前平稳运行中。上半年，主要做好日常运维保障工作，及时解决工作人员在办事服务中所遇到的各类平台操作问题，截至</w:t>
      </w:r>
      <w:bookmarkStart w:id="0" w:name="_GoBack"/>
      <w:bookmarkEnd w:id="0"/>
      <w:r>
        <w:rPr>
          <w:rFonts w:hint="eastAsia" w:ascii="仿宋_GB2312" w:hAnsi="仿宋_GB2312" w:eastAsia="仿宋_GB2312" w:cs="仿宋_GB2312"/>
          <w:color w:val="auto"/>
          <w:sz w:val="32"/>
          <w:szCs w:val="32"/>
          <w:lang w:val="en-US" w:eastAsia="zh-CN"/>
        </w:rPr>
        <w:t>10月共运维300余次，其中上门运维80余次，同时部署了区级电子监察系统，利用电子监察系统督促全区各部门及时办理，进一步提高公共服务效率，及群众办件满意度。</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按照湖南省“互联网+监督”的工作要求，协助区纪委做好互联网+监督工作，负责区级业务部门、街道平台账号管理以及平台的日常技术指导、网络保障等工作。</w:t>
      </w:r>
    </w:p>
    <w:p>
      <w:pPr>
        <w:spacing w:line="600" w:lineRule="exact"/>
        <w:ind w:firstLine="640" w:firstLineChars="200"/>
        <w:rPr>
          <w:rFonts w:ascii="楷体_GB2312" w:hAnsi="仿宋_GB2312" w:eastAsia="楷体_GB2312" w:cs="仿宋_GB2312"/>
          <w:sz w:val="32"/>
          <w:szCs w:val="32"/>
        </w:rPr>
      </w:pPr>
      <w:r>
        <w:rPr>
          <w:rFonts w:hint="eastAsia" w:ascii="黑体" w:hAnsi="黑体" w:eastAsia="黑体" w:cs="楷体_GB2312"/>
          <w:kern w:val="0"/>
          <w:sz w:val="32"/>
          <w:szCs w:val="32"/>
          <w:lang w:val="en-US" w:eastAsia="zh-CN"/>
        </w:rPr>
        <w:t>4、</w:t>
      </w:r>
      <w:r>
        <w:rPr>
          <w:rFonts w:hint="eastAsia" w:ascii="Times New Roman" w:hAnsi="Times New Roman" w:eastAsia="楷体_GB2312" w:cs="Times New Roman"/>
          <w:bCs/>
          <w:color w:val="auto"/>
          <w:sz w:val="32"/>
          <w:szCs w:val="32"/>
        </w:rPr>
        <w:t>强化</w:t>
      </w:r>
      <w:r>
        <w:rPr>
          <w:rFonts w:ascii="Times New Roman" w:hAnsi="Times New Roman" w:eastAsia="楷体_GB2312" w:cs="Times New Roman"/>
          <w:bCs/>
          <w:color w:val="auto"/>
          <w:sz w:val="32"/>
          <w:szCs w:val="32"/>
        </w:rPr>
        <w:t>网站</w:t>
      </w:r>
      <w:r>
        <w:rPr>
          <w:rFonts w:hint="eastAsia" w:ascii="Times New Roman" w:hAnsi="Times New Roman" w:eastAsia="楷体_GB2312" w:cs="Times New Roman"/>
          <w:bCs/>
          <w:color w:val="auto"/>
          <w:sz w:val="32"/>
          <w:szCs w:val="32"/>
          <w:lang w:eastAsia="zh-CN"/>
        </w:rPr>
        <w:t>管理</w:t>
      </w:r>
      <w:r>
        <w:rPr>
          <w:rFonts w:ascii="Times New Roman" w:hAnsi="Times New Roman" w:eastAsia="楷体_GB2312" w:cs="Times New Roman"/>
          <w:bCs/>
          <w:color w:val="auto"/>
          <w:sz w:val="32"/>
          <w:szCs w:val="32"/>
        </w:rPr>
        <w:t>，</w:t>
      </w:r>
      <w:r>
        <w:rPr>
          <w:rFonts w:hint="eastAsia" w:ascii="Times New Roman" w:hAnsi="Times New Roman" w:eastAsia="楷体_GB2312" w:cs="Times New Roman"/>
          <w:bCs/>
          <w:color w:val="auto"/>
          <w:sz w:val="32"/>
          <w:szCs w:val="32"/>
          <w:lang w:eastAsia="zh-CN"/>
        </w:rPr>
        <w:t>积极配合中心工作</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做好区政府网站日常运维工作。截至10月区政府网站发布信息13735余条，修改错别字2129个、错断链648个，办理“区长信箱”信件1099余封，今年连续9个月在市对区政府网站常态化监测结果通报中获得满分。二是积极配合我区优化营商环境工作，在区政府网站开设“雨花区优化营商环境专题”</w:t>
      </w:r>
      <w:r>
        <w:rPr>
          <w:rFonts w:hint="eastAsia"/>
        </w:rPr>
        <w:t xml:space="preserve"> ，</w:t>
      </w:r>
      <w:r>
        <w:rPr>
          <w:rFonts w:hint="eastAsia" w:ascii="仿宋_GB2312" w:hAnsi="仿宋_GB2312" w:eastAsia="仿宋_GB2312" w:cs="仿宋_GB2312"/>
          <w:sz w:val="32"/>
          <w:szCs w:val="32"/>
        </w:rPr>
        <w:t>全面介绍各部门单位贯彻落实优化营商环境工作精神、落实各项政策措施的生动实践和取得的成果，深入宣传我区优化营商环境建设的正面典型和先进经验。三是完成机构改革后区政府网站内容调整工作。根据雨花区机构改革方案，及时做好区政府网站各部门单位页面图标、单位名称、联系电话等信息的调整工作，并督促各部门单位及时更新本单位网站页面相应信息。四是按照市里统一部署，将区政府网站中网上办事栏目更新成“政务服务旗舰店”。五是做好“幸福雨花便捷生活”微信公众号运维工作。截至10月微信公众号实现推送214次（571篇信息），单篇最高阅读量达2866次。</w:t>
      </w:r>
      <w:r>
        <w:rPr>
          <w:rFonts w:hint="eastAsia" w:ascii="仿宋_GB2312" w:hAnsi="仿宋_GB2312" w:eastAsia="仿宋_GB2312" w:cs="仿宋_GB2312"/>
          <w:sz w:val="32"/>
          <w:szCs w:val="32"/>
          <w:lang w:val="en-US" w:eastAsia="zh-CN"/>
        </w:rPr>
        <w:t>2019数字政府服务能力暨第十八届中国政府网站绩效评估结果发布会上，长沙市雨花区政府网站在全国区县政府排名第23位。雨花区政府网站“区长信箱”栏目获评“2019年政务网站政民互动精品栏目”“幸福雨花便捷生活”微信公众号获评“2019年微服务卓越奖”</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5、</w:t>
      </w:r>
      <w:r>
        <w:rPr>
          <w:rFonts w:hint="eastAsia" w:ascii="Times New Roman" w:hAnsi="Times New Roman" w:eastAsia="楷体_GB2312" w:cs="Times New Roman"/>
          <w:sz w:val="32"/>
          <w:szCs w:val="32"/>
        </w:rPr>
        <w:t>强化运维支撑，抓好网络安全</w:t>
      </w:r>
    </w:p>
    <w:p>
      <w:pPr>
        <w:widowControl w:val="0"/>
        <w:adjustRightInd/>
        <w:snapToGrid/>
        <w:spacing w:after="0" w:line="600" w:lineRule="exact"/>
        <w:ind w:firstLine="640" w:firstLineChars="200"/>
        <w:jc w:val="both"/>
        <w:rPr>
          <w:rFonts w:ascii="Times New Roman" w:hAnsi="Times New Roman" w:eastAsia="楷体_GB2312" w:cs="Times New Roman"/>
          <w:sz w:val="32"/>
          <w:szCs w:val="32"/>
        </w:rPr>
      </w:pPr>
      <w:r>
        <w:rPr>
          <w:rFonts w:hint="eastAsia" w:ascii="仿宋" w:hAnsi="仿宋" w:eastAsia="仿宋" w:cs="仿宋"/>
          <w:kern w:val="2"/>
          <w:sz w:val="32"/>
          <w:szCs w:val="32"/>
        </w:rPr>
        <w:t>一是政务网络及终端运维维护方面，截至本月，今年维修、维护网络及终端共2178次，各种现场会议保障共92次，按照省事要求，配合机关各单位完成了办公用房调整后的终端设备和网络的调试共计1500余次，保障了各单位办公设备的正常运行。二是机房服务器方面，搭建了一套能满足全区信息化建设的服务器虚拟化平台,完善并扩容了防病毒安全软件。三是积极与各个用户单位积极走访调研，配合多个街道和社区进行了网络安全隐患整改终端接入网络梳理，使网络畅通率得到了有效保障。四是主动联系华中测评机构，完成并通过了我区门户网站平台和电子政务外网平台的二级等保安全测评，对照出具的网络安全测评报告进行了漏洞的封堵和整改；在全省“网络攻防演练”和国庆70周年网络安全特护阶段，积极联系网络安全厂家和各平台承建商进行漏洞和业务梳理排查，关闭和整改了部分有安全隐患的平台和主机，保障了我区门户网站和网络的安全稳定运行。</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6、</w:t>
      </w:r>
      <w:r>
        <w:rPr>
          <w:rFonts w:ascii="Times New Roman" w:hAnsi="Times New Roman" w:eastAsia="楷体_GB2312" w:cs="Times New Roman"/>
          <w:sz w:val="32"/>
          <w:szCs w:val="32"/>
        </w:rPr>
        <w:t>加强对电子政务项目技术评审</w:t>
      </w:r>
      <w:r>
        <w:rPr>
          <w:rFonts w:hint="eastAsia" w:ascii="Times New Roman" w:hAnsi="Times New Roman" w:eastAsia="楷体_GB2312" w:cs="Times New Roman"/>
          <w:sz w:val="32"/>
          <w:szCs w:val="32"/>
        </w:rPr>
        <w:t>工作</w:t>
      </w:r>
    </w:p>
    <w:p>
      <w:pPr>
        <w:ind w:firstLine="640" w:firstLineChars="200"/>
        <w:rPr>
          <w:rFonts w:hint="eastAsia" w:ascii="楷体_GB2312" w:hAnsi="楷体_GB2312" w:eastAsia="楷体_GB2312" w:cs="楷体_GB2312"/>
          <w:b/>
          <w:kern w:val="0"/>
          <w:sz w:val="32"/>
          <w:szCs w:val="32"/>
        </w:rPr>
      </w:pPr>
      <w:r>
        <w:rPr>
          <w:rFonts w:ascii="Times New Roman" w:hAnsi="Times New Roman" w:eastAsia="仿宋_GB2312" w:cs="Times New Roman"/>
          <w:sz w:val="32"/>
          <w:szCs w:val="32"/>
        </w:rPr>
        <w:t>按照《雨花区电子政务工程建设项目管理办法（试行）》（雨政办发〔2017〕33号）文件精神，严格执行“统一规划、统一标准、统一平台、集约高效、共享协同、安全可靠”的电子政务项目建设原则，共审查电子政务项目</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70</w:t>
      </w:r>
      <w:r>
        <w:rPr>
          <w:rFonts w:ascii="Times New Roman" w:hAnsi="Times New Roman" w:eastAsia="仿宋_GB2312" w:cs="Times New Roman"/>
          <w:sz w:val="32"/>
          <w:szCs w:val="32"/>
        </w:rPr>
        <w:t xml:space="preserve">件，为区级财政节约资金近100万元，同时，优化项目技术审查和管理工作，建立雨花区电子政务专家库，为项目建设把好“技术关”和“廉洁关”，避免重复建设和重复投资，切实提高财政资金使用效益。 </w:t>
      </w:r>
    </w:p>
    <w:p>
      <w:pPr>
        <w:keepNext w:val="0"/>
        <w:keepLines w:val="0"/>
        <w:pageBreakBefore w:val="0"/>
        <w:widowControl w:val="0"/>
        <w:numPr>
          <w:ilvl w:val="0"/>
          <w:numId w:val="1"/>
        </w:numPr>
        <w:kinsoku/>
        <w:wordWrap/>
        <w:overflowPunct/>
        <w:topLinePunct w:val="0"/>
        <w:autoSpaceDE/>
        <w:autoSpaceDN/>
        <w:bidi w:val="0"/>
        <w:spacing w:after="156" w:afterLines="50" w:line="600" w:lineRule="exact"/>
        <w:ind w:firstLine="640" w:firstLineChars="200"/>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存在的主要问题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1、本单位</w:t>
      </w:r>
      <w:r>
        <w:rPr>
          <w:rFonts w:hint="default" w:ascii="Times New Roman" w:hAnsi="Times New Roman" w:eastAsia="仿宋_GB2312" w:cs="Times New Roman"/>
          <w:sz w:val="32"/>
          <w:szCs w:val="32"/>
          <w:lang w:val="en-US" w:eastAsia="zh-CN"/>
        </w:rPr>
        <w:t>负责了全区的电子信息化工作，有非常庞大的无形资产需要管理，涉及到各类软件、</w:t>
      </w:r>
      <w:r>
        <w:rPr>
          <w:rFonts w:hint="eastAsia" w:ascii="Times New Roman" w:hAnsi="Times New Roman" w:eastAsia="仿宋_GB2312" w:cs="Times New Roman"/>
          <w:sz w:val="32"/>
          <w:szCs w:val="32"/>
          <w:lang w:val="en-US" w:eastAsia="zh-CN"/>
        </w:rPr>
        <w:t>大量</w:t>
      </w:r>
      <w:r>
        <w:rPr>
          <w:rFonts w:hint="default" w:ascii="Times New Roman" w:hAnsi="Times New Roman" w:eastAsia="仿宋_GB2312" w:cs="Times New Roman"/>
          <w:sz w:val="32"/>
          <w:szCs w:val="32"/>
          <w:lang w:val="en-US" w:eastAsia="zh-CN"/>
        </w:rPr>
        <w:t>硬件，因此在资产管理这块，仍面临巨大挑战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需要在这块投入更多的人力和精力。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2、预算绩效管理工作有待加强，绩效自评工作未按照要求及时开展，自评报告质量有待进一步提高。</w:t>
      </w:r>
    </w:p>
    <w:p>
      <w:pPr>
        <w:keepNext w:val="0"/>
        <w:keepLines w:val="0"/>
        <w:pageBreakBefore w:val="0"/>
        <w:widowControl w:val="0"/>
        <w:kinsoku/>
        <w:wordWrap/>
        <w:overflowPunct/>
        <w:topLinePunct w:val="0"/>
        <w:autoSpaceDE/>
        <w:autoSpaceDN/>
        <w:bidi w:val="0"/>
        <w:spacing w:after="156" w:afterLines="50" w:line="600" w:lineRule="exact"/>
        <w:ind w:firstLine="640" w:firstLineChars="200"/>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七、政策建议和改进措施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进一步加强部门项目预算编制及执行管理，提高项目资金使用效益。加强年初预算的内部前期会商、细化项目具体内容、准确测算项目资金额度，力争实现预算编制科学，预算额度精准的预算管理要求；完善各项目支出的内部控制；严格按照预算指标进行支出安排，尽量做到年中不调整或少调整预算；尽早安排与拨付资金，避免出现项目资金跨年度滞留金额较大现象。</w:t>
      </w:r>
    </w:p>
    <w:p>
      <w:pPr>
        <w:ind w:firstLine="640" w:firstLineChars="200"/>
        <w:rPr>
          <w:rFonts w:hint="eastAsia" w:ascii="仿宋_GB2312" w:eastAsia="仿宋_GB2312"/>
          <w:b/>
          <w:sz w:val="30"/>
          <w:szCs w:val="30"/>
        </w:rPr>
      </w:pPr>
      <w:r>
        <w:rPr>
          <w:rFonts w:hint="eastAsia" w:ascii="仿宋" w:hAnsi="仿宋" w:eastAsia="仿宋" w:cs="仿宋"/>
          <w:sz w:val="32"/>
          <w:szCs w:val="32"/>
        </w:rPr>
        <w:t>2、重视绩效评价工作，建立较为完善的自评价系统，及时开展部门及项目的绩效自评价工作。</w:t>
      </w:r>
    </w:p>
    <w:p>
      <w:pPr>
        <w:ind w:firstLine="1920" w:firstLineChars="600"/>
        <w:jc w:val="both"/>
        <w:rPr>
          <w:rFonts w:hint="eastAsia" w:ascii="宋体" w:hAnsi="宋体" w:cs="黑体"/>
          <w:color w:val="000000"/>
          <w:kern w:val="0"/>
          <w:sz w:val="32"/>
          <w:szCs w:val="32"/>
          <w:lang w:val="en-US" w:eastAsia="zh-CN" w:bidi="ar-SA"/>
        </w:rPr>
      </w:pPr>
    </w:p>
    <w:p>
      <w:pPr>
        <w:ind w:firstLine="640" w:firstLineChars="200"/>
        <w:jc w:val="left"/>
        <w:rPr>
          <w:rFonts w:ascii="宋体" w:hAnsi="宋体" w:cs="黑体"/>
          <w:color w:val="000000"/>
          <w:kern w:val="0"/>
          <w:sz w:val="32"/>
          <w:szCs w:val="32"/>
        </w:rPr>
      </w:pPr>
    </w:p>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rPr>
      <w:t>- 15 -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D9CA9"/>
    <w:multiLevelType w:val="singleLevel"/>
    <w:tmpl w:val="A88D9CA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DAC218C"/>
    <w:rsid w:val="0DAC218C"/>
    <w:rsid w:val="1F4D0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6867</Words>
  <Characters>7547</Characters>
  <Lines>0</Lines>
  <Paragraphs>0</Paragraphs>
  <TotalTime>0</TotalTime>
  <ScaleCrop>false</ScaleCrop>
  <LinksUpToDate>false</LinksUpToDate>
  <CharactersWithSpaces>8085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2020-09-03T06:28:00Z</dcterms:created>
  <dc:creator>Administrator</dc:creator>
  <cp:lastModifiedBy>Administrator</cp:lastModifiedBy>
  <dcterms:modified xsi:type="dcterms:W3CDTF">2023-04-21T06:34:35Z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67991C23BCCC4BD192C4EB94CB7FB554_13</vt:lpwstr>
  </property>
</Properties>
</file>