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区城管执法局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整体支出预算绩效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自评报告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单位名称（盖章）：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一、部门概况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（一）部门基本情况：</w:t>
      </w:r>
      <w:r>
        <w:rPr>
          <w:rFonts w:hint="eastAsia" w:ascii="宋体" w:hAnsi="宋体" w:eastAsia="宋体" w:cs="宋体"/>
          <w:sz w:val="30"/>
          <w:szCs w:val="30"/>
        </w:rPr>
        <w:t>长沙市雨花区城市管理和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综合</w:t>
      </w:r>
      <w:r>
        <w:rPr>
          <w:rFonts w:hint="eastAsia" w:ascii="宋体" w:hAnsi="宋体" w:eastAsia="宋体" w:cs="宋体"/>
          <w:sz w:val="30"/>
          <w:szCs w:val="30"/>
        </w:rPr>
        <w:t>执法局为区人民政府工作部门。20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年12月，区城管局内设机构有办公室、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督查考评科</w:t>
      </w:r>
      <w:r>
        <w:rPr>
          <w:rFonts w:hint="eastAsia" w:ascii="宋体" w:hAnsi="宋体" w:eastAsia="宋体" w:cs="宋体"/>
          <w:sz w:val="30"/>
          <w:szCs w:val="30"/>
        </w:rPr>
        <w:t>、基础设施科、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基层</w:t>
      </w:r>
      <w:r>
        <w:rPr>
          <w:rFonts w:hint="eastAsia" w:ascii="宋体" w:hAnsi="宋体" w:eastAsia="宋体" w:cs="宋体"/>
          <w:sz w:val="30"/>
          <w:szCs w:val="30"/>
        </w:rPr>
        <w:t>指导科、行政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审批和政务服务</w:t>
      </w:r>
      <w:r>
        <w:rPr>
          <w:rFonts w:hint="eastAsia" w:ascii="宋体" w:hAnsi="宋体" w:eastAsia="宋体" w:cs="宋体"/>
          <w:sz w:val="30"/>
          <w:szCs w:val="30"/>
        </w:rPr>
        <w:t>科、拆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违</w:t>
      </w:r>
      <w:r>
        <w:rPr>
          <w:rFonts w:hint="eastAsia" w:ascii="宋体" w:hAnsi="宋体" w:eastAsia="宋体" w:cs="宋体"/>
          <w:sz w:val="30"/>
          <w:szCs w:val="30"/>
        </w:rPr>
        <w:t>控违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科、燃气热力和桥隧管理科、渣土管理科，</w:t>
      </w:r>
      <w:r>
        <w:rPr>
          <w:rFonts w:hint="eastAsia" w:ascii="宋体" w:hAnsi="宋体" w:eastAsia="宋体" w:cs="宋体"/>
          <w:sz w:val="30"/>
          <w:szCs w:val="30"/>
        </w:rPr>
        <w:t>下设长沙市雨花区数字化城市管理指挥协调中</w:t>
      </w:r>
      <w:r>
        <w:rPr>
          <w:rFonts w:hint="eastAsia" w:ascii="宋体" w:hAnsi="宋体" w:cs="宋体"/>
          <w:sz w:val="30"/>
          <w:szCs w:val="30"/>
          <w:lang w:eastAsia="zh-CN"/>
        </w:rPr>
        <w:t>心和雨花区渣土事务中心</w:t>
      </w:r>
      <w:r>
        <w:rPr>
          <w:rFonts w:hint="eastAsia" w:ascii="宋体" w:hAnsi="宋体" w:eastAsia="宋体" w:cs="宋体"/>
          <w:sz w:val="30"/>
          <w:szCs w:val="30"/>
        </w:rPr>
        <w:t>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总编制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35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人，其中行政编15人，事业编制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人。全局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现有在职在编干部职工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33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</w:rPr>
        <w:t>人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</w:rPr>
        <w:t>才引进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</w:rPr>
        <w:t>人，雇员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</w:rPr>
        <w:t>人，退休人员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</w:rPr>
        <w:t xml:space="preserve"> 人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（二）部门整体支出规模：20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21855.6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万元，一般公共财政预算拨款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21855.6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万元，其中：基本支出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1021.39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万元，专项支出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20834.21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二、部门整体支出管理及使用情况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（一）基本支出：主要是为保障单位机构正常运转、完成日常工作任务而发生的各项支出,包括用于基本工资、津贴补贴等人员经费以及办公费、印刷费、水电费、办公设备购置等日常公用经费。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从严管理“三公经费”，其中：车辆运行经费预算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2.97万，决算支出0万；公务接待经费预算2.5万，决算支出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0.49万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无出国经费。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专项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支出：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主要用于城管工程项目、垃圾分类全覆盖工作、区城管绩效考核、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餐厨垃圾全覆盖收运维护经费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、渣土整治专项经费等等专项业务经费。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（三）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专项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资金管理制度:20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继续实行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内控制度建设，单位各项管理制度都得有明显的提高，达到了较理想的效果。</w:t>
      </w:r>
      <w:r>
        <w:rPr>
          <w:rFonts w:hint="eastAsia" w:ascii="宋体" w:hAnsi="宋体" w:eastAsia="宋体" w:cs="宋体"/>
          <w:sz w:val="30"/>
          <w:szCs w:val="30"/>
        </w:rPr>
        <w:t>为规范资金管理，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补充规范了《雨花区城管局财务管理制度》、《雨花区城管项目建设指挥部财务管理制度》，</w:t>
      </w:r>
      <w:r>
        <w:rPr>
          <w:rFonts w:hint="eastAsia" w:ascii="宋体" w:hAnsi="宋体" w:eastAsia="宋体" w:cs="宋体"/>
          <w:sz w:val="30"/>
          <w:szCs w:val="30"/>
        </w:rPr>
        <w:t>制定了《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雨花区</w:t>
      </w:r>
      <w:r>
        <w:rPr>
          <w:rFonts w:hint="eastAsia" w:ascii="宋体" w:hAnsi="宋体" w:eastAsia="宋体" w:cs="宋体"/>
          <w:sz w:val="30"/>
          <w:szCs w:val="30"/>
        </w:rPr>
        <w:t>城市管理专项资金管理办法》，对专项资金的分配范围、申报和使用程序、项目资金的监督管理等均做出了规定，项目实施过程中，各项资金管理制度均得到了执行。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三、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专项组织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实施情况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继续实行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内控制度建设，单位各项管理制度都得有明显的提高，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各项工作推进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达到了较理想的效果。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其中，亮化、社区提质等城管建设项目由区城管系统项目建设指挥部负责统筹、协调、及时解决项目推进过程中遇到的问题，由区城管执法局具体负责建设与维护项目的实施；垃圾分类全覆盖工作的统筹、协调、调度组织领导机构有雨花区垃圾分类全覆盖工作领导小组（下设雨花区垃圾分类全覆盖工作指挥部），由区城管执法局负责具体组织实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四、资产管理情况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2019年全面系统地完成局系统资产清查和资产审计，并已对存在问题规范整改，重新制定了《雨花区城管执法局固定资产管理办法》并组织实施。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五、部门整体支出绩效评价情况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根据我局的职能目标和工作任务开展情况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,我局对20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年部门整体支出绩效开展了评价,情况如下: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局职能目标和业务完成情况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持续推进综合整治。强力推进省委交办城市管理品质提升、清洁长沙等综合整治。以长沙大道、韶山路等重要道路及火车南站、省人大、区政府等区域周边为整治重点，自查整改各类城管问题约2.7万个。在文明创建迎国检中，成立了6个专项督查组，由领导班子带队开展全覆盖督查，累计发现并督促整改问题约1.6万个。全年依托数字化平台累计自查整改各类城管环保问题约14万条，数字化案件问题有效解决率平均率为99.772%，排名全市第一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深入开展城管执法。深入开展蓝天保卫战、校园周边、农贸市场周边、交通顽瘴痼疾等执法整治，共办理各类行政执法案件4335起，罚款约390万元。根据省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环保督察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“回头看”工作要求和市、区安排部署，共办理蓝天保卫战相关案件1555个，罚款约269万元，对全区4468家餐饮单位建立了动态管理台账，3078家餐饮单位实现油烟净化装置应装尽装。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3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垃圾分类全面覆盖。广泛进行垃圾分类工作宣传动员，累计举办培训、情景剧等各类主题活动1066场，发动居民群众6.3万余人，被各级媒体报道263次。累计清运生活垃圾47万吨，清运达标厨余垃圾约4.4万吨，年度厨余垃圾达标占比9.52%，排名内五区第一；累计收集可回收物约9.7万吨，占全年生活垃圾总量的17.01%；全市率先开出垃圾分类第一张个人罚单。餐厨垃圾方面，实现全区3735家餐饮门店全覆盖，累计收运餐厨垃圾1.37万吨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4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渣土运输全面管控。已基本建成区渣土智慧平台并投入使用，渣土处置工地、消纳（回填）场所基本信息以及车辆核准证信息可实现一键查看。共办理各类渣土类案件808起，罚款约258万元，处置办结市区交办、市民投诉举报各类问题802个；查处违法违规车辆43台次；下达停工整改通知单413次，约谈问题企业16次。组织全区37家注册渣土运输公司的车队长、安全员、驾驶员共计1055人，进行了安全生产教育培训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5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其他城管重点工作。一是拆违控违持续强化。累计拆除违法建设90处，合计约5.7万平方米，控制新增违建56处，合计1800余平方米；收到21、22期规划卫星图斑共计24处，国土卫片图斑共8处，已全部处置完毕。实现省儿童医院周边违法建筑全部清零，受到市优化营商环境工作领导小组办公室表彰。二是燃气管理保持平稳。印制“燃气安全使用告知书”3.6万份并结合“燃气安全情系万家”宣传册下发各街镇。排查整治餐饮门店2882家，消除安全隐患问题414处；多次开展突击行动，共查处黑车11台，黑点17处，暂扣各类钢瓶1416个，全年无安全生产事故发生。三是城管项目建设稳步推进。省人大（机关本院）、省测绘院、七里庙社区、 窑岭社区、景湾小区、曙光社区、铜铝材厂宿舍提质改造项目均已完工；2020年家庭餐厨油烟机已完成17000台安装任务并区内验收；油烟在线监测服务项目已完成180个点位安装并竣工验收；花侯路（湘府路—长沙大道）两厢路灯提质改造工程已完工并完成竣工验收，“五纵五横”长沙大道、花侯路，广告示范街项目均在按期推进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完成了本年度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各项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工作目标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任务，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部门整体支出绩效情况如下：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１、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年预算安排控制较好，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压缩了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“三公”经费预算。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２、预算执行方面，支出总额基本控制在预算以内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不存在截留或滞留专项资金情况。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３、加强部门整体支出，提高国有资产管理，提高资金使用效益，提升财务管理，建立节约型机关，在强化业务管理，财务管理和厉行节约的方面开展了大量工作，行政效能显著。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、社会公众满意度：20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年，因各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eastAsia="zh-CN"/>
        </w:rPr>
        <w:t>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工作开展有序，群众满意度良好。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 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、部门整体绩效得分：对照绩效评价指标及评分标准,根据本局20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年上述各项指标完成情况,我局20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年部门整体绩效评价为9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六、存在的主要问题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对于绩效评价的认识不够深入，把预算绩效简单等同于工作目标、工作考核和业务管理。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各项绩效目标和指标往往与实际完成情况有一定的偏差，各项指标有待完善。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七、改进措施和有关建议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加强绩效评价管理制度和流程的建设，进一步深化、完善绩效管理体系，建立全过程的预算绩效管理机制，促进绩效管理工作向广度和深度延伸。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规范绩效评价管理资料的收集整理，确保相关信息完整、可靠，客观公正地反映项目资金实际使用和产生的绩效状况，为今后该项目实施方向及管理方式的改进提供指导。</w:t>
      </w:r>
    </w:p>
    <w:p>
      <w:pPr>
        <w:pStyle w:val="6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</w:p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30E9C"/>
    <w:multiLevelType w:val="singleLevel"/>
    <w:tmpl w:val="85830E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D712F"/>
    <w:rsid w:val="003F4674"/>
    <w:rsid w:val="00F04A6C"/>
    <w:rsid w:val="06CD79A1"/>
    <w:rsid w:val="0BB66FE8"/>
    <w:rsid w:val="0C0D0508"/>
    <w:rsid w:val="10805243"/>
    <w:rsid w:val="144439AD"/>
    <w:rsid w:val="26230B9C"/>
    <w:rsid w:val="2F7D712F"/>
    <w:rsid w:val="32E542BE"/>
    <w:rsid w:val="36247546"/>
    <w:rsid w:val="40CD00BF"/>
    <w:rsid w:val="4ABA2B6C"/>
    <w:rsid w:val="57F27361"/>
    <w:rsid w:val="5A2605FE"/>
    <w:rsid w:val="5F77471D"/>
    <w:rsid w:val="6094253D"/>
    <w:rsid w:val="6474223F"/>
    <w:rsid w:val="64DD09ED"/>
    <w:rsid w:val="6A915BC3"/>
    <w:rsid w:val="6B7258F8"/>
    <w:rsid w:val="6D1D02EE"/>
    <w:rsid w:val="6E261482"/>
    <w:rsid w:val="72E20E40"/>
    <w:rsid w:val="79781D3D"/>
    <w:rsid w:val="7BD954E4"/>
    <w:rsid w:val="7C3127DF"/>
    <w:rsid w:val="7F926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Calibri" w:hAnsi="Calibri" w:eastAsia="华文仿宋" w:cs="Times New Roman"/>
      <w:sz w:val="30"/>
    </w:rPr>
  </w:style>
  <w:style w:type="paragraph" w:styleId="3">
    <w:name w:val="Body Text Indent"/>
    <w:basedOn w:val="1"/>
    <w:qFormat/>
    <w:uiPriority w:val="0"/>
    <w:pPr>
      <w:spacing w:line="600" w:lineRule="exact"/>
      <w:ind w:firstLine="608" w:firstLineChars="200"/>
    </w:pPr>
    <w:rPr>
      <w:rFonts w:ascii="Times New Roman" w:hAnsi="Times New Roman" w:eastAsia="方正仿宋简体"/>
      <w:color w:val="000000"/>
      <w:spacing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/>
    </w:p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2021-02-23T08:02:00Z</dcterms:created>
  <dc:creator>hom</dc:creator>
  <cp:lastModifiedBy>Administrator</cp:lastModifiedBy>
  <cp:lastPrinted>2022-09-09T07:47:00Z</cp:lastPrinted>
  <dcterms:modified xsi:type="dcterms:W3CDTF">2022-09-15T14:31:56Z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120182491FCF4A40BB7CE771CE08A802</vt:lpwstr>
  </property>
</Properties>
</file>