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Times New Roman" w:hAnsi="Times New Roman" w:eastAsia="黑体" w:cs="Times New Roman"/>
          <w:kern w:val="0"/>
          <w:sz w:val="32"/>
          <w:szCs w:val="32"/>
          <w:lang w:eastAsia="zh-CN"/>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1</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小标宋简体" w:cs="Times New Roman"/>
          <w:kern w:val="0"/>
          <w:sz w:val="44"/>
          <w:szCs w:val="44"/>
        </w:rPr>
      </w:pPr>
      <w:bookmarkStart w:id="0" w:name="_GoBack"/>
      <w:r>
        <w:rPr>
          <w:rFonts w:hint="default" w:ascii="Times New Roman" w:hAnsi="Times New Roman" w:eastAsia="方正小标宋简体" w:cs="Times New Roman"/>
          <w:kern w:val="0"/>
          <w:sz w:val="44"/>
          <w:szCs w:val="44"/>
        </w:rPr>
        <w:t>部门整体支出绩效</w:t>
      </w:r>
      <w:r>
        <w:rPr>
          <w:rFonts w:hint="default" w:ascii="Times New Roman" w:hAnsi="Times New Roman" w:eastAsia="方正小标宋简体" w:cs="Times New Roman"/>
          <w:kern w:val="0"/>
          <w:sz w:val="44"/>
          <w:szCs w:val="44"/>
          <w:lang w:eastAsia="zh-CN"/>
        </w:rPr>
        <w:t>自评</w:t>
      </w:r>
      <w:bookmarkEnd w:id="0"/>
      <w:r>
        <w:rPr>
          <w:rFonts w:hint="default" w:ascii="Times New Roman" w:hAnsi="Times New Roman" w:eastAsia="方正小标宋简体" w:cs="Times New Roman"/>
          <w:kern w:val="0"/>
          <w:sz w:val="44"/>
          <w:szCs w:val="44"/>
        </w:rPr>
        <w:t>基础数据表</w:t>
      </w:r>
    </w:p>
    <w:p>
      <w:pPr>
        <w:keepNext w:val="0"/>
        <w:keepLines w:val="0"/>
        <w:pageBreakBefore w:val="0"/>
        <w:widowControl/>
        <w:tabs>
          <w:tab w:val="left" w:pos="3611"/>
          <w:tab w:val="left" w:pos="4791"/>
          <w:tab w:val="left" w:pos="5951"/>
          <w:tab w:val="left" w:pos="7071"/>
          <w:tab w:val="left" w:pos="8191"/>
          <w:tab w:val="left" w:pos="9311"/>
        </w:tabs>
        <w:kinsoku/>
        <w:wordWrap/>
        <w:overflowPunct/>
        <w:topLinePunct w:val="0"/>
        <w:autoSpaceDE/>
        <w:autoSpaceDN/>
        <w:bidi w:val="0"/>
        <w:adjustRightInd/>
        <w:snapToGrid/>
        <w:spacing w:line="240" w:lineRule="auto"/>
        <w:ind w:left="91"/>
        <w:jc w:val="left"/>
        <w:textAlignment w:val="auto"/>
        <w:rPr>
          <w:rFonts w:hint="default" w:ascii="Times New Roman" w:hAnsi="Times New Roman" w:eastAsia="楷体_GB2312" w:cs="Times New Roman"/>
          <w:b/>
          <w:bCs/>
          <w:kern w:val="0"/>
          <w:sz w:val="24"/>
        </w:rPr>
      </w:pPr>
      <w:r>
        <w:rPr>
          <w:rFonts w:hint="default" w:ascii="Times New Roman" w:hAnsi="Times New Roman" w:eastAsia="楷体_GB2312" w:cs="Times New Roman"/>
          <w:b/>
          <w:bCs/>
          <w:kern w:val="0"/>
          <w:sz w:val="24"/>
        </w:rPr>
        <w:t>填报单位：</w:t>
      </w:r>
      <w:r>
        <w:rPr>
          <w:rFonts w:hint="eastAsia" w:eastAsia="楷体_GB2312" w:cs="Times New Roman"/>
          <w:b/>
          <w:bCs/>
          <w:kern w:val="0"/>
          <w:sz w:val="24"/>
          <w:lang w:eastAsia="zh-CN"/>
        </w:rPr>
        <w:t>雨花区征收办</w:t>
      </w:r>
    </w:p>
    <w:tbl>
      <w:tblPr>
        <w:tblStyle w:val="5"/>
        <w:tblW w:w="9071" w:type="dxa"/>
        <w:jc w:val="center"/>
        <w:tblInd w:w="0" w:type="dxa"/>
        <w:tblLayout w:type="fixed"/>
        <w:tblCellMar>
          <w:top w:w="0" w:type="dxa"/>
          <w:left w:w="57" w:type="dxa"/>
          <w:bottom w:w="0" w:type="dxa"/>
          <w:right w:w="57" w:type="dxa"/>
        </w:tblCellMar>
      </w:tblPr>
      <w:tblGrid>
        <w:gridCol w:w="2940"/>
        <w:gridCol w:w="1014"/>
        <w:gridCol w:w="805"/>
        <w:gridCol w:w="1296"/>
        <w:gridCol w:w="1089"/>
        <w:gridCol w:w="949"/>
        <w:gridCol w:w="978"/>
      </w:tblGrid>
      <w:tr>
        <w:tblPrEx>
          <w:tblLayout w:type="fixed"/>
          <w:tblCellMar>
            <w:top w:w="0" w:type="dxa"/>
            <w:left w:w="57" w:type="dxa"/>
            <w:bottom w:w="0" w:type="dxa"/>
            <w:right w:w="57" w:type="dxa"/>
          </w:tblCellMar>
        </w:tblPrEx>
        <w:trPr>
          <w:trHeight w:val="359" w:hRule="atLeast"/>
          <w:jc w:val="center"/>
        </w:trPr>
        <w:tc>
          <w:tcPr>
            <w:tcW w:w="29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黑体" w:cs="Times New Roman"/>
                <w:b w:val="0"/>
                <w:bCs w:val="0"/>
                <w:kern w:val="0"/>
                <w:sz w:val="20"/>
                <w:szCs w:val="20"/>
              </w:rPr>
              <w:t>财政供养人员情况</w:t>
            </w:r>
          </w:p>
        </w:tc>
        <w:tc>
          <w:tcPr>
            <w:tcW w:w="181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编制数</w:t>
            </w:r>
          </w:p>
        </w:tc>
        <w:tc>
          <w:tcPr>
            <w:tcW w:w="2385"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20</w:t>
            </w:r>
            <w:r>
              <w:rPr>
                <w:rFonts w:hint="default" w:ascii="Times New Roman" w:hAnsi="Times New Roman" w:eastAsia="黑体" w:cs="Times New Roman"/>
                <w:b w:val="0"/>
                <w:bCs w:val="0"/>
                <w:kern w:val="0"/>
                <w:sz w:val="20"/>
                <w:szCs w:val="20"/>
              </w:rPr>
              <w:t>年实际在职人数</w:t>
            </w:r>
          </w:p>
        </w:tc>
        <w:tc>
          <w:tcPr>
            <w:tcW w:w="1927"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控制率</w:t>
            </w:r>
          </w:p>
        </w:tc>
      </w:tr>
      <w:tr>
        <w:tblPrEx>
          <w:tblLayout w:type="fixed"/>
          <w:tblCellMar>
            <w:top w:w="0" w:type="dxa"/>
            <w:left w:w="57" w:type="dxa"/>
            <w:bottom w:w="0" w:type="dxa"/>
            <w:right w:w="57" w:type="dxa"/>
          </w:tblCellMar>
        </w:tblPrEx>
        <w:trPr>
          <w:trHeight w:val="359" w:hRule="atLeast"/>
          <w:jc w:val="center"/>
        </w:trPr>
        <w:tc>
          <w:tcPr>
            <w:tcW w:w="2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p>
        </w:tc>
        <w:tc>
          <w:tcPr>
            <w:tcW w:w="181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16</w:t>
            </w:r>
          </w:p>
        </w:tc>
        <w:tc>
          <w:tcPr>
            <w:tcW w:w="2385"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17</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106%</w:t>
            </w:r>
            <w:r>
              <w:rPr>
                <w:rFonts w:hint="default" w:ascii="Times New Roman" w:hAnsi="Times New Roman" w:eastAsia="宋体" w:cs="Times New Roman"/>
                <w:b w:val="0"/>
                <w:bCs w:val="0"/>
                <w:kern w:val="0"/>
                <w:sz w:val="20"/>
                <w:szCs w:val="20"/>
              </w:rPr>
              <w:t>　</w:t>
            </w:r>
          </w:p>
        </w:tc>
      </w:tr>
      <w:tr>
        <w:tblPrEx>
          <w:tblLayout w:type="fixed"/>
          <w:tblCellMar>
            <w:top w:w="0" w:type="dxa"/>
            <w:left w:w="57" w:type="dxa"/>
            <w:bottom w:w="0" w:type="dxa"/>
            <w:right w:w="57" w:type="dxa"/>
          </w:tblCellMar>
        </w:tblPrEx>
        <w:trPr>
          <w:trHeight w:val="359"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经费控制情况</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201</w:t>
            </w:r>
            <w:r>
              <w:rPr>
                <w:rFonts w:hint="default" w:ascii="Times New Roman" w:hAnsi="Times New Roman" w:eastAsia="黑体" w:cs="Times New Roman"/>
                <w:b w:val="0"/>
                <w:bCs w:val="0"/>
                <w:kern w:val="0"/>
                <w:sz w:val="20"/>
                <w:szCs w:val="20"/>
                <w:lang w:val="en-US" w:eastAsia="zh-CN"/>
              </w:rPr>
              <w:t>9</w:t>
            </w:r>
            <w:r>
              <w:rPr>
                <w:rFonts w:hint="default" w:ascii="Times New Roman" w:hAnsi="Times New Roman" w:eastAsia="黑体" w:cs="Times New Roman"/>
                <w:b w:val="0"/>
                <w:bCs w:val="0"/>
                <w:kern w:val="0"/>
                <w:sz w:val="20"/>
                <w:szCs w:val="20"/>
              </w:rPr>
              <w:t>年决算数</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20</w:t>
            </w:r>
            <w:r>
              <w:rPr>
                <w:rFonts w:hint="default" w:ascii="Times New Roman" w:hAnsi="Times New Roman" w:eastAsia="黑体" w:cs="Times New Roman"/>
                <w:b w:val="0"/>
                <w:bCs w:val="0"/>
                <w:kern w:val="0"/>
                <w:sz w:val="20"/>
                <w:szCs w:val="20"/>
              </w:rPr>
              <w:t>年预算数</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20</w:t>
            </w:r>
            <w:r>
              <w:rPr>
                <w:rFonts w:hint="default" w:ascii="Times New Roman" w:hAnsi="Times New Roman" w:eastAsia="黑体" w:cs="Times New Roman"/>
                <w:b w:val="0"/>
                <w:bCs w:val="0"/>
                <w:kern w:val="0"/>
                <w:sz w:val="20"/>
                <w:szCs w:val="20"/>
              </w:rPr>
              <w:t>年决算数</w:t>
            </w:r>
          </w:p>
        </w:tc>
      </w:tr>
      <w:tr>
        <w:tblPrEx>
          <w:tblLayout w:type="fixed"/>
          <w:tblCellMar>
            <w:top w:w="0" w:type="dxa"/>
            <w:left w:w="57" w:type="dxa"/>
            <w:bottom w:w="0" w:type="dxa"/>
            <w:right w:w="57" w:type="dxa"/>
          </w:tblCellMar>
        </w:tblPrEx>
        <w:trPr>
          <w:trHeight w:val="359"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eastAsia" w:asciiTheme="majorEastAsia" w:hAnsiTheme="majorEastAsia" w:eastAsiaTheme="majorEastAsia" w:cstheme="majorEastAsia"/>
                <w:b w:val="0"/>
                <w:bCs w:val="0"/>
                <w:kern w:val="0"/>
                <w:sz w:val="20"/>
                <w:szCs w:val="20"/>
              </w:rPr>
            </w:pPr>
            <w:r>
              <w:rPr>
                <w:rFonts w:hint="eastAsia" w:asciiTheme="majorEastAsia" w:hAnsiTheme="majorEastAsia" w:eastAsiaTheme="majorEastAsia" w:cstheme="majorEastAsia"/>
                <w:kern w:val="0"/>
                <w:sz w:val="20"/>
                <w:szCs w:val="20"/>
              </w:rPr>
              <w:t>三公经费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kern w:val="0"/>
                <w:sz w:val="20"/>
                <w:szCs w:val="20"/>
              </w:rPr>
            </w:pPr>
            <w:r>
              <w:rPr>
                <w:rFonts w:hint="eastAsia" w:asciiTheme="majorEastAsia" w:hAnsiTheme="majorEastAsia" w:eastAsiaTheme="majorEastAsia" w:cstheme="majorEastAsia"/>
                <w:kern w:val="0"/>
                <w:sz w:val="20"/>
                <w:szCs w:val="20"/>
                <w:lang w:val="en-US" w:eastAsia="zh-CN"/>
              </w:rPr>
              <w:t>3.94</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kern w:val="0"/>
                <w:sz w:val="20"/>
                <w:szCs w:val="20"/>
              </w:rPr>
            </w:pPr>
            <w:r>
              <w:rPr>
                <w:rFonts w:hint="eastAsia" w:asciiTheme="majorEastAsia" w:hAnsiTheme="majorEastAsia" w:eastAsiaTheme="majorEastAsia" w:cstheme="majorEastAsia"/>
                <w:b w:val="0"/>
                <w:bCs w:val="0"/>
                <w:kern w:val="0"/>
                <w:sz w:val="20"/>
                <w:szCs w:val="20"/>
                <w:lang w:val="en-US" w:eastAsia="zh-CN"/>
              </w:rPr>
              <w:t>5.94</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kern w:val="0"/>
                <w:sz w:val="20"/>
                <w:szCs w:val="20"/>
                <w:lang w:val="en-US" w:eastAsia="zh-CN"/>
              </w:rPr>
            </w:pPr>
            <w:r>
              <w:rPr>
                <w:rFonts w:hint="eastAsia" w:asciiTheme="majorEastAsia" w:hAnsiTheme="majorEastAsia" w:eastAsiaTheme="majorEastAsia" w:cstheme="majorEastAsia"/>
                <w:b w:val="0"/>
                <w:bCs w:val="0"/>
                <w:kern w:val="0"/>
                <w:sz w:val="20"/>
                <w:szCs w:val="20"/>
                <w:lang w:val="en-US" w:eastAsia="zh-CN"/>
              </w:rPr>
              <w:t>0.54</w:t>
            </w:r>
          </w:p>
        </w:tc>
      </w:tr>
      <w:tr>
        <w:tblPrEx>
          <w:tblLayout w:type="fixed"/>
          <w:tblCellMar>
            <w:top w:w="0" w:type="dxa"/>
            <w:left w:w="57" w:type="dxa"/>
            <w:bottom w:w="0" w:type="dxa"/>
            <w:right w:w="57" w:type="dxa"/>
          </w:tblCellMar>
        </w:tblPrEx>
        <w:trPr>
          <w:trHeight w:val="359"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eastAsia" w:asciiTheme="majorEastAsia" w:hAnsiTheme="majorEastAsia" w:eastAsiaTheme="majorEastAsia" w:cstheme="majorEastAsia"/>
                <w:b w:val="0"/>
                <w:bCs w:val="0"/>
                <w:kern w:val="0"/>
                <w:sz w:val="20"/>
                <w:szCs w:val="20"/>
              </w:rPr>
            </w:pPr>
            <w:r>
              <w:rPr>
                <w:rFonts w:hint="eastAsia" w:asciiTheme="majorEastAsia" w:hAnsiTheme="majorEastAsia" w:eastAsiaTheme="majorEastAsia" w:cstheme="majorEastAsia"/>
                <w:kern w:val="0"/>
                <w:sz w:val="20"/>
                <w:szCs w:val="20"/>
              </w:rPr>
              <w:t xml:space="preserve">   1、公务用车购置和维护经费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kern w:val="0"/>
                <w:sz w:val="20"/>
                <w:szCs w:val="20"/>
              </w:rPr>
            </w:pPr>
            <w:r>
              <w:rPr>
                <w:rFonts w:hint="eastAsia" w:asciiTheme="majorEastAsia" w:hAnsiTheme="majorEastAsia" w:eastAsiaTheme="majorEastAsia" w:cstheme="majorEastAsia"/>
                <w:kern w:val="0"/>
                <w:sz w:val="20"/>
                <w:szCs w:val="20"/>
                <w:lang w:val="en-US" w:eastAsia="zh-CN"/>
              </w:rPr>
              <w:t>3.94</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kern w:val="0"/>
                <w:sz w:val="20"/>
                <w:szCs w:val="20"/>
                <w:lang w:val="en-US" w:eastAsia="zh-CN"/>
              </w:rPr>
            </w:pPr>
            <w:r>
              <w:rPr>
                <w:rFonts w:hint="eastAsia" w:asciiTheme="majorEastAsia" w:hAnsiTheme="majorEastAsia" w:eastAsiaTheme="majorEastAsia" w:cstheme="majorEastAsia"/>
                <w:b w:val="0"/>
                <w:bCs w:val="0"/>
                <w:kern w:val="0"/>
                <w:sz w:val="20"/>
                <w:szCs w:val="20"/>
                <w:lang w:val="en-US" w:eastAsia="zh-CN"/>
              </w:rPr>
              <w:t>5.94</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kern w:val="0"/>
                <w:sz w:val="20"/>
                <w:szCs w:val="20"/>
                <w:lang w:val="en-US" w:eastAsia="zh-CN"/>
              </w:rPr>
            </w:pPr>
            <w:r>
              <w:rPr>
                <w:rFonts w:hint="eastAsia" w:asciiTheme="majorEastAsia" w:hAnsiTheme="majorEastAsia" w:eastAsiaTheme="majorEastAsia" w:cstheme="majorEastAsia"/>
                <w:b w:val="0"/>
                <w:bCs w:val="0"/>
                <w:kern w:val="0"/>
                <w:sz w:val="20"/>
                <w:szCs w:val="20"/>
                <w:lang w:val="en-US" w:eastAsia="zh-CN"/>
              </w:rPr>
              <w:t>0.54</w:t>
            </w:r>
          </w:p>
        </w:tc>
      </w:tr>
      <w:tr>
        <w:tblPrEx>
          <w:tblLayout w:type="fixed"/>
          <w:tblCellMar>
            <w:top w:w="0" w:type="dxa"/>
            <w:left w:w="57" w:type="dxa"/>
            <w:bottom w:w="0" w:type="dxa"/>
            <w:right w:w="57" w:type="dxa"/>
          </w:tblCellMar>
        </w:tblPrEx>
        <w:trPr>
          <w:trHeight w:val="359"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eastAsia" w:asciiTheme="majorEastAsia" w:hAnsiTheme="majorEastAsia" w:eastAsiaTheme="majorEastAsia" w:cstheme="majorEastAsia"/>
                <w:b w:val="0"/>
                <w:bCs w:val="0"/>
                <w:kern w:val="0"/>
                <w:sz w:val="20"/>
                <w:szCs w:val="20"/>
              </w:rPr>
            </w:pPr>
            <w:r>
              <w:rPr>
                <w:rFonts w:hint="eastAsia" w:asciiTheme="majorEastAsia" w:hAnsiTheme="majorEastAsia" w:eastAsiaTheme="majorEastAsia" w:cstheme="majorEastAsia"/>
                <w:kern w:val="0"/>
                <w:sz w:val="20"/>
                <w:szCs w:val="20"/>
              </w:rPr>
              <w:t xml:space="preserve">       其中：公车购置</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kern w:val="0"/>
                <w:sz w:val="20"/>
                <w:szCs w:val="20"/>
                <w:lang w:val="en-US" w:eastAsia="zh-CN"/>
              </w:rPr>
            </w:pPr>
            <w:r>
              <w:rPr>
                <w:rFonts w:hint="eastAsia" w:asciiTheme="majorEastAsia" w:hAnsiTheme="majorEastAsia" w:eastAsiaTheme="majorEastAsia" w:cstheme="majorEastAsia"/>
                <w:b w:val="0"/>
                <w:bCs w:val="0"/>
                <w:kern w:val="0"/>
                <w:sz w:val="20"/>
                <w:szCs w:val="20"/>
                <w:lang w:val="en-US" w:eastAsia="zh-CN"/>
              </w:rPr>
              <w:t>0</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kern w:val="0"/>
                <w:sz w:val="20"/>
                <w:szCs w:val="20"/>
                <w:lang w:val="en-US" w:eastAsia="zh-CN"/>
              </w:rPr>
            </w:pPr>
            <w:r>
              <w:rPr>
                <w:rFonts w:hint="eastAsia" w:asciiTheme="majorEastAsia" w:hAnsiTheme="majorEastAsia" w:eastAsiaTheme="majorEastAsia" w:cstheme="majorEastAsia"/>
                <w:b w:val="0"/>
                <w:bCs w:val="0"/>
                <w:kern w:val="0"/>
                <w:sz w:val="20"/>
                <w:szCs w:val="20"/>
                <w:lang w:val="en-US" w:eastAsia="zh-CN"/>
              </w:rPr>
              <w:t>0</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kern w:val="0"/>
                <w:sz w:val="20"/>
                <w:szCs w:val="20"/>
                <w:lang w:val="en-US" w:eastAsia="zh-CN"/>
              </w:rPr>
            </w:pPr>
            <w:r>
              <w:rPr>
                <w:rFonts w:hint="eastAsia" w:asciiTheme="majorEastAsia" w:hAnsiTheme="majorEastAsia" w:eastAsiaTheme="majorEastAsia" w:cstheme="majorEastAsia"/>
                <w:b w:val="0"/>
                <w:bCs w:val="0"/>
                <w:kern w:val="0"/>
                <w:sz w:val="20"/>
                <w:szCs w:val="20"/>
                <w:lang w:val="en-US" w:eastAsia="zh-CN"/>
              </w:rPr>
              <w:t>0</w:t>
            </w:r>
          </w:p>
        </w:tc>
      </w:tr>
      <w:tr>
        <w:tblPrEx>
          <w:tblLayout w:type="fixed"/>
          <w:tblCellMar>
            <w:top w:w="0" w:type="dxa"/>
            <w:left w:w="57" w:type="dxa"/>
            <w:bottom w:w="0" w:type="dxa"/>
            <w:right w:w="57" w:type="dxa"/>
          </w:tblCellMar>
        </w:tblPrEx>
        <w:trPr>
          <w:trHeight w:val="359"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eastAsia" w:asciiTheme="majorEastAsia" w:hAnsiTheme="majorEastAsia" w:eastAsiaTheme="majorEastAsia" w:cstheme="majorEastAsia"/>
                <w:b w:val="0"/>
                <w:bCs w:val="0"/>
                <w:kern w:val="0"/>
                <w:sz w:val="20"/>
                <w:szCs w:val="20"/>
              </w:rPr>
            </w:pPr>
            <w:r>
              <w:rPr>
                <w:rFonts w:hint="eastAsia" w:asciiTheme="majorEastAsia" w:hAnsiTheme="majorEastAsia" w:eastAsiaTheme="majorEastAsia" w:cstheme="majorEastAsia"/>
                <w:kern w:val="0"/>
                <w:sz w:val="20"/>
                <w:szCs w:val="20"/>
              </w:rPr>
              <w:t xml:space="preserve">             公车运行维护</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kern w:val="0"/>
                <w:sz w:val="20"/>
                <w:szCs w:val="20"/>
              </w:rPr>
            </w:pPr>
            <w:r>
              <w:rPr>
                <w:rFonts w:hint="eastAsia" w:asciiTheme="majorEastAsia" w:hAnsiTheme="majorEastAsia" w:eastAsiaTheme="majorEastAsia" w:cstheme="majorEastAsia"/>
                <w:kern w:val="0"/>
                <w:sz w:val="20"/>
                <w:szCs w:val="20"/>
                <w:lang w:val="en-US" w:eastAsia="zh-CN"/>
              </w:rPr>
              <w:t>3.94</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kern w:val="0"/>
                <w:sz w:val="20"/>
                <w:szCs w:val="20"/>
                <w:lang w:val="en-US" w:eastAsia="zh-CN"/>
              </w:rPr>
            </w:pPr>
            <w:r>
              <w:rPr>
                <w:rFonts w:hint="eastAsia" w:asciiTheme="majorEastAsia" w:hAnsiTheme="majorEastAsia" w:eastAsiaTheme="majorEastAsia" w:cstheme="majorEastAsia"/>
                <w:b w:val="0"/>
                <w:bCs w:val="0"/>
                <w:kern w:val="0"/>
                <w:sz w:val="20"/>
                <w:szCs w:val="20"/>
                <w:lang w:val="en-US" w:eastAsia="zh-CN"/>
              </w:rPr>
              <w:t>5.94</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kern w:val="0"/>
                <w:sz w:val="20"/>
                <w:szCs w:val="20"/>
                <w:lang w:val="en-US" w:eastAsia="zh-CN"/>
              </w:rPr>
            </w:pPr>
            <w:r>
              <w:rPr>
                <w:rFonts w:hint="eastAsia" w:asciiTheme="majorEastAsia" w:hAnsiTheme="majorEastAsia" w:eastAsiaTheme="majorEastAsia" w:cstheme="majorEastAsia"/>
                <w:b w:val="0"/>
                <w:bCs w:val="0"/>
                <w:kern w:val="0"/>
                <w:sz w:val="20"/>
                <w:szCs w:val="20"/>
                <w:lang w:val="en-US" w:eastAsia="zh-CN"/>
              </w:rPr>
              <w:t>0.54</w:t>
            </w:r>
          </w:p>
        </w:tc>
      </w:tr>
      <w:tr>
        <w:tblPrEx>
          <w:tblLayout w:type="fixed"/>
          <w:tblCellMar>
            <w:top w:w="0" w:type="dxa"/>
            <w:left w:w="57" w:type="dxa"/>
            <w:bottom w:w="0" w:type="dxa"/>
            <w:right w:w="57" w:type="dxa"/>
          </w:tblCellMar>
        </w:tblPrEx>
        <w:trPr>
          <w:trHeight w:val="359"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eastAsia" w:asciiTheme="majorEastAsia" w:hAnsiTheme="majorEastAsia" w:eastAsiaTheme="majorEastAsia" w:cstheme="majorEastAsia"/>
                <w:b w:val="0"/>
                <w:bCs w:val="0"/>
                <w:kern w:val="0"/>
                <w:sz w:val="20"/>
                <w:szCs w:val="20"/>
              </w:rPr>
            </w:pPr>
            <w:r>
              <w:rPr>
                <w:rFonts w:hint="eastAsia" w:asciiTheme="majorEastAsia" w:hAnsiTheme="majorEastAsia" w:eastAsiaTheme="majorEastAsia" w:cstheme="majorEastAsia"/>
                <w:kern w:val="0"/>
                <w:sz w:val="20"/>
                <w:szCs w:val="20"/>
              </w:rPr>
              <w:t xml:space="preserve">   2、出国经费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kern w:val="0"/>
                <w:sz w:val="20"/>
                <w:szCs w:val="20"/>
                <w:lang w:val="en-US" w:eastAsia="zh-CN"/>
              </w:rPr>
            </w:pPr>
            <w:r>
              <w:rPr>
                <w:rFonts w:hint="eastAsia" w:asciiTheme="majorEastAsia" w:hAnsiTheme="majorEastAsia" w:eastAsiaTheme="majorEastAsia" w:cstheme="majorEastAsia"/>
                <w:b w:val="0"/>
                <w:bCs w:val="0"/>
                <w:kern w:val="0"/>
                <w:sz w:val="20"/>
                <w:szCs w:val="20"/>
                <w:lang w:val="en-US" w:eastAsia="zh-CN"/>
              </w:rPr>
              <w:t>0</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kern w:val="0"/>
                <w:sz w:val="20"/>
                <w:szCs w:val="20"/>
                <w:lang w:val="en-US" w:eastAsia="zh-CN"/>
              </w:rPr>
            </w:pPr>
            <w:r>
              <w:rPr>
                <w:rFonts w:hint="eastAsia" w:asciiTheme="majorEastAsia" w:hAnsiTheme="majorEastAsia" w:eastAsiaTheme="majorEastAsia" w:cstheme="majorEastAsia"/>
                <w:b w:val="0"/>
                <w:bCs w:val="0"/>
                <w:kern w:val="0"/>
                <w:sz w:val="20"/>
                <w:szCs w:val="20"/>
                <w:lang w:val="en-US" w:eastAsia="zh-CN"/>
              </w:rPr>
              <w:t>0</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kern w:val="0"/>
                <w:sz w:val="20"/>
                <w:szCs w:val="20"/>
                <w:lang w:val="en-US" w:eastAsia="zh-CN"/>
              </w:rPr>
            </w:pPr>
            <w:r>
              <w:rPr>
                <w:rFonts w:hint="eastAsia" w:asciiTheme="majorEastAsia" w:hAnsiTheme="majorEastAsia" w:eastAsiaTheme="majorEastAsia" w:cstheme="majorEastAsia"/>
                <w:b w:val="0"/>
                <w:bCs w:val="0"/>
                <w:kern w:val="0"/>
                <w:sz w:val="20"/>
                <w:szCs w:val="20"/>
                <w:lang w:val="en-US" w:eastAsia="zh-CN"/>
              </w:rPr>
              <w:t>0</w:t>
            </w:r>
          </w:p>
        </w:tc>
      </w:tr>
      <w:tr>
        <w:tblPrEx>
          <w:tblLayout w:type="fixed"/>
          <w:tblCellMar>
            <w:top w:w="0" w:type="dxa"/>
            <w:left w:w="57" w:type="dxa"/>
            <w:bottom w:w="0" w:type="dxa"/>
            <w:right w:w="57" w:type="dxa"/>
          </w:tblCellMar>
        </w:tblPrEx>
        <w:trPr>
          <w:trHeight w:val="359"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eastAsia" w:asciiTheme="majorEastAsia" w:hAnsiTheme="majorEastAsia" w:eastAsiaTheme="majorEastAsia" w:cstheme="majorEastAsia"/>
                <w:b w:val="0"/>
                <w:bCs w:val="0"/>
                <w:kern w:val="0"/>
                <w:sz w:val="20"/>
                <w:szCs w:val="20"/>
              </w:rPr>
            </w:pPr>
            <w:r>
              <w:rPr>
                <w:rFonts w:hint="eastAsia" w:asciiTheme="majorEastAsia" w:hAnsiTheme="majorEastAsia" w:eastAsiaTheme="majorEastAsia" w:cstheme="majorEastAsia"/>
                <w:kern w:val="0"/>
                <w:sz w:val="20"/>
                <w:szCs w:val="20"/>
              </w:rPr>
              <w:t xml:space="preserve">   3、公务接待</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kern w:val="0"/>
                <w:sz w:val="20"/>
                <w:szCs w:val="20"/>
                <w:lang w:val="en-US" w:eastAsia="zh-CN"/>
              </w:rPr>
            </w:pPr>
            <w:r>
              <w:rPr>
                <w:rFonts w:hint="eastAsia" w:asciiTheme="majorEastAsia" w:hAnsiTheme="majorEastAsia" w:eastAsiaTheme="majorEastAsia" w:cstheme="majorEastAsia"/>
                <w:b w:val="0"/>
                <w:bCs w:val="0"/>
                <w:kern w:val="0"/>
                <w:sz w:val="20"/>
                <w:szCs w:val="20"/>
                <w:lang w:val="en-US" w:eastAsia="zh-CN"/>
              </w:rPr>
              <w:t>0</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kern w:val="0"/>
                <w:sz w:val="20"/>
                <w:szCs w:val="20"/>
                <w:lang w:val="en-US" w:eastAsia="zh-CN"/>
              </w:rPr>
            </w:pPr>
            <w:r>
              <w:rPr>
                <w:rFonts w:hint="eastAsia" w:asciiTheme="majorEastAsia" w:hAnsiTheme="majorEastAsia" w:eastAsiaTheme="majorEastAsia" w:cstheme="majorEastAsia"/>
                <w:b w:val="0"/>
                <w:bCs w:val="0"/>
                <w:kern w:val="0"/>
                <w:sz w:val="20"/>
                <w:szCs w:val="20"/>
                <w:lang w:val="en-US" w:eastAsia="zh-CN"/>
              </w:rPr>
              <w:t>0</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kern w:val="0"/>
                <w:sz w:val="20"/>
                <w:szCs w:val="20"/>
                <w:lang w:val="en-US" w:eastAsia="zh-CN"/>
              </w:rPr>
            </w:pPr>
            <w:r>
              <w:rPr>
                <w:rFonts w:hint="eastAsia" w:asciiTheme="majorEastAsia" w:hAnsiTheme="majorEastAsia" w:eastAsiaTheme="majorEastAsia" w:cstheme="majorEastAsia"/>
                <w:b w:val="0"/>
                <w:bCs w:val="0"/>
                <w:kern w:val="0"/>
                <w:sz w:val="20"/>
                <w:szCs w:val="20"/>
                <w:lang w:val="en-US" w:eastAsia="zh-CN"/>
              </w:rPr>
              <w:t>0</w:t>
            </w:r>
          </w:p>
        </w:tc>
      </w:tr>
      <w:tr>
        <w:tblPrEx>
          <w:tblLayout w:type="fixed"/>
          <w:tblCellMar>
            <w:top w:w="0" w:type="dxa"/>
            <w:left w:w="57" w:type="dxa"/>
            <w:bottom w:w="0" w:type="dxa"/>
            <w:right w:w="57" w:type="dxa"/>
          </w:tblCellMar>
        </w:tblPrEx>
        <w:trPr>
          <w:trHeight w:val="359"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eastAsia" w:asciiTheme="majorEastAsia" w:hAnsiTheme="majorEastAsia" w:eastAsiaTheme="majorEastAsia" w:cstheme="majorEastAsia"/>
                <w:b w:val="0"/>
                <w:bCs w:val="0"/>
                <w:kern w:val="0"/>
                <w:sz w:val="20"/>
                <w:szCs w:val="20"/>
              </w:rPr>
            </w:pPr>
            <w:r>
              <w:rPr>
                <w:rFonts w:hint="eastAsia" w:asciiTheme="majorEastAsia" w:hAnsiTheme="majorEastAsia" w:eastAsiaTheme="majorEastAsia" w:cstheme="majorEastAsia"/>
                <w:kern w:val="0"/>
                <w:sz w:val="20"/>
                <w:szCs w:val="20"/>
              </w:rPr>
              <w:t>项目支出：</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kern w:val="0"/>
                <w:sz w:val="20"/>
                <w:szCs w:val="20"/>
              </w:rPr>
            </w:pPr>
            <w:r>
              <w:rPr>
                <w:rFonts w:hint="eastAsia" w:asciiTheme="majorEastAsia" w:hAnsiTheme="majorEastAsia" w:eastAsiaTheme="majorEastAsia" w:cstheme="majorEastAsia"/>
                <w:kern w:val="0"/>
                <w:sz w:val="20"/>
                <w:szCs w:val="20"/>
                <w:lang w:val="en-US" w:eastAsia="zh-CN"/>
              </w:rPr>
              <w:t>2349.13</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kern w:val="0"/>
                <w:sz w:val="20"/>
                <w:szCs w:val="20"/>
                <w:lang w:val="en-US" w:eastAsia="zh-CN"/>
              </w:rPr>
            </w:pPr>
            <w:r>
              <w:rPr>
                <w:rFonts w:hint="eastAsia" w:asciiTheme="majorEastAsia" w:hAnsiTheme="majorEastAsia" w:eastAsiaTheme="majorEastAsia" w:cstheme="majorEastAsia"/>
                <w:b w:val="0"/>
                <w:bCs w:val="0"/>
                <w:kern w:val="0"/>
                <w:sz w:val="20"/>
                <w:szCs w:val="20"/>
                <w:lang w:val="en-US" w:eastAsia="zh-CN"/>
              </w:rPr>
              <w:t>106</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kern w:val="0"/>
                <w:sz w:val="20"/>
                <w:szCs w:val="20"/>
                <w:lang w:val="en-US" w:eastAsia="zh-CN"/>
              </w:rPr>
            </w:pPr>
            <w:r>
              <w:rPr>
                <w:rFonts w:hint="eastAsia" w:asciiTheme="majorEastAsia" w:hAnsiTheme="majorEastAsia" w:eastAsiaTheme="majorEastAsia" w:cstheme="majorEastAsia"/>
                <w:b w:val="0"/>
                <w:bCs w:val="0"/>
                <w:kern w:val="0"/>
                <w:sz w:val="20"/>
                <w:szCs w:val="20"/>
                <w:lang w:val="en-US" w:eastAsia="zh-CN"/>
              </w:rPr>
              <w:t>1450.39</w:t>
            </w:r>
          </w:p>
        </w:tc>
      </w:tr>
      <w:tr>
        <w:tblPrEx>
          <w:tblLayout w:type="fixed"/>
          <w:tblCellMar>
            <w:top w:w="0" w:type="dxa"/>
            <w:left w:w="57" w:type="dxa"/>
            <w:bottom w:w="0" w:type="dxa"/>
            <w:right w:w="57" w:type="dxa"/>
          </w:tblCellMar>
        </w:tblPrEx>
        <w:trPr>
          <w:trHeight w:val="359"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eastAsia" w:asciiTheme="majorEastAsia" w:hAnsiTheme="majorEastAsia" w:eastAsiaTheme="majorEastAsia" w:cstheme="majorEastAsia"/>
                <w:b w:val="0"/>
                <w:bCs w:val="0"/>
                <w:kern w:val="0"/>
                <w:sz w:val="20"/>
                <w:szCs w:val="20"/>
              </w:rPr>
            </w:pPr>
            <w:r>
              <w:rPr>
                <w:rFonts w:hint="eastAsia" w:asciiTheme="majorEastAsia" w:hAnsiTheme="majorEastAsia" w:eastAsiaTheme="majorEastAsia" w:cstheme="majorEastAsia"/>
                <w:kern w:val="0"/>
                <w:sz w:val="20"/>
                <w:szCs w:val="20"/>
              </w:rPr>
              <w:t xml:space="preserve">    1、</w:t>
            </w:r>
            <w:r>
              <w:rPr>
                <w:rFonts w:hint="eastAsia" w:asciiTheme="majorEastAsia" w:hAnsiTheme="majorEastAsia" w:eastAsiaTheme="majorEastAsia" w:cstheme="majorEastAsia"/>
                <w:kern w:val="0"/>
                <w:sz w:val="20"/>
                <w:szCs w:val="20"/>
                <w:lang w:eastAsia="zh-CN"/>
              </w:rPr>
              <w:t>征收管理</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kern w:val="0"/>
                <w:sz w:val="20"/>
                <w:szCs w:val="20"/>
              </w:rPr>
            </w:pPr>
            <w:r>
              <w:rPr>
                <w:rFonts w:hint="eastAsia" w:asciiTheme="majorEastAsia" w:hAnsiTheme="majorEastAsia" w:eastAsiaTheme="majorEastAsia" w:cstheme="majorEastAsia"/>
                <w:kern w:val="0"/>
                <w:sz w:val="20"/>
                <w:szCs w:val="20"/>
                <w:lang w:val="en-US" w:eastAsia="zh-CN"/>
              </w:rPr>
              <w:t>25</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kern w:val="0"/>
                <w:sz w:val="20"/>
                <w:szCs w:val="20"/>
                <w:lang w:val="en-US" w:eastAsia="zh-CN"/>
              </w:rPr>
            </w:pPr>
            <w:r>
              <w:rPr>
                <w:rFonts w:hint="eastAsia" w:asciiTheme="majorEastAsia" w:hAnsiTheme="majorEastAsia" w:eastAsiaTheme="majorEastAsia" w:cstheme="majorEastAsia"/>
                <w:b w:val="0"/>
                <w:bCs w:val="0"/>
                <w:kern w:val="0"/>
                <w:sz w:val="20"/>
                <w:szCs w:val="20"/>
                <w:lang w:val="en-US" w:eastAsia="zh-CN"/>
              </w:rPr>
              <w:t>22</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kern w:val="0"/>
                <w:sz w:val="20"/>
                <w:szCs w:val="20"/>
                <w:lang w:val="en-US" w:eastAsia="zh-CN"/>
              </w:rPr>
            </w:pPr>
            <w:r>
              <w:rPr>
                <w:rFonts w:hint="eastAsia" w:asciiTheme="majorEastAsia" w:hAnsiTheme="majorEastAsia" w:eastAsiaTheme="majorEastAsia" w:cstheme="majorEastAsia"/>
                <w:b w:val="0"/>
                <w:bCs w:val="0"/>
                <w:kern w:val="0"/>
                <w:sz w:val="20"/>
                <w:szCs w:val="20"/>
                <w:lang w:val="en-US" w:eastAsia="zh-CN"/>
              </w:rPr>
              <w:t>22</w:t>
            </w:r>
          </w:p>
        </w:tc>
      </w:tr>
      <w:tr>
        <w:tblPrEx>
          <w:tblLayout w:type="fixed"/>
          <w:tblCellMar>
            <w:top w:w="0" w:type="dxa"/>
            <w:left w:w="57" w:type="dxa"/>
            <w:bottom w:w="0" w:type="dxa"/>
            <w:right w:w="57" w:type="dxa"/>
          </w:tblCellMar>
        </w:tblPrEx>
        <w:trPr>
          <w:trHeight w:val="359"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eastAsia" w:asciiTheme="majorEastAsia" w:hAnsiTheme="majorEastAsia" w:eastAsiaTheme="majorEastAsia" w:cstheme="majorEastAsia"/>
                <w:b w:val="0"/>
                <w:bCs w:val="0"/>
                <w:kern w:val="0"/>
                <w:sz w:val="20"/>
                <w:szCs w:val="20"/>
              </w:rPr>
            </w:pPr>
            <w:r>
              <w:rPr>
                <w:rFonts w:hint="eastAsia" w:asciiTheme="majorEastAsia" w:hAnsiTheme="majorEastAsia" w:eastAsiaTheme="majorEastAsia" w:cstheme="majorEastAsia"/>
                <w:kern w:val="0"/>
                <w:sz w:val="20"/>
                <w:szCs w:val="20"/>
              </w:rPr>
              <w:t xml:space="preserve">    2、</w:t>
            </w:r>
            <w:r>
              <w:rPr>
                <w:rFonts w:hint="eastAsia" w:asciiTheme="majorEastAsia" w:hAnsiTheme="majorEastAsia" w:eastAsiaTheme="majorEastAsia" w:cstheme="majorEastAsia"/>
                <w:kern w:val="0"/>
                <w:sz w:val="10"/>
                <w:szCs w:val="10"/>
                <w:lang w:eastAsia="zh-CN"/>
              </w:rPr>
              <w:t>政策研究宣传</w:t>
            </w:r>
            <w:r>
              <w:rPr>
                <w:rFonts w:hint="eastAsia" w:asciiTheme="majorEastAsia" w:hAnsiTheme="majorEastAsia" w:eastAsiaTheme="majorEastAsia" w:cstheme="majorEastAsia"/>
                <w:kern w:val="0"/>
                <w:sz w:val="10"/>
                <w:szCs w:val="10"/>
                <w:lang w:val="en-US" w:eastAsia="zh-CN"/>
              </w:rPr>
              <w:t>/档案整理及办公设备维保</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kern w:val="0"/>
                <w:sz w:val="20"/>
                <w:szCs w:val="20"/>
              </w:rPr>
            </w:pPr>
            <w:r>
              <w:rPr>
                <w:rFonts w:hint="eastAsia" w:asciiTheme="majorEastAsia" w:hAnsiTheme="majorEastAsia" w:eastAsiaTheme="majorEastAsia" w:cstheme="majorEastAsia"/>
                <w:kern w:val="0"/>
                <w:sz w:val="20"/>
                <w:szCs w:val="20"/>
                <w:lang w:val="en-US" w:eastAsia="zh-CN"/>
              </w:rPr>
              <w:t>20.98</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kern w:val="0"/>
                <w:sz w:val="20"/>
                <w:szCs w:val="20"/>
                <w:lang w:val="en-US" w:eastAsia="zh-CN"/>
              </w:rPr>
            </w:pPr>
            <w:r>
              <w:rPr>
                <w:rFonts w:hint="eastAsia" w:asciiTheme="majorEastAsia" w:hAnsiTheme="majorEastAsia" w:eastAsiaTheme="majorEastAsia" w:cstheme="majorEastAsia"/>
                <w:b w:val="0"/>
                <w:bCs w:val="0"/>
                <w:kern w:val="0"/>
                <w:sz w:val="20"/>
                <w:szCs w:val="20"/>
                <w:lang w:val="en-US" w:eastAsia="zh-CN"/>
              </w:rPr>
              <w:t>6.5</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kern w:val="0"/>
                <w:sz w:val="20"/>
                <w:szCs w:val="20"/>
                <w:lang w:val="en-US" w:eastAsia="zh-CN"/>
              </w:rPr>
            </w:pPr>
            <w:r>
              <w:rPr>
                <w:rFonts w:hint="eastAsia" w:asciiTheme="majorEastAsia" w:hAnsiTheme="majorEastAsia" w:eastAsiaTheme="majorEastAsia" w:cstheme="majorEastAsia"/>
                <w:b w:val="0"/>
                <w:bCs w:val="0"/>
                <w:kern w:val="0"/>
                <w:sz w:val="20"/>
                <w:szCs w:val="20"/>
                <w:lang w:val="en-US" w:eastAsia="zh-CN"/>
              </w:rPr>
              <w:t>6.5</w:t>
            </w:r>
          </w:p>
        </w:tc>
      </w:tr>
      <w:tr>
        <w:tblPrEx>
          <w:tblLayout w:type="fixed"/>
          <w:tblCellMar>
            <w:top w:w="0" w:type="dxa"/>
            <w:left w:w="57" w:type="dxa"/>
            <w:bottom w:w="0" w:type="dxa"/>
            <w:right w:w="57" w:type="dxa"/>
          </w:tblCellMar>
        </w:tblPrEx>
        <w:trPr>
          <w:trHeight w:val="359"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eastAsia" w:asciiTheme="majorEastAsia" w:hAnsiTheme="majorEastAsia" w:eastAsiaTheme="majorEastAsia" w:cstheme="majorEastAsia"/>
                <w:b w:val="0"/>
                <w:bCs w:val="0"/>
                <w:kern w:val="0"/>
                <w:sz w:val="20"/>
                <w:szCs w:val="20"/>
              </w:rPr>
            </w:pPr>
            <w:r>
              <w:rPr>
                <w:rFonts w:hint="eastAsia" w:asciiTheme="majorEastAsia" w:hAnsiTheme="majorEastAsia" w:eastAsiaTheme="majorEastAsia" w:cstheme="majorEastAsia"/>
                <w:kern w:val="0"/>
                <w:sz w:val="20"/>
                <w:szCs w:val="20"/>
              </w:rPr>
              <w:t xml:space="preserve">    </w:t>
            </w:r>
            <w:r>
              <w:rPr>
                <w:rFonts w:hint="eastAsia" w:asciiTheme="majorEastAsia" w:hAnsiTheme="majorEastAsia" w:eastAsiaTheme="majorEastAsia" w:cstheme="majorEastAsia"/>
                <w:kern w:val="0"/>
                <w:sz w:val="20"/>
                <w:szCs w:val="20"/>
                <w:lang w:val="en-US" w:eastAsia="zh-CN"/>
              </w:rPr>
              <w:t>3、法律顾问服务</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kern w:val="0"/>
                <w:sz w:val="20"/>
                <w:szCs w:val="20"/>
              </w:rPr>
            </w:pPr>
            <w:r>
              <w:rPr>
                <w:rFonts w:hint="eastAsia" w:asciiTheme="majorEastAsia" w:hAnsiTheme="majorEastAsia" w:eastAsiaTheme="majorEastAsia" w:cstheme="majorEastAsia"/>
                <w:kern w:val="0"/>
                <w:sz w:val="20"/>
                <w:szCs w:val="20"/>
                <w:lang w:val="en-US" w:eastAsia="zh-CN"/>
              </w:rPr>
              <w:t>8</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kern w:val="0"/>
                <w:sz w:val="20"/>
                <w:szCs w:val="20"/>
                <w:lang w:val="en-US" w:eastAsia="zh-CN"/>
              </w:rPr>
            </w:pPr>
            <w:r>
              <w:rPr>
                <w:rFonts w:hint="eastAsia" w:asciiTheme="majorEastAsia" w:hAnsiTheme="majorEastAsia" w:eastAsiaTheme="majorEastAsia" w:cstheme="majorEastAsia"/>
                <w:b w:val="0"/>
                <w:bCs w:val="0"/>
                <w:kern w:val="0"/>
                <w:sz w:val="20"/>
                <w:szCs w:val="20"/>
                <w:lang w:val="en-US" w:eastAsia="zh-CN"/>
              </w:rPr>
              <w:t>7.5</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kern w:val="0"/>
                <w:sz w:val="20"/>
                <w:szCs w:val="20"/>
                <w:lang w:val="en-US" w:eastAsia="zh-CN"/>
              </w:rPr>
            </w:pPr>
            <w:r>
              <w:rPr>
                <w:rFonts w:hint="eastAsia" w:asciiTheme="majorEastAsia" w:hAnsiTheme="majorEastAsia" w:eastAsiaTheme="majorEastAsia" w:cstheme="majorEastAsia"/>
                <w:b w:val="0"/>
                <w:bCs w:val="0"/>
                <w:kern w:val="0"/>
                <w:sz w:val="20"/>
                <w:szCs w:val="20"/>
                <w:lang w:val="en-US" w:eastAsia="zh-CN"/>
              </w:rPr>
              <w:t>7.5</w:t>
            </w:r>
          </w:p>
        </w:tc>
      </w:tr>
      <w:tr>
        <w:tblPrEx>
          <w:tblLayout w:type="fixed"/>
          <w:tblCellMar>
            <w:top w:w="0" w:type="dxa"/>
            <w:left w:w="57" w:type="dxa"/>
            <w:bottom w:w="0" w:type="dxa"/>
            <w:right w:w="57" w:type="dxa"/>
          </w:tblCellMar>
        </w:tblPrEx>
        <w:trPr>
          <w:trHeight w:val="359"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eastAsia" w:asciiTheme="majorEastAsia" w:hAnsiTheme="majorEastAsia" w:eastAsiaTheme="majorEastAsia" w:cstheme="majorEastAsia"/>
                <w:b w:val="0"/>
                <w:bCs w:val="0"/>
                <w:kern w:val="0"/>
                <w:sz w:val="20"/>
                <w:szCs w:val="20"/>
              </w:rPr>
            </w:pPr>
            <w:r>
              <w:rPr>
                <w:rFonts w:hint="eastAsia" w:asciiTheme="majorEastAsia" w:hAnsiTheme="majorEastAsia" w:eastAsiaTheme="majorEastAsia" w:cstheme="majorEastAsia"/>
                <w:kern w:val="0"/>
                <w:sz w:val="20"/>
                <w:szCs w:val="20"/>
                <w:lang w:val="en-US" w:eastAsia="zh-CN"/>
              </w:rPr>
              <w:t xml:space="preserve">    4、征收工作专项/劳务派遣</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kern w:val="0"/>
                <w:sz w:val="20"/>
                <w:szCs w:val="20"/>
              </w:rPr>
            </w:pPr>
            <w:r>
              <w:rPr>
                <w:rFonts w:hint="eastAsia" w:asciiTheme="majorEastAsia" w:hAnsiTheme="majorEastAsia" w:eastAsiaTheme="majorEastAsia" w:cstheme="majorEastAsia"/>
                <w:kern w:val="0"/>
                <w:sz w:val="20"/>
                <w:szCs w:val="20"/>
                <w:lang w:val="en-US" w:eastAsia="zh-CN"/>
              </w:rPr>
              <w:t>118</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kern w:val="0"/>
                <w:sz w:val="20"/>
                <w:szCs w:val="20"/>
                <w:lang w:val="en-US" w:eastAsia="zh-CN"/>
              </w:rPr>
            </w:pPr>
            <w:r>
              <w:rPr>
                <w:rFonts w:hint="eastAsia" w:asciiTheme="majorEastAsia" w:hAnsiTheme="majorEastAsia" w:eastAsiaTheme="majorEastAsia" w:cstheme="majorEastAsia"/>
                <w:b w:val="0"/>
                <w:bCs w:val="0"/>
                <w:kern w:val="0"/>
                <w:sz w:val="20"/>
                <w:szCs w:val="20"/>
                <w:lang w:val="en-US" w:eastAsia="zh-CN"/>
              </w:rPr>
              <w:t>70</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kern w:val="0"/>
                <w:sz w:val="20"/>
                <w:szCs w:val="20"/>
                <w:lang w:val="en-US" w:eastAsia="zh-CN"/>
              </w:rPr>
            </w:pPr>
            <w:r>
              <w:rPr>
                <w:rFonts w:hint="eastAsia" w:asciiTheme="majorEastAsia" w:hAnsiTheme="majorEastAsia" w:eastAsiaTheme="majorEastAsia" w:cstheme="majorEastAsia"/>
                <w:b w:val="0"/>
                <w:bCs w:val="0"/>
                <w:kern w:val="0"/>
                <w:sz w:val="20"/>
                <w:szCs w:val="20"/>
                <w:lang w:val="en-US" w:eastAsia="zh-CN"/>
              </w:rPr>
              <w:t>69.19</w:t>
            </w:r>
          </w:p>
        </w:tc>
      </w:tr>
      <w:tr>
        <w:tblPrEx>
          <w:tblLayout w:type="fixed"/>
          <w:tblCellMar>
            <w:top w:w="0" w:type="dxa"/>
            <w:left w:w="57" w:type="dxa"/>
            <w:bottom w:w="0" w:type="dxa"/>
            <w:right w:w="57" w:type="dxa"/>
          </w:tblCellMar>
        </w:tblPrEx>
        <w:trPr>
          <w:trHeight w:val="359" w:hRule="atLeast"/>
          <w:jc w:val="center"/>
        </w:trPr>
        <w:tc>
          <w:tcPr>
            <w:tcW w:w="2940" w:type="dxa"/>
            <w:tcBorders>
              <w:top w:val="nil"/>
              <w:left w:val="single" w:color="auto" w:sz="4" w:space="0"/>
              <w:bottom w:val="single" w:color="auto" w:sz="4" w:space="0"/>
              <w:right w:val="single" w:color="auto" w:sz="4" w:space="0"/>
            </w:tcBorders>
            <w:vAlign w:val="center"/>
          </w:tcPr>
          <w:p>
            <w:pPr>
              <w:widowControl/>
              <w:ind w:firstLine="400" w:firstLineChars="200"/>
              <w:jc w:val="left"/>
              <w:rPr>
                <w:rFonts w:hint="eastAsia" w:asciiTheme="majorEastAsia" w:hAnsiTheme="majorEastAsia" w:eastAsiaTheme="majorEastAsia" w:cstheme="majorEastAsia"/>
                <w:b w:val="0"/>
                <w:bCs w:val="0"/>
                <w:kern w:val="0"/>
                <w:sz w:val="20"/>
                <w:szCs w:val="20"/>
              </w:rPr>
            </w:pPr>
            <w:r>
              <w:rPr>
                <w:rFonts w:hint="eastAsia" w:asciiTheme="majorEastAsia" w:hAnsiTheme="majorEastAsia" w:eastAsiaTheme="majorEastAsia" w:cstheme="majorEastAsia"/>
                <w:kern w:val="0"/>
                <w:sz w:val="20"/>
                <w:szCs w:val="20"/>
                <w:lang w:val="en-US" w:eastAsia="zh-CN"/>
              </w:rPr>
              <w:t>5、其他城乡社区支出</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kern w:val="0"/>
                <w:sz w:val="20"/>
                <w:szCs w:val="20"/>
              </w:rPr>
            </w:pPr>
            <w:r>
              <w:rPr>
                <w:rFonts w:hint="eastAsia" w:asciiTheme="majorEastAsia" w:hAnsiTheme="majorEastAsia" w:eastAsiaTheme="majorEastAsia" w:cstheme="majorEastAsia"/>
                <w:kern w:val="0"/>
                <w:sz w:val="20"/>
                <w:szCs w:val="20"/>
                <w:lang w:val="en-US" w:eastAsia="zh-CN"/>
              </w:rPr>
              <w:t>2177.15</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kern w:val="0"/>
                <w:sz w:val="20"/>
                <w:szCs w:val="20"/>
                <w:lang w:val="en-US" w:eastAsia="zh-CN"/>
              </w:rPr>
            </w:pPr>
            <w:r>
              <w:rPr>
                <w:rFonts w:hint="eastAsia" w:asciiTheme="majorEastAsia" w:hAnsiTheme="majorEastAsia" w:eastAsiaTheme="majorEastAsia" w:cstheme="majorEastAsia"/>
                <w:b w:val="0"/>
                <w:bCs w:val="0"/>
                <w:kern w:val="0"/>
                <w:sz w:val="20"/>
                <w:szCs w:val="20"/>
                <w:lang w:val="en-US" w:eastAsia="zh-CN"/>
              </w:rPr>
              <w:t>0</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kern w:val="0"/>
                <w:sz w:val="20"/>
                <w:szCs w:val="20"/>
                <w:lang w:val="en-US" w:eastAsia="zh-CN"/>
              </w:rPr>
            </w:pPr>
            <w:r>
              <w:rPr>
                <w:rFonts w:hint="eastAsia" w:asciiTheme="majorEastAsia" w:hAnsiTheme="majorEastAsia" w:eastAsiaTheme="majorEastAsia" w:cstheme="majorEastAsia"/>
                <w:b w:val="0"/>
                <w:bCs w:val="0"/>
                <w:kern w:val="0"/>
                <w:sz w:val="20"/>
                <w:szCs w:val="20"/>
                <w:lang w:val="en-US" w:eastAsia="zh-CN"/>
              </w:rPr>
              <w:t>1345.2</w:t>
            </w:r>
          </w:p>
        </w:tc>
      </w:tr>
      <w:tr>
        <w:tblPrEx>
          <w:tblLayout w:type="fixed"/>
          <w:tblCellMar>
            <w:top w:w="0" w:type="dxa"/>
            <w:left w:w="57" w:type="dxa"/>
            <w:bottom w:w="0" w:type="dxa"/>
            <w:right w:w="57" w:type="dxa"/>
          </w:tblCellMar>
        </w:tblPrEx>
        <w:trPr>
          <w:trHeight w:val="359"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eastAsia" w:asciiTheme="majorEastAsia" w:hAnsiTheme="majorEastAsia" w:eastAsiaTheme="majorEastAsia" w:cstheme="majorEastAsia"/>
                <w:b w:val="0"/>
                <w:bCs w:val="0"/>
                <w:kern w:val="0"/>
                <w:sz w:val="20"/>
                <w:szCs w:val="20"/>
              </w:rPr>
            </w:pPr>
            <w:r>
              <w:rPr>
                <w:rFonts w:hint="eastAsia" w:asciiTheme="majorEastAsia" w:hAnsiTheme="majorEastAsia" w:eastAsiaTheme="majorEastAsia" w:cstheme="majorEastAsia"/>
                <w:kern w:val="0"/>
                <w:sz w:val="20"/>
                <w:szCs w:val="20"/>
              </w:rPr>
              <w:t>公用经费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kern w:val="0"/>
                <w:sz w:val="20"/>
                <w:szCs w:val="20"/>
              </w:rPr>
            </w:pPr>
            <w:r>
              <w:rPr>
                <w:rFonts w:hint="eastAsia" w:asciiTheme="majorEastAsia" w:hAnsiTheme="majorEastAsia" w:eastAsiaTheme="majorEastAsia" w:cstheme="majorEastAsia"/>
                <w:kern w:val="0"/>
                <w:sz w:val="20"/>
                <w:szCs w:val="20"/>
                <w:lang w:val="en-US" w:eastAsia="zh-CN"/>
              </w:rPr>
              <w:t>33.6</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kern w:val="0"/>
                <w:sz w:val="20"/>
                <w:szCs w:val="20"/>
                <w:lang w:val="en-US" w:eastAsia="zh-CN"/>
              </w:rPr>
            </w:pPr>
            <w:r>
              <w:rPr>
                <w:rFonts w:hint="eastAsia" w:asciiTheme="majorEastAsia" w:hAnsiTheme="majorEastAsia" w:eastAsiaTheme="majorEastAsia" w:cstheme="majorEastAsia"/>
                <w:b w:val="0"/>
                <w:bCs w:val="0"/>
                <w:kern w:val="0"/>
                <w:sz w:val="20"/>
                <w:szCs w:val="20"/>
                <w:lang w:val="en-US" w:eastAsia="zh-CN"/>
              </w:rPr>
              <w:t>41.71</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kern w:val="0"/>
                <w:sz w:val="20"/>
                <w:szCs w:val="20"/>
                <w:lang w:val="en-US" w:eastAsia="zh-CN"/>
              </w:rPr>
            </w:pPr>
            <w:r>
              <w:rPr>
                <w:rFonts w:hint="eastAsia" w:asciiTheme="majorEastAsia" w:hAnsiTheme="majorEastAsia" w:eastAsiaTheme="majorEastAsia" w:cstheme="majorEastAsia"/>
                <w:b w:val="0"/>
                <w:bCs w:val="0"/>
                <w:kern w:val="0"/>
                <w:sz w:val="20"/>
                <w:szCs w:val="20"/>
                <w:lang w:val="en-US" w:eastAsia="zh-CN"/>
              </w:rPr>
              <w:t>37.94</w:t>
            </w:r>
          </w:p>
        </w:tc>
      </w:tr>
      <w:tr>
        <w:tblPrEx>
          <w:tblLayout w:type="fixed"/>
          <w:tblCellMar>
            <w:top w:w="0" w:type="dxa"/>
            <w:left w:w="57" w:type="dxa"/>
            <w:bottom w:w="0" w:type="dxa"/>
            <w:right w:w="57" w:type="dxa"/>
          </w:tblCellMar>
        </w:tblPrEx>
        <w:trPr>
          <w:trHeight w:val="359"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eastAsia" w:asciiTheme="majorEastAsia" w:hAnsiTheme="majorEastAsia" w:eastAsiaTheme="majorEastAsia" w:cstheme="majorEastAsia"/>
                <w:b w:val="0"/>
                <w:bCs w:val="0"/>
                <w:kern w:val="0"/>
                <w:sz w:val="20"/>
                <w:szCs w:val="20"/>
              </w:rPr>
            </w:pPr>
            <w:r>
              <w:rPr>
                <w:rFonts w:hint="eastAsia" w:asciiTheme="majorEastAsia" w:hAnsiTheme="majorEastAsia" w:eastAsiaTheme="majorEastAsia" w:cstheme="majorEastAsia"/>
                <w:kern w:val="0"/>
                <w:sz w:val="20"/>
                <w:szCs w:val="20"/>
              </w:rPr>
              <w:t xml:space="preserve">    其中：办公经费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color w:val="FF0000"/>
                <w:kern w:val="0"/>
                <w:sz w:val="20"/>
                <w:szCs w:val="20"/>
              </w:rPr>
            </w:pPr>
            <w:r>
              <w:rPr>
                <w:rFonts w:hint="eastAsia" w:asciiTheme="majorEastAsia" w:hAnsiTheme="majorEastAsia" w:eastAsiaTheme="majorEastAsia" w:cstheme="majorEastAsia"/>
                <w:color w:val="auto"/>
                <w:kern w:val="0"/>
                <w:sz w:val="20"/>
                <w:szCs w:val="20"/>
                <w:lang w:val="en-US" w:eastAsia="zh-CN"/>
              </w:rPr>
              <w:t>13.59</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color w:val="FF0000"/>
                <w:kern w:val="0"/>
                <w:sz w:val="20"/>
                <w:szCs w:val="20"/>
                <w:lang w:val="en-US" w:eastAsia="zh-CN"/>
              </w:rPr>
            </w:pPr>
            <w:r>
              <w:rPr>
                <w:rFonts w:hint="eastAsia" w:asciiTheme="majorEastAsia" w:hAnsiTheme="majorEastAsia" w:eastAsiaTheme="majorEastAsia" w:cstheme="majorEastAsia"/>
                <w:b w:val="0"/>
                <w:bCs w:val="0"/>
                <w:color w:val="FF0000"/>
                <w:kern w:val="0"/>
                <w:sz w:val="20"/>
                <w:szCs w:val="20"/>
                <w:lang w:val="en-US" w:eastAsia="zh-CN"/>
              </w:rPr>
              <w:t>20</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color w:val="FF0000"/>
                <w:kern w:val="0"/>
                <w:sz w:val="20"/>
                <w:szCs w:val="20"/>
                <w:lang w:val="en-US" w:eastAsia="zh-CN"/>
              </w:rPr>
            </w:pPr>
            <w:r>
              <w:rPr>
                <w:rFonts w:hint="eastAsia" w:asciiTheme="majorEastAsia" w:hAnsiTheme="majorEastAsia" w:eastAsiaTheme="majorEastAsia" w:cstheme="majorEastAsia"/>
                <w:b w:val="0"/>
                <w:bCs w:val="0"/>
                <w:color w:val="FF0000"/>
                <w:kern w:val="0"/>
                <w:sz w:val="20"/>
                <w:szCs w:val="20"/>
                <w:lang w:val="en-US" w:eastAsia="zh-CN"/>
              </w:rPr>
              <w:t>16.29</w:t>
            </w:r>
          </w:p>
        </w:tc>
      </w:tr>
      <w:tr>
        <w:tblPrEx>
          <w:tblLayout w:type="fixed"/>
          <w:tblCellMar>
            <w:top w:w="0" w:type="dxa"/>
            <w:left w:w="57" w:type="dxa"/>
            <w:bottom w:w="0" w:type="dxa"/>
            <w:right w:w="57" w:type="dxa"/>
          </w:tblCellMar>
        </w:tblPrEx>
        <w:trPr>
          <w:trHeight w:val="359"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eastAsia" w:asciiTheme="majorEastAsia" w:hAnsiTheme="majorEastAsia" w:eastAsiaTheme="majorEastAsia" w:cstheme="majorEastAsia"/>
                <w:b w:val="0"/>
                <w:bCs w:val="0"/>
                <w:kern w:val="0"/>
                <w:sz w:val="20"/>
                <w:szCs w:val="20"/>
              </w:rPr>
            </w:pPr>
            <w:r>
              <w:rPr>
                <w:rFonts w:hint="eastAsia" w:asciiTheme="majorEastAsia" w:hAnsiTheme="majorEastAsia" w:eastAsiaTheme="majorEastAsia" w:cstheme="majorEastAsia"/>
                <w:kern w:val="0"/>
                <w:sz w:val="20"/>
                <w:szCs w:val="20"/>
              </w:rPr>
              <w:t xml:space="preserve">          水费、电费、差旅费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color w:val="FF0000"/>
                <w:kern w:val="0"/>
                <w:sz w:val="20"/>
                <w:szCs w:val="20"/>
              </w:rPr>
            </w:pPr>
            <w:r>
              <w:rPr>
                <w:rFonts w:hint="eastAsia" w:asciiTheme="majorEastAsia" w:hAnsiTheme="majorEastAsia" w:eastAsiaTheme="majorEastAsia" w:cstheme="majorEastAsia"/>
                <w:color w:val="auto"/>
                <w:kern w:val="0"/>
                <w:sz w:val="20"/>
                <w:szCs w:val="20"/>
                <w:lang w:val="en-US" w:eastAsia="zh-CN"/>
              </w:rPr>
              <w:t>0.51</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color w:val="FF0000"/>
                <w:kern w:val="0"/>
                <w:sz w:val="20"/>
                <w:szCs w:val="20"/>
                <w:lang w:val="en-US" w:eastAsia="zh-CN"/>
              </w:rPr>
            </w:pPr>
            <w:r>
              <w:rPr>
                <w:rFonts w:hint="eastAsia" w:asciiTheme="majorEastAsia" w:hAnsiTheme="majorEastAsia" w:eastAsiaTheme="majorEastAsia" w:cstheme="majorEastAsia"/>
                <w:b w:val="0"/>
                <w:bCs w:val="0"/>
                <w:color w:val="FF0000"/>
                <w:kern w:val="0"/>
                <w:sz w:val="20"/>
                <w:szCs w:val="20"/>
                <w:lang w:val="en-US" w:eastAsia="zh-CN"/>
              </w:rPr>
              <w:t>1</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color w:val="FF0000"/>
                <w:kern w:val="0"/>
                <w:sz w:val="20"/>
                <w:szCs w:val="20"/>
                <w:lang w:val="en-US" w:eastAsia="zh-CN"/>
              </w:rPr>
            </w:pPr>
            <w:r>
              <w:rPr>
                <w:rFonts w:hint="eastAsia" w:asciiTheme="majorEastAsia" w:hAnsiTheme="majorEastAsia" w:eastAsiaTheme="majorEastAsia" w:cstheme="majorEastAsia"/>
                <w:b w:val="0"/>
                <w:bCs w:val="0"/>
                <w:color w:val="FF0000"/>
                <w:kern w:val="0"/>
                <w:sz w:val="20"/>
                <w:szCs w:val="20"/>
                <w:lang w:val="en-US" w:eastAsia="zh-CN"/>
              </w:rPr>
              <w:t>1.27</w:t>
            </w:r>
          </w:p>
        </w:tc>
      </w:tr>
      <w:tr>
        <w:tblPrEx>
          <w:tblLayout w:type="fixed"/>
          <w:tblCellMar>
            <w:top w:w="0" w:type="dxa"/>
            <w:left w:w="57" w:type="dxa"/>
            <w:bottom w:w="0" w:type="dxa"/>
            <w:right w:w="57" w:type="dxa"/>
          </w:tblCellMar>
        </w:tblPrEx>
        <w:trPr>
          <w:trHeight w:val="359"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eastAsia" w:asciiTheme="majorEastAsia" w:hAnsiTheme="majorEastAsia" w:eastAsiaTheme="majorEastAsia" w:cstheme="majorEastAsia"/>
                <w:b w:val="0"/>
                <w:bCs w:val="0"/>
                <w:kern w:val="0"/>
                <w:sz w:val="20"/>
                <w:szCs w:val="20"/>
              </w:rPr>
            </w:pPr>
            <w:r>
              <w:rPr>
                <w:rFonts w:hint="eastAsia" w:asciiTheme="majorEastAsia" w:hAnsiTheme="majorEastAsia" w:eastAsiaTheme="majorEastAsia" w:cstheme="majorEastAsia"/>
                <w:kern w:val="0"/>
                <w:sz w:val="20"/>
                <w:szCs w:val="20"/>
              </w:rPr>
              <w:t xml:space="preserve">          会议费、培训费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color w:val="FF0000"/>
                <w:kern w:val="0"/>
                <w:sz w:val="20"/>
                <w:szCs w:val="20"/>
              </w:rPr>
            </w:pPr>
            <w:r>
              <w:rPr>
                <w:rFonts w:hint="eastAsia" w:asciiTheme="majorEastAsia" w:hAnsiTheme="majorEastAsia" w:eastAsiaTheme="majorEastAsia" w:cstheme="majorEastAsia"/>
                <w:color w:val="auto"/>
                <w:kern w:val="0"/>
                <w:sz w:val="20"/>
                <w:szCs w:val="20"/>
                <w:lang w:val="en-US" w:eastAsia="zh-CN"/>
              </w:rPr>
              <w:t>0</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color w:val="FF0000"/>
                <w:kern w:val="0"/>
                <w:sz w:val="20"/>
                <w:szCs w:val="20"/>
                <w:lang w:val="en-US" w:eastAsia="zh-CN"/>
              </w:rPr>
            </w:pPr>
            <w:r>
              <w:rPr>
                <w:rFonts w:hint="eastAsia" w:asciiTheme="majorEastAsia" w:hAnsiTheme="majorEastAsia" w:eastAsiaTheme="majorEastAsia" w:cstheme="majorEastAsia"/>
                <w:b w:val="0"/>
                <w:bCs w:val="0"/>
                <w:color w:val="FF0000"/>
                <w:kern w:val="0"/>
                <w:sz w:val="20"/>
                <w:szCs w:val="20"/>
                <w:lang w:val="en-US" w:eastAsia="zh-CN"/>
              </w:rPr>
              <w:t>0</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color w:val="FF0000"/>
                <w:kern w:val="0"/>
                <w:sz w:val="20"/>
                <w:szCs w:val="20"/>
                <w:lang w:val="en-US" w:eastAsia="zh-CN"/>
              </w:rPr>
            </w:pPr>
            <w:r>
              <w:rPr>
                <w:rFonts w:hint="eastAsia" w:asciiTheme="majorEastAsia" w:hAnsiTheme="majorEastAsia" w:eastAsiaTheme="majorEastAsia" w:cstheme="majorEastAsia"/>
                <w:b w:val="0"/>
                <w:bCs w:val="0"/>
                <w:color w:val="FF0000"/>
                <w:kern w:val="0"/>
                <w:sz w:val="20"/>
                <w:szCs w:val="20"/>
                <w:lang w:val="en-US" w:eastAsia="zh-CN"/>
              </w:rPr>
              <w:t>0</w:t>
            </w:r>
          </w:p>
        </w:tc>
      </w:tr>
      <w:tr>
        <w:tblPrEx>
          <w:tblLayout w:type="fixed"/>
          <w:tblCellMar>
            <w:top w:w="0" w:type="dxa"/>
            <w:left w:w="57" w:type="dxa"/>
            <w:bottom w:w="0" w:type="dxa"/>
            <w:right w:w="57" w:type="dxa"/>
          </w:tblCellMar>
        </w:tblPrEx>
        <w:trPr>
          <w:trHeight w:val="359"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eastAsia" w:asciiTheme="majorEastAsia" w:hAnsiTheme="majorEastAsia" w:eastAsiaTheme="majorEastAsia" w:cstheme="majorEastAsia"/>
                <w:b w:val="0"/>
                <w:bCs w:val="0"/>
                <w:kern w:val="0"/>
                <w:sz w:val="20"/>
                <w:szCs w:val="20"/>
              </w:rPr>
            </w:pPr>
            <w:r>
              <w:rPr>
                <w:rFonts w:hint="eastAsia" w:asciiTheme="majorEastAsia" w:hAnsiTheme="majorEastAsia" w:eastAsiaTheme="majorEastAsia" w:cstheme="majorEastAsia"/>
                <w:kern w:val="0"/>
                <w:sz w:val="20"/>
                <w:szCs w:val="20"/>
              </w:rPr>
              <w:t xml:space="preserve">          </w:t>
            </w:r>
            <w:r>
              <w:rPr>
                <w:rFonts w:hint="eastAsia" w:asciiTheme="majorEastAsia" w:hAnsiTheme="majorEastAsia" w:eastAsiaTheme="majorEastAsia" w:cstheme="majorEastAsia"/>
                <w:kern w:val="0"/>
                <w:sz w:val="20"/>
                <w:szCs w:val="20"/>
                <w:lang w:eastAsia="zh-CN"/>
              </w:rPr>
              <w:t>印刷</w:t>
            </w:r>
            <w:r>
              <w:rPr>
                <w:rFonts w:hint="eastAsia" w:asciiTheme="majorEastAsia" w:hAnsiTheme="majorEastAsia" w:eastAsiaTheme="majorEastAsia" w:cstheme="majorEastAsia"/>
                <w:kern w:val="0"/>
                <w:sz w:val="20"/>
                <w:szCs w:val="20"/>
              </w:rPr>
              <w:t>费、</w:t>
            </w:r>
            <w:r>
              <w:rPr>
                <w:rFonts w:hint="eastAsia" w:asciiTheme="majorEastAsia" w:hAnsiTheme="majorEastAsia" w:eastAsiaTheme="majorEastAsia" w:cstheme="majorEastAsia"/>
                <w:kern w:val="0"/>
                <w:sz w:val="20"/>
                <w:szCs w:val="20"/>
                <w:lang w:eastAsia="zh-CN"/>
              </w:rPr>
              <w:t>邮电</w:t>
            </w:r>
            <w:r>
              <w:rPr>
                <w:rFonts w:hint="eastAsia" w:asciiTheme="majorEastAsia" w:hAnsiTheme="majorEastAsia" w:eastAsiaTheme="majorEastAsia" w:cstheme="majorEastAsia"/>
                <w:kern w:val="0"/>
                <w:sz w:val="20"/>
                <w:szCs w:val="20"/>
              </w:rPr>
              <w:t>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color w:val="FF0000"/>
                <w:kern w:val="0"/>
                <w:sz w:val="20"/>
                <w:szCs w:val="20"/>
              </w:rPr>
            </w:pPr>
            <w:r>
              <w:rPr>
                <w:rFonts w:hint="eastAsia" w:asciiTheme="majorEastAsia" w:hAnsiTheme="majorEastAsia" w:eastAsiaTheme="majorEastAsia" w:cstheme="majorEastAsia"/>
                <w:color w:val="auto"/>
                <w:kern w:val="0"/>
                <w:sz w:val="20"/>
                <w:szCs w:val="20"/>
                <w:lang w:val="en-US" w:eastAsia="zh-CN"/>
              </w:rPr>
              <w:t>0.91</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color w:val="FF0000"/>
                <w:kern w:val="0"/>
                <w:sz w:val="20"/>
                <w:szCs w:val="20"/>
                <w:lang w:val="en-US" w:eastAsia="zh-CN"/>
              </w:rPr>
            </w:pPr>
            <w:r>
              <w:rPr>
                <w:rFonts w:hint="eastAsia" w:asciiTheme="majorEastAsia" w:hAnsiTheme="majorEastAsia" w:eastAsiaTheme="majorEastAsia" w:cstheme="majorEastAsia"/>
                <w:b w:val="0"/>
                <w:bCs w:val="0"/>
                <w:color w:val="FF0000"/>
                <w:kern w:val="0"/>
                <w:sz w:val="20"/>
                <w:szCs w:val="20"/>
                <w:lang w:val="en-US" w:eastAsia="zh-CN"/>
              </w:rPr>
              <w:t>3.8</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color w:val="FF0000"/>
                <w:kern w:val="0"/>
                <w:sz w:val="20"/>
                <w:szCs w:val="20"/>
                <w:lang w:val="en-US" w:eastAsia="zh-CN"/>
              </w:rPr>
            </w:pPr>
            <w:r>
              <w:rPr>
                <w:rFonts w:hint="eastAsia" w:asciiTheme="majorEastAsia" w:hAnsiTheme="majorEastAsia" w:eastAsiaTheme="majorEastAsia" w:cstheme="majorEastAsia"/>
                <w:b w:val="0"/>
                <w:bCs w:val="0"/>
                <w:color w:val="FF0000"/>
                <w:kern w:val="0"/>
                <w:sz w:val="20"/>
                <w:szCs w:val="20"/>
                <w:lang w:val="en-US" w:eastAsia="zh-CN"/>
              </w:rPr>
              <w:t>1.24</w:t>
            </w:r>
          </w:p>
        </w:tc>
      </w:tr>
      <w:tr>
        <w:tblPrEx>
          <w:tblLayout w:type="fixed"/>
          <w:tblCellMar>
            <w:top w:w="0" w:type="dxa"/>
            <w:left w:w="57" w:type="dxa"/>
            <w:bottom w:w="0" w:type="dxa"/>
            <w:right w:w="57" w:type="dxa"/>
          </w:tblCellMar>
        </w:tblPrEx>
        <w:trPr>
          <w:trHeight w:val="359" w:hRule="atLeast"/>
          <w:jc w:val="center"/>
        </w:trPr>
        <w:tc>
          <w:tcPr>
            <w:tcW w:w="2940" w:type="dxa"/>
            <w:tcBorders>
              <w:top w:val="nil"/>
              <w:left w:val="single" w:color="auto" w:sz="4" w:space="0"/>
              <w:bottom w:val="single" w:color="auto" w:sz="4" w:space="0"/>
              <w:right w:val="single" w:color="auto" w:sz="4" w:space="0"/>
            </w:tcBorders>
            <w:vAlign w:val="center"/>
          </w:tcPr>
          <w:p>
            <w:pPr>
              <w:widowControl/>
              <w:ind w:firstLine="1000" w:firstLineChars="500"/>
              <w:jc w:val="left"/>
              <w:rPr>
                <w:rFonts w:hint="eastAsia" w:asciiTheme="majorEastAsia" w:hAnsiTheme="majorEastAsia" w:eastAsiaTheme="majorEastAsia" w:cstheme="majorEastAsia"/>
                <w:b w:val="0"/>
                <w:bCs w:val="0"/>
                <w:kern w:val="0"/>
                <w:sz w:val="20"/>
                <w:szCs w:val="20"/>
              </w:rPr>
            </w:pPr>
            <w:r>
              <w:rPr>
                <w:rFonts w:hint="eastAsia" w:asciiTheme="majorEastAsia" w:hAnsiTheme="majorEastAsia" w:eastAsiaTheme="majorEastAsia" w:cstheme="majorEastAsia"/>
                <w:kern w:val="0"/>
                <w:sz w:val="20"/>
                <w:szCs w:val="20"/>
                <w:lang w:eastAsia="zh-CN"/>
              </w:rPr>
              <w:t>公务车运行维护费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color w:val="FF0000"/>
                <w:kern w:val="0"/>
                <w:sz w:val="20"/>
                <w:szCs w:val="20"/>
              </w:rPr>
            </w:pPr>
            <w:r>
              <w:rPr>
                <w:rFonts w:hint="eastAsia" w:asciiTheme="majorEastAsia" w:hAnsiTheme="majorEastAsia" w:eastAsiaTheme="majorEastAsia" w:cstheme="majorEastAsia"/>
                <w:color w:val="auto"/>
                <w:kern w:val="0"/>
                <w:sz w:val="20"/>
                <w:szCs w:val="20"/>
                <w:lang w:val="en-US" w:eastAsia="zh-CN"/>
              </w:rPr>
              <w:t>3.94</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color w:val="FF0000"/>
                <w:kern w:val="0"/>
                <w:sz w:val="20"/>
                <w:szCs w:val="20"/>
                <w:lang w:val="en-US" w:eastAsia="zh-CN"/>
              </w:rPr>
            </w:pPr>
            <w:r>
              <w:rPr>
                <w:rFonts w:hint="eastAsia" w:asciiTheme="majorEastAsia" w:hAnsiTheme="majorEastAsia" w:eastAsiaTheme="majorEastAsia" w:cstheme="majorEastAsia"/>
                <w:b w:val="0"/>
                <w:bCs w:val="0"/>
                <w:color w:val="FF0000"/>
                <w:kern w:val="0"/>
                <w:sz w:val="20"/>
                <w:szCs w:val="20"/>
                <w:lang w:val="en-US" w:eastAsia="zh-CN"/>
              </w:rPr>
              <w:t>5.94</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color w:val="FF0000"/>
                <w:kern w:val="0"/>
                <w:sz w:val="20"/>
                <w:szCs w:val="20"/>
                <w:lang w:val="en-US" w:eastAsia="zh-CN"/>
              </w:rPr>
            </w:pPr>
            <w:r>
              <w:rPr>
                <w:rFonts w:hint="eastAsia" w:asciiTheme="majorEastAsia" w:hAnsiTheme="majorEastAsia" w:eastAsiaTheme="majorEastAsia" w:cstheme="majorEastAsia"/>
                <w:b w:val="0"/>
                <w:bCs w:val="0"/>
                <w:color w:val="FF0000"/>
                <w:kern w:val="0"/>
                <w:sz w:val="20"/>
                <w:szCs w:val="20"/>
                <w:lang w:val="en-US" w:eastAsia="zh-CN"/>
              </w:rPr>
              <w:t>0.54</w:t>
            </w:r>
          </w:p>
        </w:tc>
      </w:tr>
      <w:tr>
        <w:tblPrEx>
          <w:tblLayout w:type="fixed"/>
          <w:tblCellMar>
            <w:top w:w="0" w:type="dxa"/>
            <w:left w:w="57" w:type="dxa"/>
            <w:bottom w:w="0" w:type="dxa"/>
            <w:right w:w="57" w:type="dxa"/>
          </w:tblCellMar>
        </w:tblPrEx>
        <w:trPr>
          <w:trHeight w:val="359"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eastAsia" w:asciiTheme="majorEastAsia" w:hAnsiTheme="majorEastAsia" w:eastAsiaTheme="majorEastAsia" w:cstheme="majorEastAsia"/>
                <w:b w:val="0"/>
                <w:bCs w:val="0"/>
                <w:kern w:val="0"/>
                <w:sz w:val="20"/>
                <w:szCs w:val="20"/>
              </w:rPr>
            </w:pPr>
            <w:r>
              <w:rPr>
                <w:rFonts w:hint="eastAsia" w:asciiTheme="majorEastAsia" w:hAnsiTheme="majorEastAsia" w:eastAsiaTheme="majorEastAsia" w:cstheme="majorEastAsia"/>
                <w:kern w:val="0"/>
                <w:sz w:val="20"/>
                <w:szCs w:val="20"/>
                <w:lang w:val="en-US" w:eastAsia="zh-CN"/>
              </w:rPr>
              <w:t xml:space="preserve">          工会经费等其他</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color w:val="FF0000"/>
                <w:kern w:val="0"/>
                <w:sz w:val="20"/>
                <w:szCs w:val="20"/>
              </w:rPr>
            </w:pPr>
            <w:r>
              <w:rPr>
                <w:rFonts w:hint="eastAsia" w:asciiTheme="majorEastAsia" w:hAnsiTheme="majorEastAsia" w:eastAsiaTheme="majorEastAsia" w:cstheme="majorEastAsia"/>
                <w:color w:val="auto"/>
                <w:kern w:val="0"/>
                <w:sz w:val="20"/>
                <w:szCs w:val="20"/>
                <w:lang w:val="en-US" w:eastAsia="zh-CN"/>
              </w:rPr>
              <w:t>14.64</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color w:val="FF0000"/>
                <w:kern w:val="0"/>
                <w:sz w:val="20"/>
                <w:szCs w:val="20"/>
                <w:lang w:val="en-US" w:eastAsia="zh-CN"/>
              </w:rPr>
            </w:pPr>
            <w:r>
              <w:rPr>
                <w:rFonts w:hint="eastAsia" w:asciiTheme="majorEastAsia" w:hAnsiTheme="majorEastAsia" w:eastAsiaTheme="majorEastAsia" w:cstheme="majorEastAsia"/>
                <w:b w:val="0"/>
                <w:bCs w:val="0"/>
                <w:color w:val="FF0000"/>
                <w:kern w:val="0"/>
                <w:sz w:val="20"/>
                <w:szCs w:val="20"/>
                <w:lang w:val="en-US" w:eastAsia="zh-CN"/>
              </w:rPr>
              <w:t>10.97</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color w:val="FF0000"/>
                <w:kern w:val="0"/>
                <w:sz w:val="20"/>
                <w:szCs w:val="20"/>
                <w:lang w:val="en-US" w:eastAsia="zh-CN"/>
              </w:rPr>
            </w:pPr>
            <w:r>
              <w:rPr>
                <w:rFonts w:hint="eastAsia" w:asciiTheme="majorEastAsia" w:hAnsiTheme="majorEastAsia" w:eastAsiaTheme="majorEastAsia" w:cstheme="majorEastAsia"/>
                <w:b w:val="0"/>
                <w:bCs w:val="0"/>
                <w:color w:val="FF0000"/>
                <w:kern w:val="0"/>
                <w:sz w:val="20"/>
                <w:szCs w:val="20"/>
                <w:lang w:val="en-US" w:eastAsia="zh-CN"/>
              </w:rPr>
              <w:t>18.6</w:t>
            </w:r>
          </w:p>
        </w:tc>
      </w:tr>
      <w:tr>
        <w:tblPrEx>
          <w:tblLayout w:type="fixed"/>
          <w:tblCellMar>
            <w:top w:w="0" w:type="dxa"/>
            <w:left w:w="57" w:type="dxa"/>
            <w:bottom w:w="0" w:type="dxa"/>
            <w:right w:w="57" w:type="dxa"/>
          </w:tblCellMar>
        </w:tblPrEx>
        <w:trPr>
          <w:trHeight w:val="359"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eastAsia" w:asciiTheme="majorEastAsia" w:hAnsiTheme="majorEastAsia" w:eastAsiaTheme="majorEastAsia" w:cstheme="majorEastAsia"/>
                <w:b w:val="0"/>
                <w:bCs w:val="0"/>
                <w:kern w:val="0"/>
                <w:sz w:val="20"/>
                <w:szCs w:val="20"/>
              </w:rPr>
            </w:pPr>
            <w:r>
              <w:rPr>
                <w:rFonts w:hint="eastAsia" w:asciiTheme="majorEastAsia" w:hAnsiTheme="majorEastAsia" w:eastAsiaTheme="majorEastAsia" w:cstheme="majorEastAsia"/>
                <w:b w:val="0"/>
                <w:bCs w:val="0"/>
                <w:kern w:val="0"/>
                <w:sz w:val="20"/>
                <w:szCs w:val="20"/>
              </w:rPr>
              <w:t>政府采购金额</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kern w:val="0"/>
                <w:sz w:val="20"/>
                <w:szCs w:val="20"/>
              </w:rPr>
            </w:pPr>
            <w:r>
              <w:rPr>
                <w:rFonts w:hint="eastAsia" w:asciiTheme="majorEastAsia" w:hAnsiTheme="majorEastAsia" w:eastAsiaTheme="majorEastAsia" w:cstheme="majorEastAsia"/>
                <w:b w:val="0"/>
                <w:bCs w:val="0"/>
                <w:kern w:val="0"/>
                <w:sz w:val="20"/>
                <w:szCs w:val="20"/>
              </w:rPr>
              <w:t>——</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kern w:val="0"/>
                <w:sz w:val="20"/>
                <w:szCs w:val="20"/>
                <w:lang w:val="en-US" w:eastAsia="zh-CN"/>
              </w:rPr>
            </w:pPr>
            <w:r>
              <w:rPr>
                <w:rFonts w:hint="eastAsia" w:asciiTheme="majorEastAsia" w:hAnsiTheme="majorEastAsia" w:eastAsiaTheme="majorEastAsia" w:cstheme="majorEastAsia"/>
                <w:b w:val="0"/>
                <w:bCs w:val="0"/>
                <w:kern w:val="0"/>
                <w:sz w:val="20"/>
                <w:szCs w:val="20"/>
                <w:lang w:val="en-US" w:eastAsia="zh-CN"/>
              </w:rPr>
              <w:t>18.3</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kern w:val="0"/>
                <w:sz w:val="20"/>
                <w:szCs w:val="20"/>
                <w:lang w:val="en-US" w:eastAsia="zh-CN"/>
              </w:rPr>
            </w:pPr>
            <w:r>
              <w:rPr>
                <w:rFonts w:hint="eastAsia" w:asciiTheme="majorEastAsia" w:hAnsiTheme="majorEastAsia" w:eastAsiaTheme="majorEastAsia" w:cstheme="majorEastAsia"/>
                <w:b w:val="0"/>
                <w:bCs w:val="0"/>
                <w:kern w:val="0"/>
                <w:sz w:val="20"/>
                <w:szCs w:val="20"/>
                <w:lang w:val="en-US" w:eastAsia="zh-CN"/>
              </w:rPr>
              <w:t>15.75</w:t>
            </w:r>
          </w:p>
        </w:tc>
      </w:tr>
      <w:tr>
        <w:tblPrEx>
          <w:tblLayout w:type="fixed"/>
          <w:tblCellMar>
            <w:top w:w="0" w:type="dxa"/>
            <w:left w:w="57" w:type="dxa"/>
            <w:bottom w:w="0" w:type="dxa"/>
            <w:right w:w="57" w:type="dxa"/>
          </w:tblCellMar>
        </w:tblPrEx>
        <w:trPr>
          <w:trHeight w:val="359"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hint="eastAsia" w:asciiTheme="majorEastAsia" w:hAnsiTheme="majorEastAsia" w:eastAsiaTheme="majorEastAsia" w:cstheme="majorEastAsia"/>
                <w:b w:val="0"/>
                <w:bCs w:val="0"/>
                <w:kern w:val="0"/>
                <w:sz w:val="20"/>
                <w:szCs w:val="20"/>
              </w:rPr>
            </w:pPr>
            <w:r>
              <w:rPr>
                <w:rFonts w:hint="eastAsia" w:asciiTheme="majorEastAsia" w:hAnsiTheme="majorEastAsia" w:eastAsiaTheme="majorEastAsia" w:cstheme="majorEastAsia"/>
                <w:b w:val="0"/>
                <w:bCs w:val="0"/>
                <w:kern w:val="0"/>
                <w:sz w:val="20"/>
                <w:szCs w:val="20"/>
              </w:rPr>
              <w:t xml:space="preserve">部门整体支出预算调整 </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kern w:val="0"/>
                <w:sz w:val="20"/>
                <w:szCs w:val="20"/>
              </w:rPr>
            </w:pPr>
            <w:r>
              <w:rPr>
                <w:rFonts w:hint="eastAsia" w:asciiTheme="majorEastAsia" w:hAnsiTheme="majorEastAsia" w:eastAsiaTheme="majorEastAsia" w:cstheme="majorEastAsia"/>
                <w:b w:val="0"/>
                <w:bCs w:val="0"/>
                <w:kern w:val="0"/>
                <w:sz w:val="20"/>
                <w:szCs w:val="20"/>
              </w:rPr>
              <w:t>——</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kern w:val="0"/>
                <w:sz w:val="20"/>
                <w:szCs w:val="20"/>
                <w:lang w:val="en-US" w:eastAsia="zh-CN"/>
              </w:rPr>
            </w:pPr>
            <w:r>
              <w:rPr>
                <w:rFonts w:hint="eastAsia" w:asciiTheme="majorEastAsia" w:hAnsiTheme="majorEastAsia" w:eastAsiaTheme="majorEastAsia" w:cstheme="majorEastAsia"/>
                <w:b w:val="0"/>
                <w:bCs w:val="0"/>
                <w:kern w:val="0"/>
                <w:sz w:val="20"/>
                <w:szCs w:val="20"/>
                <w:lang w:val="en-US" w:eastAsia="zh-CN"/>
              </w:rPr>
              <w:t>601.73</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heme="majorEastAsia" w:hAnsiTheme="majorEastAsia" w:eastAsiaTheme="majorEastAsia" w:cstheme="majorEastAsia"/>
                <w:b w:val="0"/>
                <w:bCs w:val="0"/>
                <w:kern w:val="0"/>
                <w:sz w:val="20"/>
                <w:szCs w:val="20"/>
                <w:lang w:val="en-US" w:eastAsia="zh-CN"/>
              </w:rPr>
            </w:pPr>
            <w:r>
              <w:rPr>
                <w:rFonts w:hint="eastAsia" w:asciiTheme="majorEastAsia" w:hAnsiTheme="majorEastAsia" w:eastAsiaTheme="majorEastAsia" w:cstheme="majorEastAsia"/>
                <w:b w:val="0"/>
                <w:bCs w:val="0"/>
                <w:kern w:val="0"/>
                <w:sz w:val="20"/>
                <w:szCs w:val="20"/>
                <w:lang w:val="en-US" w:eastAsia="zh-CN"/>
              </w:rPr>
              <w:t>1933.32</w:t>
            </w:r>
          </w:p>
        </w:tc>
      </w:tr>
      <w:tr>
        <w:tblPrEx>
          <w:tblLayout w:type="fixed"/>
          <w:tblCellMar>
            <w:top w:w="0" w:type="dxa"/>
            <w:left w:w="57" w:type="dxa"/>
            <w:bottom w:w="0" w:type="dxa"/>
            <w:right w:w="57" w:type="dxa"/>
          </w:tblCellMar>
        </w:tblPrEx>
        <w:trPr>
          <w:trHeight w:val="828" w:hRule="atLeast"/>
          <w:jc w:val="center"/>
        </w:trPr>
        <w:tc>
          <w:tcPr>
            <w:tcW w:w="2940"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楼堂馆所控制情况</w:t>
            </w:r>
            <w:r>
              <w:rPr>
                <w:rFonts w:hint="default" w:ascii="Times New Roman" w:hAnsi="Times New Roman" w:eastAsia="宋体" w:cs="Times New Roman"/>
                <w:b w:val="0"/>
                <w:bCs w:val="0"/>
                <w:kern w:val="0"/>
                <w:sz w:val="20"/>
                <w:szCs w:val="20"/>
              </w:rPr>
              <w:br w:type="textWrapping"/>
            </w:r>
            <w:r>
              <w:rPr>
                <w:rFonts w:hint="default" w:ascii="Times New Roman" w:hAnsi="Times New Roman" w:eastAsia="宋体" w:cs="Times New Roman"/>
                <w:b w:val="0"/>
                <w:bCs w:val="0"/>
                <w:kern w:val="0"/>
                <w:sz w:val="20"/>
                <w:szCs w:val="20"/>
              </w:rPr>
              <w:t>（20</w:t>
            </w:r>
            <w:r>
              <w:rPr>
                <w:rFonts w:hint="default" w:ascii="Times New Roman" w:hAnsi="Times New Roman" w:eastAsia="宋体" w:cs="Times New Roman"/>
                <w:b w:val="0"/>
                <w:bCs w:val="0"/>
                <w:kern w:val="0"/>
                <w:sz w:val="20"/>
                <w:szCs w:val="20"/>
                <w:lang w:val="en-US" w:eastAsia="zh-CN"/>
              </w:rPr>
              <w:t>20</w:t>
            </w:r>
            <w:r>
              <w:rPr>
                <w:rFonts w:hint="default" w:ascii="Times New Roman" w:hAnsi="Times New Roman" w:eastAsia="宋体" w:cs="Times New Roman"/>
                <w:b w:val="0"/>
                <w:bCs w:val="0"/>
                <w:kern w:val="0"/>
                <w:sz w:val="20"/>
                <w:szCs w:val="20"/>
              </w:rPr>
              <w:t>年完工项目）</w:t>
            </w:r>
          </w:p>
        </w:tc>
        <w:tc>
          <w:tcPr>
            <w:tcW w:w="1014"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批复规模</w:t>
            </w:r>
            <w:r>
              <w:rPr>
                <w:rFonts w:hint="default" w:ascii="Times New Roman" w:hAnsi="Times New Roman" w:eastAsia="宋体" w:cs="Times New Roman"/>
                <w:b w:val="0"/>
                <w:bCs w:val="0"/>
                <w:kern w:val="0"/>
                <w:sz w:val="20"/>
                <w:szCs w:val="20"/>
              </w:rPr>
              <w:br w:type="textWrapping"/>
            </w:r>
            <w:r>
              <w:rPr>
                <w:rFonts w:hint="default" w:ascii="Times New Roman" w:hAnsi="Times New Roman" w:eastAsia="宋体" w:cs="Times New Roman"/>
                <w:b w:val="0"/>
                <w:bCs w:val="0"/>
                <w:kern w:val="0"/>
                <w:sz w:val="20"/>
                <w:szCs w:val="20"/>
              </w:rPr>
              <w:t>（㎡）</w:t>
            </w:r>
          </w:p>
        </w:tc>
        <w:tc>
          <w:tcPr>
            <w:tcW w:w="80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实际</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规模</w:t>
            </w:r>
            <w:r>
              <w:rPr>
                <w:rFonts w:hint="default" w:ascii="Times New Roman" w:hAnsi="Times New Roman" w:eastAsia="宋体" w:cs="Times New Roman"/>
                <w:b w:val="0"/>
                <w:bCs w:val="0"/>
                <w:kern w:val="0"/>
                <w:sz w:val="20"/>
                <w:szCs w:val="20"/>
              </w:rPr>
              <w:br w:type="textWrapping"/>
            </w:r>
            <w:r>
              <w:rPr>
                <w:rFonts w:hint="default" w:ascii="Times New Roman" w:hAnsi="Times New Roman" w:eastAsia="宋体" w:cs="Times New Roman"/>
                <w:b w:val="0"/>
                <w:bCs w:val="0"/>
                <w:kern w:val="0"/>
                <w:sz w:val="20"/>
                <w:szCs w:val="20"/>
              </w:rPr>
              <w:t>（㎡）</w:t>
            </w:r>
          </w:p>
        </w:tc>
        <w:tc>
          <w:tcPr>
            <w:tcW w:w="1296"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规模控制率</w:t>
            </w:r>
          </w:p>
        </w:tc>
        <w:tc>
          <w:tcPr>
            <w:tcW w:w="108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预算投资</w:t>
            </w:r>
            <w:r>
              <w:rPr>
                <w:rFonts w:hint="default" w:ascii="Times New Roman" w:hAnsi="Times New Roman" w:eastAsia="宋体" w:cs="Times New Roman"/>
                <w:b w:val="0"/>
                <w:bCs w:val="0"/>
                <w:kern w:val="0"/>
                <w:sz w:val="20"/>
                <w:szCs w:val="20"/>
              </w:rPr>
              <w:br w:type="textWrapping"/>
            </w:r>
            <w:r>
              <w:rPr>
                <w:rFonts w:hint="default" w:ascii="Times New Roman" w:hAnsi="Times New Roman" w:eastAsia="宋体" w:cs="Times New Roman"/>
                <w:b w:val="0"/>
                <w:bCs w:val="0"/>
                <w:kern w:val="0"/>
                <w:sz w:val="20"/>
                <w:szCs w:val="20"/>
              </w:rPr>
              <w:t>（万元）</w:t>
            </w:r>
          </w:p>
        </w:tc>
        <w:tc>
          <w:tcPr>
            <w:tcW w:w="94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实际</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投资</w:t>
            </w:r>
            <w:r>
              <w:rPr>
                <w:rFonts w:hint="default" w:ascii="Times New Roman" w:hAnsi="Times New Roman" w:eastAsia="宋体" w:cs="Times New Roman"/>
                <w:b w:val="0"/>
                <w:bCs w:val="0"/>
                <w:kern w:val="0"/>
                <w:sz w:val="20"/>
                <w:szCs w:val="20"/>
              </w:rPr>
              <w:br w:type="textWrapping"/>
            </w:r>
            <w:r>
              <w:rPr>
                <w:rFonts w:hint="default" w:ascii="Times New Roman" w:hAnsi="Times New Roman" w:eastAsia="宋体" w:cs="Times New Roman"/>
                <w:b w:val="0"/>
                <w:bCs w:val="0"/>
                <w:kern w:val="0"/>
                <w:sz w:val="20"/>
                <w:szCs w:val="20"/>
              </w:rPr>
              <w:t>（万元）</w:t>
            </w:r>
          </w:p>
        </w:tc>
        <w:tc>
          <w:tcPr>
            <w:tcW w:w="97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投资</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概算</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控制率</w:t>
            </w:r>
          </w:p>
        </w:tc>
      </w:tr>
      <w:tr>
        <w:tblPrEx>
          <w:tblLayout w:type="fixed"/>
          <w:tblCellMar>
            <w:top w:w="0" w:type="dxa"/>
            <w:left w:w="57" w:type="dxa"/>
            <w:bottom w:w="0" w:type="dxa"/>
            <w:right w:w="57" w:type="dxa"/>
          </w:tblCellMar>
        </w:tblPrEx>
        <w:trPr>
          <w:trHeight w:val="442" w:hRule="atLeast"/>
          <w:jc w:val="center"/>
        </w:trPr>
        <w:tc>
          <w:tcPr>
            <w:tcW w:w="294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p>
        </w:tc>
        <w:tc>
          <w:tcPr>
            <w:tcW w:w="1014"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805"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296"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089"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949"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978"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Layout w:type="fixed"/>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厉行节约保障措施</w:t>
            </w:r>
          </w:p>
        </w:tc>
        <w:tc>
          <w:tcPr>
            <w:tcW w:w="6131" w:type="dxa"/>
            <w:gridSpan w:val="6"/>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bl>
    <w:p>
      <w:pPr>
        <w:keepNext w:val="0"/>
        <w:keepLines w:val="0"/>
        <w:pageBreakBefore w:val="0"/>
        <w:widowControl w:val="0"/>
        <w:kinsoku/>
        <w:wordWrap/>
        <w:overflowPunct/>
        <w:topLinePunct w:val="0"/>
        <w:autoSpaceDE/>
        <w:autoSpaceDN/>
        <w:bidi w:val="0"/>
        <w:adjustRightInd/>
        <w:snapToGrid/>
        <w:spacing w:before="157" w:beforeLines="50"/>
        <w:ind w:left="0" w:hanging="720" w:hangingChars="300"/>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kern w:val="0"/>
          <w:sz w:val="24"/>
          <w:szCs w:val="24"/>
        </w:rPr>
        <w:t>说明：“项目支出”需要填报除公共专项资金和基本支出以外的所有项目情况，包括业务工作项目、运行维护项目等；“公用经费”填报基本支出中的一般商品和服务支出。</w:t>
      </w:r>
      <w:r>
        <w:rPr>
          <w:rFonts w:hint="default" w:ascii="Times New Roman" w:hAnsi="Times New Roman" w:eastAsia="楷体_GB2312"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方正小标宋_GBK" w:cs="Times New Roman"/>
          <w:kern w:val="0"/>
          <w:sz w:val="36"/>
          <w:szCs w:val="36"/>
          <w:lang w:val="en-US"/>
        </w:rPr>
      </w:pPr>
      <w:r>
        <w:rPr>
          <w:rFonts w:hint="default" w:ascii="Times New Roman" w:hAnsi="Times New Roman" w:eastAsia="黑体" w:cs="Times New Roman"/>
          <w:kern w:val="0"/>
          <w:sz w:val="32"/>
          <w:szCs w:val="32"/>
          <w:lang w:eastAsia="zh-CN"/>
        </w:rPr>
        <w:t>附件</w:t>
      </w:r>
      <w:r>
        <w:rPr>
          <w:rFonts w:hint="eastAsia" w:eastAsia="黑体" w:cs="Times New Roman"/>
          <w:kern w:val="0"/>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240" w:lineRule="auto"/>
        <w:ind w:left="91"/>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部门整体支出绩效自评表</w:t>
      </w:r>
    </w:p>
    <w:tbl>
      <w:tblPr>
        <w:tblStyle w:val="5"/>
        <w:tblW w:w="99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59"/>
        <w:gridCol w:w="739"/>
        <w:gridCol w:w="832"/>
        <w:gridCol w:w="330"/>
        <w:gridCol w:w="2986"/>
        <w:gridCol w:w="3311"/>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blHeader/>
          <w:jc w:val="center"/>
        </w:trPr>
        <w:tc>
          <w:tcPr>
            <w:tcW w:w="75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一级</w:t>
            </w:r>
            <w:r>
              <w:rPr>
                <w:rFonts w:hint="default" w:ascii="Times New Roman" w:hAnsi="Times New Roman" w:eastAsia="黑体" w:cs="Times New Roman"/>
                <w:i w:val="0"/>
                <w:color w:val="000000"/>
                <w:kern w:val="0"/>
                <w:sz w:val="20"/>
                <w:szCs w:val="20"/>
                <w:u w:val="none"/>
                <w:lang w:val="en-US" w:eastAsia="zh-CN" w:bidi="ar"/>
              </w:rPr>
              <w:br w:type="textWrapping"/>
            </w:r>
            <w:r>
              <w:rPr>
                <w:rFonts w:hint="default" w:ascii="Times New Roman" w:hAnsi="Times New Roman" w:eastAsia="黑体" w:cs="Times New Roman"/>
                <w:i w:val="0"/>
                <w:color w:val="000000"/>
                <w:kern w:val="0"/>
                <w:sz w:val="20"/>
                <w:szCs w:val="20"/>
                <w:u w:val="none"/>
                <w:lang w:val="en-US" w:eastAsia="zh-CN" w:bidi="ar"/>
              </w:rPr>
              <w:t>指标</w:t>
            </w:r>
          </w:p>
        </w:tc>
        <w:tc>
          <w:tcPr>
            <w:tcW w:w="73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二级</w:t>
            </w:r>
            <w:r>
              <w:rPr>
                <w:rFonts w:hint="default" w:ascii="Times New Roman" w:hAnsi="Times New Roman" w:eastAsia="黑体" w:cs="Times New Roman"/>
                <w:i w:val="0"/>
                <w:color w:val="000000"/>
                <w:kern w:val="0"/>
                <w:sz w:val="20"/>
                <w:szCs w:val="20"/>
                <w:u w:val="none"/>
                <w:lang w:val="en-US" w:eastAsia="zh-CN" w:bidi="ar"/>
              </w:rPr>
              <w:br w:type="textWrapping"/>
            </w:r>
            <w:r>
              <w:rPr>
                <w:rFonts w:hint="default" w:ascii="Times New Roman" w:hAnsi="Times New Roman" w:eastAsia="黑体" w:cs="Times New Roman"/>
                <w:i w:val="0"/>
                <w:color w:val="000000"/>
                <w:kern w:val="0"/>
                <w:sz w:val="20"/>
                <w:szCs w:val="20"/>
                <w:u w:val="none"/>
                <w:lang w:val="en-US" w:eastAsia="zh-CN" w:bidi="ar"/>
              </w:rPr>
              <w:t>指标</w:t>
            </w: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分值</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评分要点</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评分标准</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eastAsia" w:ascii="Times New Roman" w:hAnsi="Times New Roman" w:eastAsia="黑体" w:cs="Times New Roman"/>
                <w:i w:val="0"/>
                <w:color w:val="000000"/>
                <w:kern w:val="0"/>
                <w:sz w:val="20"/>
                <w:szCs w:val="20"/>
                <w:u w:val="none"/>
                <w:lang w:val="en-US" w:eastAsia="zh-CN" w:bidi="ar"/>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70" w:hRule="atLeast"/>
          <w:jc w:val="center"/>
        </w:trPr>
        <w:tc>
          <w:tcPr>
            <w:tcW w:w="759"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投入</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（10分）</w:t>
            </w:r>
          </w:p>
        </w:tc>
        <w:tc>
          <w:tcPr>
            <w:tcW w:w="739"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目标</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设定</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6</w:t>
            </w:r>
            <w:r>
              <w:rPr>
                <w:rStyle w:val="6"/>
                <w:rFonts w:hint="default" w:ascii="Times New Roman" w:hAnsi="Times New Roman" w:cs="Times New Roman"/>
                <w:sz w:val="20"/>
                <w:szCs w:val="20"/>
                <w:lang w:val="en-US" w:eastAsia="zh-CN" w:bidi="ar"/>
              </w:rPr>
              <w:t>分）</w:t>
            </w: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绩效目标</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合理性</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①是否符合国家法律法规、国民经济和社会发展总体规划；</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②是否符合部门</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三定</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方案确定的职责；</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③是否符合部门制定的发展实施规划。</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①符合国家相关法律法规，本市国民经济和社会发展规划，计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分，否则不得分；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②与部门（单位）职责密切相关，计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分，否则不得分；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③符合部门制定的发展实施规划，计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分，否则不得分。</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98" w:hRule="atLeast"/>
          <w:jc w:val="center"/>
        </w:trPr>
        <w:tc>
          <w:tcPr>
            <w:tcW w:w="759"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739"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绩效指标</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明确性</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①是否将部门整体的绩效目标细化分解为具体的工作任务；</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②是否通过清晰、可衡量的指标值予以体现。</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③是否与部门年度的任务数或计划数相对应；</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④是否与本年度部门预算资金相匹配。</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①有目标，计1分，否则不得分；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②目标明确，细化量化良好，个性指标中量化指标超过</w:t>
            </w:r>
            <w:r>
              <w:rPr>
                <w:rStyle w:val="7"/>
                <w:rFonts w:hint="default" w:ascii="Times New Roman" w:hAnsi="Times New Roman" w:eastAsia="宋体" w:cs="Times New Roman"/>
                <w:sz w:val="20"/>
                <w:szCs w:val="20"/>
                <w:lang w:val="en-US" w:eastAsia="zh-CN" w:bidi="ar"/>
              </w:rPr>
              <w:t>3</w:t>
            </w:r>
            <w:r>
              <w:rPr>
                <w:rStyle w:val="6"/>
                <w:rFonts w:hint="default" w:ascii="Times New Roman" w:hAnsi="Times New Roman" w:cs="Times New Roman"/>
                <w:sz w:val="20"/>
                <w:szCs w:val="20"/>
                <w:lang w:val="en-US" w:eastAsia="zh-CN" w:bidi="ar"/>
              </w:rPr>
              <w:t>个，计1分，量化指标为</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个，计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个以下不得分；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③与年度任务数或计划数相对应，计1分，低于</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个，计0.5分，低于</w:t>
            </w:r>
            <w:r>
              <w:rPr>
                <w:rStyle w:val="7"/>
                <w:rFonts w:hint="default" w:ascii="Times New Roman" w:hAnsi="Times New Roman" w:eastAsia="宋体" w:cs="Times New Roman"/>
                <w:sz w:val="20"/>
                <w:szCs w:val="20"/>
                <w:lang w:val="en-US" w:eastAsia="zh-CN" w:bidi="ar"/>
              </w:rPr>
              <w:t>4</w:t>
            </w:r>
            <w:r>
              <w:rPr>
                <w:rStyle w:val="6"/>
                <w:rFonts w:hint="default" w:ascii="Times New Roman" w:hAnsi="Times New Roman" w:cs="Times New Roman"/>
                <w:sz w:val="20"/>
                <w:szCs w:val="20"/>
                <w:lang w:val="en-US" w:eastAsia="zh-CN" w:bidi="ar"/>
              </w:rPr>
              <w:t>个不得分；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④目标与资金匹配良好，逻辑关系明确，计1分，否则不得分。</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10" w:hRule="atLeast"/>
          <w:jc w:val="center"/>
        </w:trPr>
        <w:tc>
          <w:tcPr>
            <w:tcW w:w="759"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73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预算</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配置</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4</w:t>
            </w:r>
            <w:r>
              <w:rPr>
                <w:rStyle w:val="6"/>
                <w:rFonts w:hint="default" w:ascii="Times New Roman" w:hAnsi="Times New Roman" w:cs="Times New Roman"/>
                <w:sz w:val="20"/>
                <w:szCs w:val="20"/>
                <w:lang w:val="en-US" w:eastAsia="zh-CN" w:bidi="ar"/>
              </w:rPr>
              <w:t>分）</w:t>
            </w: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人员</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控制率</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在职人员控制率</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（在职人员数</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编制数）</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聘用人员控制率≦人社和编办共同批复的人数；</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在职人员数：部门（单位）实际在职人数</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以财政部门确定的部门决算编制口径为准。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编制数：机构编制部门核定批复的部门（单位）的人员编制数。</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在职人员控制率≦</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计</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分，每超出</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扣</w:t>
            </w:r>
            <w:r>
              <w:rPr>
                <w:rStyle w:val="7"/>
                <w:rFonts w:hint="default" w:ascii="Times New Roman" w:hAnsi="Times New Roman" w:eastAsia="宋体" w:cs="Times New Roman"/>
                <w:sz w:val="20"/>
                <w:szCs w:val="20"/>
                <w:lang w:val="en-US" w:eastAsia="zh-CN" w:bidi="ar"/>
              </w:rPr>
              <w:t>0.2</w:t>
            </w:r>
            <w:r>
              <w:rPr>
                <w:rStyle w:val="6"/>
                <w:rFonts w:hint="default" w:ascii="Times New Roman" w:hAnsi="Times New Roman" w:cs="Times New Roman"/>
                <w:sz w:val="20"/>
                <w:szCs w:val="20"/>
                <w:lang w:val="en-US" w:eastAsia="zh-CN" w:bidi="ar"/>
              </w:rPr>
              <w:t>分，扣完为止。</w:t>
            </w:r>
            <w:r>
              <w:rPr>
                <w:rStyle w:val="7"/>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color w:val="auto"/>
                <w:sz w:val="20"/>
                <w:szCs w:val="20"/>
                <w:lang w:val="en-US" w:eastAsia="zh-CN" w:bidi="ar"/>
              </w:rPr>
              <w:t>聘用人员实际使用数小于等于编办人社部门批复数，计</w:t>
            </w:r>
            <w:r>
              <w:rPr>
                <w:rStyle w:val="9"/>
                <w:rFonts w:hint="default" w:ascii="Times New Roman" w:hAnsi="Times New Roman" w:eastAsia="宋体" w:cs="Times New Roman"/>
                <w:color w:val="auto"/>
                <w:sz w:val="20"/>
                <w:szCs w:val="20"/>
                <w:lang w:val="en-US" w:eastAsia="zh-CN" w:bidi="ar"/>
              </w:rPr>
              <w:t>2</w:t>
            </w:r>
            <w:r>
              <w:rPr>
                <w:rStyle w:val="8"/>
                <w:rFonts w:hint="default" w:ascii="Times New Roman" w:hAnsi="Times New Roman" w:cs="Times New Roman"/>
                <w:color w:val="auto"/>
                <w:sz w:val="20"/>
                <w:szCs w:val="20"/>
                <w:lang w:val="en-US" w:eastAsia="zh-CN" w:bidi="ar"/>
              </w:rPr>
              <w:t>分，否则不得分。</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0" w:hRule="atLeast"/>
          <w:jc w:val="center"/>
        </w:trPr>
        <w:tc>
          <w:tcPr>
            <w:tcW w:w="75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过程</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40</w:t>
            </w:r>
            <w:r>
              <w:rPr>
                <w:rStyle w:val="6"/>
                <w:rFonts w:hint="default" w:ascii="Times New Roman" w:hAnsi="Times New Roman" w:cs="Times New Roman"/>
                <w:sz w:val="20"/>
                <w:szCs w:val="20"/>
                <w:lang w:val="en-US" w:eastAsia="zh-CN" w:bidi="ar"/>
              </w:rPr>
              <w:t>分）</w:t>
            </w:r>
          </w:p>
        </w:tc>
        <w:tc>
          <w:tcPr>
            <w:tcW w:w="73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预算</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执行</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（15分）</w:t>
            </w: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执行率</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①预算完成率</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（预算完成数</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预算数）</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预算完成数：部门（单位）本年度实际完成的预算数。</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预算数：财政部门批复的本年度部门（单位）预算数及追加的项目预算数。</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②支付序时进度</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（序时执行数</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序时指标下达数）</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序时执行数：指按时间节点部门预算项目实际支出数。序时指标下达数：按时间节点给部门预算下达的项目支出和追加的项目支出指标数之和。</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③部门预算项目支出调剂到区县。</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①全年预算完成率</w:t>
            </w:r>
            <w:r>
              <w:rPr>
                <w:rStyle w:val="7"/>
                <w:rFonts w:hint="default" w:ascii="Times New Roman" w:hAnsi="Times New Roman" w:eastAsia="宋体" w:cs="Times New Roman"/>
                <w:sz w:val="20"/>
                <w:szCs w:val="20"/>
                <w:lang w:val="en-US" w:eastAsia="zh-CN" w:bidi="ar"/>
              </w:rPr>
              <w:t>95%</w:t>
            </w:r>
            <w:r>
              <w:rPr>
                <w:rStyle w:val="6"/>
                <w:rFonts w:hint="default" w:ascii="Times New Roman" w:hAnsi="Times New Roman" w:cs="Times New Roman"/>
                <w:sz w:val="20"/>
                <w:szCs w:val="20"/>
                <w:lang w:val="en-US" w:eastAsia="zh-CN" w:bidi="ar"/>
              </w:rPr>
              <w:t>以上计</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95-90%</w:t>
            </w:r>
            <w:r>
              <w:rPr>
                <w:rStyle w:val="6"/>
                <w:rFonts w:hint="default" w:ascii="Times New Roman" w:hAnsi="Times New Roman" w:cs="Times New Roman"/>
                <w:sz w:val="20"/>
                <w:szCs w:val="20"/>
                <w:lang w:val="en-US" w:eastAsia="zh-CN" w:bidi="ar"/>
              </w:rPr>
              <w:t>（含），计</w:t>
            </w:r>
            <w:r>
              <w:rPr>
                <w:rStyle w:val="7"/>
                <w:rFonts w:hint="default" w:ascii="Times New Roman" w:hAnsi="Times New Roman" w:eastAsia="宋体" w:cs="Times New Roman"/>
                <w:sz w:val="20"/>
                <w:szCs w:val="20"/>
                <w:lang w:val="en-US" w:eastAsia="zh-CN" w:bidi="ar"/>
              </w:rPr>
              <w:t>1.5</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90-80%</w:t>
            </w:r>
            <w:r>
              <w:rPr>
                <w:rStyle w:val="6"/>
                <w:rFonts w:hint="default" w:ascii="Times New Roman" w:hAnsi="Times New Roman" w:cs="Times New Roman"/>
                <w:sz w:val="20"/>
                <w:szCs w:val="20"/>
                <w:lang w:val="en-US" w:eastAsia="zh-CN" w:bidi="ar"/>
              </w:rPr>
              <w:t>（含），计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分，小于</w:t>
            </w:r>
            <w:r>
              <w:rPr>
                <w:rStyle w:val="7"/>
                <w:rFonts w:hint="default" w:ascii="Times New Roman" w:hAnsi="Times New Roman" w:eastAsia="宋体" w:cs="Times New Roman"/>
                <w:sz w:val="20"/>
                <w:szCs w:val="20"/>
                <w:lang w:val="en-US" w:eastAsia="zh-CN" w:bidi="ar"/>
              </w:rPr>
              <w:t>80%</w:t>
            </w:r>
            <w:r>
              <w:rPr>
                <w:rStyle w:val="6"/>
                <w:rFonts w:hint="default" w:ascii="Times New Roman" w:hAnsi="Times New Roman" w:cs="Times New Roman"/>
                <w:sz w:val="20"/>
                <w:szCs w:val="20"/>
                <w:lang w:val="en-US" w:eastAsia="zh-CN" w:bidi="ar"/>
              </w:rPr>
              <w:t>不得分；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②一、二、三季度末支付序时进度分别达到</w:t>
            </w:r>
            <w:r>
              <w:rPr>
                <w:rStyle w:val="7"/>
                <w:rFonts w:hint="default" w:ascii="Times New Roman" w:hAnsi="Times New Roman" w:eastAsia="宋体" w:cs="Times New Roman"/>
                <w:sz w:val="20"/>
                <w:szCs w:val="20"/>
                <w:lang w:val="en-US" w:eastAsia="zh-CN" w:bidi="ar"/>
              </w:rPr>
              <w:t>20%</w:t>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50%</w:t>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80%</w:t>
            </w:r>
            <w:r>
              <w:rPr>
                <w:rStyle w:val="6"/>
                <w:rFonts w:hint="default" w:ascii="Times New Roman" w:hAnsi="Times New Roman" w:cs="Times New Roman"/>
                <w:sz w:val="20"/>
                <w:szCs w:val="20"/>
                <w:lang w:val="en-US" w:eastAsia="zh-CN" w:bidi="ar"/>
              </w:rPr>
              <w:t>（含）以上计</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分，每低</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个百分点扣</w:t>
            </w:r>
            <w:r>
              <w:rPr>
                <w:rStyle w:val="7"/>
                <w:rFonts w:hint="default" w:ascii="Times New Roman" w:hAnsi="Times New Roman" w:eastAsia="宋体" w:cs="Times New Roman"/>
                <w:sz w:val="20"/>
                <w:szCs w:val="20"/>
                <w:lang w:val="en-US" w:eastAsia="zh-CN" w:bidi="ar"/>
              </w:rPr>
              <w:t>0.2</w:t>
            </w:r>
            <w:r>
              <w:rPr>
                <w:rStyle w:val="6"/>
                <w:rFonts w:hint="default" w:ascii="Times New Roman" w:hAnsi="Times New Roman" w:cs="Times New Roman"/>
                <w:sz w:val="20"/>
                <w:szCs w:val="20"/>
                <w:lang w:val="en-US" w:eastAsia="zh-CN" w:bidi="ar"/>
              </w:rPr>
              <w:t>分，扣完为止。</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③部门预算项目支出调剂到区县小于等于项目支出</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，计</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分；大于</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，不计分；</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60" w:hRule="atLeast"/>
          <w:jc w:val="center"/>
        </w:trPr>
        <w:tc>
          <w:tcPr>
            <w:tcW w:w="759" w:type="dxa"/>
            <w:vMerge w:val="restart"/>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过程</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40</w:t>
            </w:r>
            <w:r>
              <w:rPr>
                <w:rStyle w:val="6"/>
                <w:rFonts w:hint="default" w:ascii="Times New Roman" w:hAnsi="Times New Roman" w:cs="Times New Roman"/>
                <w:sz w:val="20"/>
                <w:szCs w:val="20"/>
                <w:lang w:val="en-US" w:eastAsia="zh-CN" w:bidi="ar"/>
              </w:rPr>
              <w:t>分）</w:t>
            </w:r>
          </w:p>
        </w:tc>
        <w:tc>
          <w:tcPr>
            <w:tcW w:w="739"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预算</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执行</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（15分）</w:t>
            </w: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调整率</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预算调整率</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（预算调整数</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预算数）</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预算调整数：部门（单位）在本年度内涉及预算的追加、追减或结构调整的资金总和（因落实国家政策、发生不可抗力，市委、市政府临时交办而产生的调整及经济科目非跨类调整除外）。</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预算调整率</w:t>
            </w:r>
            <w:r>
              <w:rPr>
                <w:rStyle w:val="7"/>
                <w:rFonts w:hint="default" w:ascii="Times New Roman" w:hAnsi="Times New Roman" w:eastAsia="宋体" w:cs="Times New Roman"/>
                <w:sz w:val="20"/>
                <w:szCs w:val="20"/>
                <w:lang w:val="en-US" w:eastAsia="zh-CN" w:bidi="ar"/>
              </w:rPr>
              <w:t>&lt;5%</w:t>
            </w:r>
            <w:r>
              <w:rPr>
                <w:rStyle w:val="6"/>
                <w:rFonts w:hint="default" w:ascii="Times New Roman" w:hAnsi="Times New Roman" w:cs="Times New Roman"/>
                <w:sz w:val="20"/>
                <w:szCs w:val="20"/>
                <w:lang w:val="en-US" w:eastAsia="zh-CN" w:bidi="ar"/>
              </w:rPr>
              <w:t>，计</w:t>
            </w:r>
            <w:r>
              <w:rPr>
                <w:rStyle w:val="7"/>
                <w:rFonts w:hint="default" w:ascii="Times New Roman" w:hAnsi="Times New Roman" w:eastAsia="宋体" w:cs="Times New Roman"/>
                <w:sz w:val="20"/>
                <w:szCs w:val="20"/>
                <w:lang w:val="en-US" w:eastAsia="zh-CN" w:bidi="ar"/>
              </w:rPr>
              <w:t>3</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5-10%</w:t>
            </w:r>
            <w:r>
              <w:rPr>
                <w:rStyle w:val="6"/>
                <w:rFonts w:hint="default" w:ascii="Times New Roman" w:hAnsi="Times New Roman" w:cs="Times New Roman"/>
                <w:sz w:val="20"/>
                <w:szCs w:val="20"/>
                <w:lang w:val="en-US" w:eastAsia="zh-CN" w:bidi="ar"/>
              </w:rPr>
              <w:t>（含），计</w:t>
            </w:r>
            <w:r>
              <w:rPr>
                <w:rStyle w:val="7"/>
                <w:rFonts w:hint="default" w:ascii="Times New Roman" w:hAnsi="Times New Roman" w:eastAsia="宋体" w:cs="Times New Roman"/>
                <w:sz w:val="20"/>
                <w:szCs w:val="20"/>
                <w:lang w:val="en-US" w:eastAsia="zh-CN" w:bidi="ar"/>
              </w:rPr>
              <w:t>1.5</w:t>
            </w:r>
            <w:r>
              <w:rPr>
                <w:rStyle w:val="6"/>
                <w:rFonts w:hint="default" w:ascii="Times New Roman" w:hAnsi="Times New Roman" w:cs="Times New Roman"/>
                <w:sz w:val="20"/>
                <w:szCs w:val="20"/>
                <w:lang w:val="en-US" w:eastAsia="zh-CN" w:bidi="ar"/>
              </w:rPr>
              <w:t>分；大于</w:t>
            </w:r>
            <w:r>
              <w:rPr>
                <w:rStyle w:val="7"/>
                <w:rFonts w:hint="default" w:ascii="Times New Roman" w:hAnsi="Times New Roman" w:eastAsia="宋体" w:cs="Times New Roman"/>
                <w:sz w:val="20"/>
                <w:szCs w:val="20"/>
                <w:lang w:val="en-US" w:eastAsia="zh-CN" w:bidi="ar"/>
              </w:rPr>
              <w:t>10%</w:t>
            </w:r>
            <w:r>
              <w:rPr>
                <w:rStyle w:val="6"/>
                <w:rFonts w:hint="default" w:ascii="Times New Roman" w:hAnsi="Times New Roman" w:cs="Times New Roman"/>
                <w:sz w:val="20"/>
                <w:szCs w:val="20"/>
                <w:lang w:val="en-US" w:eastAsia="zh-CN" w:bidi="ar"/>
              </w:rPr>
              <w:t>不得分。</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7" w:hRule="atLeast"/>
          <w:jc w:val="center"/>
        </w:trPr>
        <w:tc>
          <w:tcPr>
            <w:tcW w:w="75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73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结转结余</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根据市政府文件规定，预算单位年度安排的市级预算资金不能结转。</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市本级资金无结转，计2分；有结转，不计分；</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82" w:hRule="atLeast"/>
          <w:jc w:val="center"/>
        </w:trPr>
        <w:tc>
          <w:tcPr>
            <w:tcW w:w="759" w:type="dxa"/>
            <w:vMerge w:val="continu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p>
        </w:tc>
        <w:tc>
          <w:tcPr>
            <w:tcW w:w="739" w:type="dxa"/>
            <w:vMerge w:val="continu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三公</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7"/>
                <w:rFonts w:hint="default" w:ascii="Times New Roman" w:hAnsi="Times New Roman" w:eastAsia="宋体" w:cs="Times New Roman"/>
                <w:sz w:val="20"/>
                <w:szCs w:val="20"/>
                <w:lang w:val="en-US" w:eastAsia="zh-CN" w:bidi="ar"/>
              </w:rPr>
            </w:pPr>
            <w:r>
              <w:rPr>
                <w:rStyle w:val="6"/>
                <w:rFonts w:hint="default" w:ascii="Times New Roman" w:hAnsi="Times New Roman" w:cs="Times New Roman"/>
                <w:sz w:val="20"/>
                <w:szCs w:val="20"/>
                <w:lang w:val="en-US" w:eastAsia="zh-CN" w:bidi="ar"/>
              </w:rPr>
              <w:t>经费</w:t>
            </w:r>
            <w:r>
              <w:rPr>
                <w:rStyle w:val="7"/>
                <w:rFonts w:hint="default" w:ascii="Times New Roman" w:hAnsi="Times New Roman" w:eastAsia="宋体"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控制率</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三公经费</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控制率</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三公经费</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实际支出数</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三公经费</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预算安排数）</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。不超当年预算，不超上年决算。</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三公经费</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控制率</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以下（含）计</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分，每超出</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扣</w:t>
            </w:r>
            <w:r>
              <w:rPr>
                <w:rStyle w:val="7"/>
                <w:rFonts w:hint="default" w:ascii="Times New Roman" w:hAnsi="Times New Roman" w:eastAsia="宋体" w:cs="Times New Roman"/>
                <w:sz w:val="20"/>
                <w:szCs w:val="20"/>
                <w:lang w:val="en-US" w:eastAsia="zh-CN" w:bidi="ar"/>
              </w:rPr>
              <w:t>0.15</w:t>
            </w:r>
            <w:r>
              <w:rPr>
                <w:rStyle w:val="6"/>
                <w:rFonts w:hint="default" w:ascii="Times New Roman" w:hAnsi="Times New Roman" w:cs="Times New Roman"/>
                <w:sz w:val="20"/>
                <w:szCs w:val="20"/>
                <w:lang w:val="en-US" w:eastAsia="zh-CN" w:bidi="ar"/>
              </w:rPr>
              <w:t>分，扣完为止。</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7"/>
                <w:rFonts w:hint="default" w:ascii="Times New Roman" w:hAnsi="Times New Roman" w:eastAsia="宋体" w:cs="Times New Roman"/>
                <w:sz w:val="20"/>
                <w:szCs w:val="20"/>
                <w:lang w:val="en-US" w:eastAsia="zh-CN" w:bidi="ar"/>
              </w:rPr>
            </w:pPr>
            <w:r>
              <w:rPr>
                <w:rStyle w:val="7"/>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20" w:hRule="atLeast"/>
          <w:jc w:val="center"/>
        </w:trPr>
        <w:tc>
          <w:tcPr>
            <w:tcW w:w="75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73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政府采购</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执行率和</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规范性</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政府采购执行率</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（实际政府采购金额</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政府采购预算数）</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pacing w:val="-6"/>
                <w:sz w:val="20"/>
                <w:szCs w:val="20"/>
                <w:lang w:val="en-US" w:eastAsia="zh-CN" w:bidi="ar"/>
              </w:rPr>
              <w:t>政府采购预算：采购机关根据事业发展计划和行政任务编制的、并经过规定程序批准的年度政府采购计划。</w:t>
            </w:r>
            <w:r>
              <w:rPr>
                <w:rStyle w:val="6"/>
                <w:rFonts w:hint="default" w:ascii="Times New Roman" w:hAnsi="Times New Roman"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预算单位严格执行《中华人民共和国政府采购法》，无规避政府采购或化整为零进行政府采购的行为。所有项目必须依法采购，履行验收手续。</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政府采购执行率</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分，每超过（降低）</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扣</w:t>
            </w:r>
            <w:r>
              <w:rPr>
                <w:rStyle w:val="7"/>
                <w:rFonts w:hint="default" w:ascii="Times New Roman" w:hAnsi="Times New Roman" w:eastAsia="宋体" w:cs="Times New Roman"/>
                <w:sz w:val="20"/>
                <w:szCs w:val="20"/>
                <w:lang w:val="en-US" w:eastAsia="zh-CN" w:bidi="ar"/>
              </w:rPr>
              <w:t>0.1</w:t>
            </w:r>
            <w:r>
              <w:rPr>
                <w:rStyle w:val="6"/>
                <w:rFonts w:hint="default" w:ascii="Times New Roman" w:hAnsi="Times New Roman" w:cs="Times New Roman"/>
                <w:sz w:val="20"/>
                <w:szCs w:val="20"/>
                <w:lang w:val="en-US" w:eastAsia="zh-CN" w:bidi="ar"/>
              </w:rPr>
              <w:t>分，扣完为止。</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所有项目依法采购，无规避政府采购或化整为零进行政府采购的行为，并履行验收手续计1分，否则不得分。</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12" w:hRule="atLeast"/>
          <w:jc w:val="center"/>
        </w:trPr>
        <w:tc>
          <w:tcPr>
            <w:tcW w:w="75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739"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预算</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管理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20</w:t>
            </w:r>
            <w:r>
              <w:rPr>
                <w:rStyle w:val="6"/>
                <w:rFonts w:hint="default" w:ascii="Times New Roman" w:hAnsi="Times New Roman" w:cs="Times New Roman"/>
                <w:sz w:val="20"/>
                <w:szCs w:val="20"/>
                <w:lang w:val="en-US" w:eastAsia="zh-CN" w:bidi="ar"/>
              </w:rPr>
              <w:t>分）</w:t>
            </w: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管理制度</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健全性</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①部门（单位）内控制度、内部财务管理制度和会计核算制度是否健全；</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②相关管理制度是否合法、合规、完整；</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③相关管理制度是否得到有效执行。</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①部门（单位）内控制度、内部财务管理制度和会计核算制度健全，计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分，否则酌情扣分；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②管理制度合法、合规、完整，计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分，否则酌情扣分；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③管理制度得到有效执行，计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例不符合扣</w:t>
            </w:r>
            <w:r>
              <w:rPr>
                <w:rStyle w:val="7"/>
                <w:rFonts w:hint="default" w:ascii="Times New Roman" w:hAnsi="Times New Roman" w:eastAsia="宋体" w:cs="Times New Roman"/>
                <w:sz w:val="20"/>
                <w:szCs w:val="20"/>
                <w:lang w:val="en-US" w:eastAsia="zh-CN" w:bidi="ar"/>
              </w:rPr>
              <w:t>0.2</w:t>
            </w:r>
            <w:r>
              <w:rPr>
                <w:rStyle w:val="6"/>
                <w:rFonts w:hint="default" w:ascii="Times New Roman" w:hAnsi="Times New Roman" w:cs="Times New Roman"/>
                <w:sz w:val="20"/>
                <w:szCs w:val="20"/>
                <w:lang w:val="en-US" w:eastAsia="zh-CN" w:bidi="ar"/>
              </w:rPr>
              <w:t>分。</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75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73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资金使用</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合规性</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①是否符合国家财经法规和财务管理制度以及有关专项资金管理办法的规定；</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②资金的支付是否有完整的审批程序和手续；</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③重大项目开支和大额资金使用是否经单位党组集体研究决策；</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④是否符合项目预算批复或合同规定的用途；</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⑤是否存在截留、挤占、挪用、虚列支出等情况；</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⑥是否存在重复申报项目、虚报冒领资金。</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①符合国家财经法规和财务管理制度以及有关专项资金管理办法的规定，计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例不符合扣</w:t>
            </w:r>
            <w:r>
              <w:rPr>
                <w:rStyle w:val="7"/>
                <w:rFonts w:hint="default" w:ascii="Times New Roman" w:hAnsi="Times New Roman" w:eastAsia="宋体" w:cs="Times New Roman"/>
                <w:sz w:val="20"/>
                <w:szCs w:val="20"/>
                <w:lang w:val="en-US" w:eastAsia="zh-CN" w:bidi="ar"/>
              </w:rPr>
              <w:t>0.2</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②资金的支付有完整的审批程序和手续，计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例不符合扣</w:t>
            </w:r>
            <w:r>
              <w:rPr>
                <w:rStyle w:val="7"/>
                <w:rFonts w:hint="default" w:ascii="Times New Roman" w:hAnsi="Times New Roman" w:eastAsia="宋体" w:cs="Times New Roman"/>
                <w:sz w:val="20"/>
                <w:szCs w:val="20"/>
                <w:lang w:val="en-US" w:eastAsia="zh-CN" w:bidi="ar"/>
              </w:rPr>
              <w:t>0.2</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③重大项目开支和大额资金使用经过单位党组集体研究决策，计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例不符合扣</w:t>
            </w:r>
            <w:r>
              <w:rPr>
                <w:rStyle w:val="7"/>
                <w:rFonts w:hint="default" w:ascii="Times New Roman" w:hAnsi="Times New Roman" w:eastAsia="宋体" w:cs="Times New Roman"/>
                <w:sz w:val="20"/>
                <w:szCs w:val="20"/>
                <w:lang w:val="en-US" w:eastAsia="zh-CN" w:bidi="ar"/>
              </w:rPr>
              <w:t>0.2</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④符合项目预算批复或合同规定的用途，计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例不符合扣</w:t>
            </w:r>
            <w:r>
              <w:rPr>
                <w:rStyle w:val="7"/>
                <w:rFonts w:hint="default" w:ascii="Times New Roman" w:hAnsi="Times New Roman" w:eastAsia="宋体" w:cs="Times New Roman"/>
                <w:sz w:val="20"/>
                <w:szCs w:val="20"/>
                <w:lang w:val="en-US" w:eastAsia="zh-CN" w:bidi="ar"/>
              </w:rPr>
              <w:t>0.2</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⑤不存在截留、挤占、挪用、虚列支出等情况，计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例不符合本指标</w:t>
            </w:r>
            <w:r>
              <w:rPr>
                <w:rStyle w:val="7"/>
                <w:rFonts w:hint="default" w:ascii="Times New Roman" w:hAnsi="Times New Roman" w:eastAsia="宋体" w:cs="Times New Roman"/>
                <w:sz w:val="20"/>
                <w:szCs w:val="20"/>
                <w:lang w:val="en-US" w:eastAsia="zh-CN" w:bidi="ar"/>
              </w:rPr>
              <w:t>6</w:t>
            </w:r>
            <w:r>
              <w:rPr>
                <w:rStyle w:val="6"/>
                <w:rFonts w:hint="default" w:ascii="Times New Roman" w:hAnsi="Times New Roman" w:cs="Times New Roman"/>
                <w:sz w:val="20"/>
                <w:szCs w:val="20"/>
                <w:lang w:val="en-US" w:eastAsia="zh-CN" w:bidi="ar"/>
              </w:rPr>
              <w:t>分全扣；</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⑥</w:t>
            </w:r>
            <w:r>
              <w:rPr>
                <w:rStyle w:val="6"/>
                <w:rFonts w:hint="default" w:ascii="Times New Roman" w:hAnsi="Times New Roman" w:cs="Times New Roman"/>
                <w:spacing w:val="-6"/>
                <w:sz w:val="20"/>
                <w:szCs w:val="20"/>
                <w:lang w:val="en-US" w:eastAsia="zh-CN" w:bidi="ar"/>
              </w:rPr>
              <w:t>不存在重复申报项目、虚报冒领资金，计</w:t>
            </w:r>
            <w:r>
              <w:rPr>
                <w:rStyle w:val="7"/>
                <w:rFonts w:hint="default" w:ascii="Times New Roman" w:hAnsi="Times New Roman" w:eastAsia="宋体" w:cs="Times New Roman"/>
                <w:spacing w:val="-6"/>
                <w:sz w:val="20"/>
                <w:szCs w:val="20"/>
                <w:lang w:val="en-US" w:eastAsia="zh-CN" w:bidi="ar"/>
              </w:rPr>
              <w:t>1</w:t>
            </w:r>
            <w:r>
              <w:rPr>
                <w:rStyle w:val="6"/>
                <w:rFonts w:hint="default" w:ascii="Times New Roman" w:hAnsi="Times New Roman" w:cs="Times New Roman"/>
                <w:spacing w:val="-6"/>
                <w:sz w:val="20"/>
                <w:szCs w:val="20"/>
                <w:lang w:val="en-US" w:eastAsia="zh-CN" w:bidi="ar"/>
              </w:rPr>
              <w:t>分，</w:t>
            </w:r>
            <w:r>
              <w:rPr>
                <w:rStyle w:val="7"/>
                <w:rFonts w:hint="default" w:ascii="Times New Roman" w:hAnsi="Times New Roman" w:eastAsia="宋体" w:cs="Times New Roman"/>
                <w:spacing w:val="-6"/>
                <w:sz w:val="20"/>
                <w:szCs w:val="20"/>
                <w:lang w:val="en-US" w:eastAsia="zh-CN" w:bidi="ar"/>
              </w:rPr>
              <w:t>1</w:t>
            </w:r>
            <w:r>
              <w:rPr>
                <w:rStyle w:val="6"/>
                <w:rFonts w:hint="default" w:ascii="Times New Roman" w:hAnsi="Times New Roman" w:cs="Times New Roman"/>
                <w:spacing w:val="-6"/>
                <w:sz w:val="20"/>
                <w:szCs w:val="20"/>
                <w:lang w:val="en-US" w:eastAsia="zh-CN" w:bidi="ar"/>
              </w:rPr>
              <w:t>例不符合本指标6分全扣；</w:t>
            </w:r>
            <w:r>
              <w:rPr>
                <w:rStyle w:val="6"/>
                <w:rFonts w:hint="default" w:ascii="Times New Roman" w:hAnsi="Times New Roman"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⑦违规情况特别严重的，重点绩效评价等级定为“差”。</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80" w:hRule="atLeast"/>
          <w:jc w:val="center"/>
        </w:trPr>
        <w:tc>
          <w:tcPr>
            <w:tcW w:w="759" w:type="dxa"/>
            <w:vMerge w:val="restart"/>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过程</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40</w:t>
            </w:r>
            <w:r>
              <w:rPr>
                <w:rStyle w:val="6"/>
                <w:rFonts w:hint="default" w:ascii="Times New Roman" w:hAnsi="Times New Roman" w:cs="Times New Roman"/>
                <w:sz w:val="20"/>
                <w:szCs w:val="20"/>
                <w:lang w:val="en-US" w:eastAsia="zh-CN" w:bidi="ar"/>
              </w:rPr>
              <w:t>分）</w:t>
            </w:r>
          </w:p>
        </w:tc>
        <w:tc>
          <w:tcPr>
            <w:tcW w:w="739"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2"/>
                <w:sz w:val="20"/>
                <w:szCs w:val="20"/>
                <w:u w:val="none"/>
                <w:lang w:val="en-US" w:eastAsia="zh-CN" w:bidi="ar-SA"/>
              </w:rPr>
            </w:pPr>
            <w:r>
              <w:rPr>
                <w:rStyle w:val="6"/>
                <w:rFonts w:hint="default" w:ascii="Times New Roman" w:hAnsi="Times New Roman" w:cs="Times New Roman"/>
                <w:sz w:val="20"/>
                <w:szCs w:val="20"/>
                <w:lang w:val="en-US" w:eastAsia="zh-CN" w:bidi="ar"/>
              </w:rPr>
              <w:t>预算</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管理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20</w:t>
            </w:r>
            <w:r>
              <w:rPr>
                <w:rStyle w:val="6"/>
                <w:rFonts w:hint="default" w:ascii="Times New Roman" w:hAnsi="Times New Roman" w:cs="Times New Roman"/>
                <w:sz w:val="20"/>
                <w:szCs w:val="20"/>
                <w:lang w:val="en-US" w:eastAsia="zh-CN" w:bidi="ar"/>
              </w:rPr>
              <w:t>分）</w:t>
            </w: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信息</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公开性</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①预算单位按规定及时、准确、完整的公开预决算和绩效管理信息；</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②基础数据信息和会计信息资料真实、准确、完整；</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①、②各计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分，否则，酌情扣分；</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52" w:hRule="atLeast"/>
          <w:jc w:val="center"/>
        </w:trPr>
        <w:tc>
          <w:tcPr>
            <w:tcW w:w="75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73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绩效自评</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管理情况</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是否按要求开展绩效自评工作；②绩效自评报告报送及时；③绩效自评报告的综合评审等级；④绩效自评报告是否完整，数据是否全面、真实、准确，绩效指标是否细化量化和科学合理，绩效自评反映的问题是否具体，意见是否可行；</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根据市财政局2020年考核结果，评审为优，计</w:t>
            </w:r>
            <w:r>
              <w:rPr>
                <w:rStyle w:val="7"/>
                <w:rFonts w:hint="default" w:ascii="Times New Roman" w:hAnsi="Times New Roman" w:eastAsia="宋体" w:cs="Times New Roman"/>
                <w:sz w:val="20"/>
                <w:szCs w:val="20"/>
                <w:lang w:val="en-US" w:eastAsia="zh-CN" w:bidi="ar"/>
              </w:rPr>
              <w:t>4</w:t>
            </w:r>
            <w:r>
              <w:rPr>
                <w:rStyle w:val="6"/>
                <w:rFonts w:hint="default" w:ascii="Times New Roman" w:hAnsi="Times New Roman" w:cs="Times New Roman"/>
                <w:sz w:val="20"/>
                <w:szCs w:val="20"/>
                <w:lang w:val="en-US" w:eastAsia="zh-CN" w:bidi="ar"/>
              </w:rPr>
              <w:t>分；评审为良，计</w:t>
            </w:r>
            <w:r>
              <w:rPr>
                <w:rStyle w:val="7"/>
                <w:rFonts w:hint="default" w:ascii="Times New Roman" w:hAnsi="Times New Roman" w:eastAsia="宋体" w:cs="Times New Roman"/>
                <w:sz w:val="20"/>
                <w:szCs w:val="20"/>
                <w:lang w:val="en-US" w:eastAsia="zh-CN" w:bidi="ar"/>
              </w:rPr>
              <w:t>3</w:t>
            </w:r>
            <w:r>
              <w:rPr>
                <w:rStyle w:val="6"/>
                <w:rFonts w:hint="default" w:ascii="Times New Roman" w:hAnsi="Times New Roman" w:cs="Times New Roman"/>
                <w:sz w:val="20"/>
                <w:szCs w:val="20"/>
                <w:lang w:val="en-US" w:eastAsia="zh-CN" w:bidi="ar"/>
              </w:rPr>
              <w:t>分；评审为中，计</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分；评审为低，计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分；评审为差，计</w:t>
            </w:r>
            <w:r>
              <w:rPr>
                <w:rStyle w:val="7"/>
                <w:rFonts w:hint="default" w:ascii="Times New Roman" w:hAnsi="Times New Roman" w:eastAsia="宋体" w:cs="Times New Roman"/>
                <w:sz w:val="20"/>
                <w:szCs w:val="20"/>
                <w:lang w:val="en-US" w:eastAsia="zh-CN" w:bidi="ar"/>
              </w:rPr>
              <w:t>0</w:t>
            </w:r>
            <w:r>
              <w:rPr>
                <w:rStyle w:val="6"/>
                <w:rFonts w:hint="default" w:ascii="Times New Roman" w:hAnsi="Times New Roman" w:cs="Times New Roman"/>
                <w:sz w:val="20"/>
                <w:szCs w:val="20"/>
                <w:lang w:val="en-US" w:eastAsia="zh-CN" w:bidi="ar"/>
              </w:rPr>
              <w:t>分。</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13" w:hRule="atLeast"/>
          <w:jc w:val="center"/>
        </w:trPr>
        <w:tc>
          <w:tcPr>
            <w:tcW w:w="75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73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重点绩效评价整改情况</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对上年度财政重点评价中存在的问题是否进行整改。</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2019年重点评价问题全部整改，计</w:t>
            </w:r>
            <w:r>
              <w:rPr>
                <w:rStyle w:val="7"/>
                <w:rFonts w:hint="default" w:ascii="Times New Roman" w:hAnsi="Times New Roman" w:eastAsia="宋体" w:cs="Times New Roman"/>
                <w:sz w:val="20"/>
                <w:szCs w:val="20"/>
                <w:lang w:val="en-US" w:eastAsia="zh-CN" w:bidi="ar"/>
              </w:rPr>
              <w:t>5</w:t>
            </w:r>
            <w:r>
              <w:rPr>
                <w:rStyle w:val="6"/>
                <w:rFonts w:hint="default" w:ascii="Times New Roman" w:hAnsi="Times New Roman" w:cs="Times New Roman"/>
                <w:sz w:val="20"/>
                <w:szCs w:val="20"/>
                <w:lang w:val="en-US" w:eastAsia="zh-CN" w:bidi="ar"/>
              </w:rPr>
              <w:t>分；2019年重点评价问题部分整改，计</w:t>
            </w:r>
            <w:r>
              <w:rPr>
                <w:rStyle w:val="7"/>
                <w:rFonts w:hint="default" w:ascii="Times New Roman" w:hAnsi="Times New Roman" w:eastAsia="宋体" w:cs="Times New Roman"/>
                <w:sz w:val="20"/>
                <w:szCs w:val="20"/>
                <w:lang w:val="en-US" w:eastAsia="zh-CN" w:bidi="ar"/>
              </w:rPr>
              <w:t>3</w:t>
            </w:r>
            <w:r>
              <w:rPr>
                <w:rStyle w:val="6"/>
                <w:rFonts w:hint="default" w:ascii="Times New Roman" w:hAnsi="Times New Roman" w:cs="Times New Roman"/>
                <w:sz w:val="20"/>
                <w:szCs w:val="20"/>
                <w:lang w:val="en-US" w:eastAsia="zh-CN" w:bidi="ar"/>
              </w:rPr>
              <w:t>分；2019年重点评价问题未整改且无整改情况说明的不计分。</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72" w:hRule="atLeast"/>
          <w:jc w:val="center"/>
        </w:trPr>
        <w:tc>
          <w:tcPr>
            <w:tcW w:w="759" w:type="dxa"/>
            <w:vMerge w:val="continu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p>
        </w:tc>
        <w:tc>
          <w:tcPr>
            <w:tcW w:w="739"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资产</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管理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5</w:t>
            </w:r>
            <w:r>
              <w:rPr>
                <w:rStyle w:val="6"/>
                <w:rFonts w:hint="default" w:ascii="Times New Roman" w:hAnsi="Times New Roman" w:cs="Times New Roman"/>
                <w:sz w:val="20"/>
                <w:szCs w:val="20"/>
                <w:lang w:val="en-US" w:eastAsia="zh-CN" w:bidi="ar"/>
              </w:rPr>
              <w:t>分）</w:t>
            </w: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资产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管理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制度</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健全性</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①是否已制定合法、合规、完整的资产管理制度；</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②相关资产管理制度是否得到有效执行；</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③资产配置是否编制年度预算；</w:t>
            </w:r>
            <w:r>
              <w:rPr>
                <w:rStyle w:val="6"/>
                <w:rFonts w:hint="default" w:ascii="Times New Roman" w:hAnsi="Times New Roman"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④资产配置预算实际执行情况。</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①已制定合法、合规、完整的资产管理制度，计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分，否则不得分；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②相关资产管理制度得到有效执行，计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分，否则，不得分；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③资产管理编制年度预算，计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分，未编制不得分。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④资产配置预算实际执行情况未超年度预算（按程序审批除外），计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分，否则，不得分。</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87" w:hRule="atLeast"/>
          <w:jc w:val="center"/>
        </w:trPr>
        <w:tc>
          <w:tcPr>
            <w:tcW w:w="75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73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资产管理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安全性</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①资产保存是否完整并有台账；</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②资产配置是否合理；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③资产处置是否规范；</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④资产账务管理是否合规，是否账实相符；</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⑤资产是否有偿使用或处置收入及时足额上缴；</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⑥相关资产购置是否履行政府采购手续；</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⑦资产是否定期进行盘点并有记录。</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①资产配置合理符合标准、保管完整，账务管理规范，定期盘点并有台账，账实相符的，计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分，发现一例不符，扣</w:t>
            </w:r>
            <w:r>
              <w:rPr>
                <w:rStyle w:val="7"/>
                <w:rFonts w:hint="default" w:ascii="Times New Roman" w:hAnsi="Times New Roman" w:eastAsia="宋体" w:cs="Times New Roman"/>
                <w:sz w:val="20"/>
                <w:szCs w:val="20"/>
                <w:lang w:val="en-US" w:eastAsia="zh-CN" w:bidi="ar"/>
              </w:rPr>
              <w:t>0.1</w:t>
            </w:r>
            <w:r>
              <w:rPr>
                <w:rStyle w:val="6"/>
                <w:rFonts w:hint="default" w:ascii="Times New Roman" w:hAnsi="Times New Roman" w:cs="Times New Roman"/>
                <w:sz w:val="20"/>
                <w:szCs w:val="20"/>
                <w:lang w:val="en-US" w:eastAsia="zh-CN" w:bidi="ar"/>
              </w:rPr>
              <w:t>分，扣完为止；</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②资产处置规范，计0.5分，发现一例不符，扣0.1分，扣完为止；</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③资产有偿使用或处置收入及时足额上缴，计0.5分，发现未上缴，本项不得分；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④资产购置履行政府采购手续，计0.5分，发现一例不符，扣0.1分，扣完为止；</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13" w:hRule="atLeast"/>
          <w:jc w:val="center"/>
        </w:trPr>
        <w:tc>
          <w:tcPr>
            <w:tcW w:w="75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73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固定资产</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保管和使用情况</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①是否建立固定资产台账，实行编码管理；</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②固定资产增减变化是否建立审批程序；</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建了固定资产台账实行编码管理的计0.5分；建立了固定资产增减变化审批程序的计0.5分，否则不得分。</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28" w:hRule="atLeast"/>
          <w:jc w:val="center"/>
        </w:trPr>
        <w:tc>
          <w:tcPr>
            <w:tcW w:w="759" w:type="dxa"/>
            <w:vMerge w:val="restart"/>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val="en-US" w:eastAsia="zh-CN"/>
              </w:rPr>
              <w:t>（25分）</w:t>
            </w:r>
          </w:p>
        </w:tc>
        <w:tc>
          <w:tcPr>
            <w:tcW w:w="739" w:type="dxa"/>
            <w:vMerge w:val="restart"/>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职责</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履行</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（25分）</w:t>
            </w: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实际</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完成率</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部门履行职责而实际完成工作数与计划工作数的比率，用以反映和考核部门履职工作任务目标的实现程度。</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实际完成率=（实际完成工作数/计划工作数）*100%。实际完成工作数：一定时期（年度或规划期）内部门实际完成工作任务的数量。</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计划工作数：部门整体绩效目标确定的一定时期（年度或规划期）内预计完成工作任务的数量。</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37" w:hRule="atLeast"/>
          <w:jc w:val="center"/>
        </w:trPr>
        <w:tc>
          <w:tcPr>
            <w:tcW w:w="75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73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及时性</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部门在规定时限内及时完成的实际工作数与计划工作数的比率，用以反映和考核部门履职实效目标的实现程度。</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完成及时率=（及时完成实际工作数/计划工作数）*100%。及时完成工作数：部门按照整体绩效目标确定的时限实际完成的工作任务数量。</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80" w:hRule="atLeast"/>
          <w:jc w:val="center"/>
        </w:trPr>
        <w:tc>
          <w:tcPr>
            <w:tcW w:w="75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73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质量</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达标率</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达到质量标准（绩效标准值）的实际工作数与计划工作数的比率，用以反映和考核部门履职时效目标的实现程度。</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质量达标率=（质量达标实际工作数/计划工作数）*100%。质量达标实际工作数：一定时期（年度或规划期）内部门实际完成工作数中达到部门绩效目标要求（绩效标准值）的工作任务数量。</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25" w:hRule="atLeast"/>
          <w:jc w:val="center"/>
        </w:trPr>
        <w:tc>
          <w:tcPr>
            <w:tcW w:w="75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73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重点工作办结率</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6</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部门年度重点工作实际完成数与交办或下达数的比率，用以反映部门对重点工作的办理落实程度。</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重点工作办结率=（重点工作实际完成数/交办或下达数）*100%。重点工作是指党委、政府、人大、相关部门交办或下达的工作任务。</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9" w:hRule="atLeast"/>
          <w:jc w:val="center"/>
        </w:trPr>
        <w:tc>
          <w:tcPr>
            <w:tcW w:w="759" w:type="dxa"/>
            <w:vMerge w:val="restart"/>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效果</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val="en-US" w:eastAsia="zh-CN"/>
              </w:rPr>
              <w:t>（25分）</w:t>
            </w:r>
          </w:p>
        </w:tc>
        <w:tc>
          <w:tcPr>
            <w:tcW w:w="739" w:type="dxa"/>
            <w:vMerge w:val="restart"/>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履职</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效益</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（25分）</w:t>
            </w: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经济效益</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部门履行职责对经济发展所带来的直接或间接影响</w:t>
            </w:r>
          </w:p>
        </w:tc>
        <w:tc>
          <w:tcPr>
            <w:tcW w:w="3311"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此三项指标为设置部门整体支出绩效评价指标时必须考虑的共性要素，可根据部门实际并结合部门整体支出绩效目标设立情况有选择的进行设置，并将其细化为相应的个性化指标。</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9" w:hRule="atLeast"/>
          <w:jc w:val="center"/>
        </w:trPr>
        <w:tc>
          <w:tcPr>
            <w:tcW w:w="75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73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社会效益</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部门履行职责对社会发展所带来的直接或间接影响</w:t>
            </w:r>
          </w:p>
        </w:tc>
        <w:tc>
          <w:tcPr>
            <w:tcW w:w="3311" w:type="dxa"/>
            <w:vMerge w:val="continu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9" w:hRule="atLeast"/>
          <w:jc w:val="center"/>
        </w:trPr>
        <w:tc>
          <w:tcPr>
            <w:tcW w:w="75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73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生态效益</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部门履行职责对生态环境所带来的直接或间接影响</w:t>
            </w:r>
          </w:p>
        </w:tc>
        <w:tc>
          <w:tcPr>
            <w:tcW w:w="3311" w:type="dxa"/>
            <w:vMerge w:val="continu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9" w:hRule="atLeast"/>
          <w:jc w:val="center"/>
        </w:trPr>
        <w:tc>
          <w:tcPr>
            <w:tcW w:w="75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73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社会公众或服务对象满意度</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8</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社会公众或部门的服务对象对部门履职效果的满意程度</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社会公众或服务对象是指部门履行职责而影响到的部门、群体或个人。一般采取社会调查的方式。</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9" w:hRule="atLeast"/>
          <w:jc w:val="center"/>
        </w:trPr>
        <w:tc>
          <w:tcPr>
            <w:tcW w:w="759"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合计</w:t>
            </w:r>
          </w:p>
        </w:tc>
        <w:tc>
          <w:tcPr>
            <w:tcW w:w="739"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 xml:space="preserve"> </w:t>
            </w: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100</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98.8</w:t>
            </w:r>
          </w:p>
        </w:tc>
      </w:tr>
    </w:tbl>
    <w:p/>
    <w:p/>
    <w:p>
      <w:pPr>
        <w:widowControl/>
        <w:spacing w:line="600" w:lineRule="exact"/>
        <w:rPr>
          <w:rFonts w:hint="default" w:ascii="Times New Roman" w:hAnsi="Times New Roman" w:eastAsia="黑体" w:cs="Times New Roman"/>
          <w:kern w:val="0"/>
          <w:sz w:val="32"/>
          <w:szCs w:val="32"/>
        </w:rPr>
      </w:pPr>
    </w:p>
    <w:p>
      <w:pPr>
        <w:widowControl/>
        <w:spacing w:line="600" w:lineRule="exact"/>
        <w:rPr>
          <w:rFonts w:hint="default" w:ascii="Times New Roman" w:hAnsi="Times New Roman" w:eastAsia="黑体"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方正小标宋_GBK" w:cs="Times New Roman"/>
          <w:kern w:val="0"/>
          <w:sz w:val="36"/>
          <w:szCs w:val="36"/>
          <w:lang w:val="en-US"/>
        </w:rPr>
      </w:pPr>
      <w:r>
        <w:rPr>
          <w:rFonts w:hint="default" w:ascii="Times New Roman" w:hAnsi="Times New Roman" w:eastAsia="黑体" w:cs="Times New Roman"/>
          <w:kern w:val="0"/>
          <w:sz w:val="32"/>
          <w:szCs w:val="32"/>
          <w:lang w:eastAsia="zh-CN"/>
        </w:rPr>
        <w:t>附件</w:t>
      </w:r>
      <w:r>
        <w:rPr>
          <w:rFonts w:hint="eastAsia" w:eastAsia="黑体" w:cs="Times New Roman"/>
          <w:kern w:val="0"/>
          <w:sz w:val="32"/>
          <w:szCs w:val="32"/>
          <w:lang w:val="en-US" w:eastAsia="zh-CN"/>
        </w:rPr>
        <w:t>3</w:t>
      </w:r>
    </w:p>
    <w:p>
      <w:pPr>
        <w:widowControl/>
        <w:spacing w:line="600" w:lineRule="exact"/>
        <w:rPr>
          <w:rFonts w:hint="default" w:ascii="Times New Roman" w:hAnsi="Times New Roman" w:eastAsia="黑体" w:cs="Times New Roman"/>
          <w:kern w:val="0"/>
          <w:sz w:val="32"/>
          <w:szCs w:val="32"/>
          <w:lang w:val="en-US" w:eastAsia="zh-CN"/>
        </w:rPr>
      </w:pPr>
    </w:p>
    <w:p>
      <w:pPr>
        <w:jc w:val="left"/>
        <w:rPr>
          <w:rFonts w:hint="eastAsia" w:ascii="仿宋_GB2312" w:hAnsi="仿宋_GB2312" w:eastAsia="仿宋_GB2312" w:cs="仿宋_GB2312"/>
          <w:kern w:val="0"/>
          <w:sz w:val="32"/>
          <w:szCs w:val="32"/>
          <w:lang w:val="en-US" w:eastAsia="zh-CN"/>
        </w:rPr>
      </w:pPr>
    </w:p>
    <w:p>
      <w:pPr>
        <w:spacing w:line="600" w:lineRule="exact"/>
        <w:jc w:val="center"/>
        <w:rPr>
          <w:rFonts w:hint="eastAsia" w:ascii="仿宋_GB2312" w:hAnsi="仿宋_GB2312" w:eastAsia="仿宋_GB2312" w:cs="仿宋_GB2312"/>
          <w:b/>
          <w:bCs/>
          <w:sz w:val="44"/>
          <w:szCs w:val="44"/>
          <w:lang w:eastAsia="zh-CN"/>
        </w:rPr>
      </w:pPr>
      <w:r>
        <w:rPr>
          <w:rFonts w:hint="eastAsia" w:ascii="仿宋_GB2312" w:hAnsi="仿宋_GB2312" w:eastAsia="仿宋_GB2312" w:cs="仿宋_GB2312"/>
          <w:b/>
          <w:bCs/>
          <w:sz w:val="44"/>
          <w:szCs w:val="44"/>
          <w:lang w:val="en-US" w:eastAsia="zh-CN"/>
        </w:rPr>
        <w:t>2020</w:t>
      </w:r>
      <w:r>
        <w:rPr>
          <w:rFonts w:hint="eastAsia" w:ascii="仿宋_GB2312" w:hAnsi="仿宋_GB2312" w:eastAsia="仿宋_GB2312" w:cs="仿宋_GB2312"/>
          <w:b/>
          <w:bCs/>
          <w:sz w:val="44"/>
          <w:szCs w:val="44"/>
        </w:rPr>
        <w:t>年度</w:t>
      </w:r>
      <w:r>
        <w:rPr>
          <w:rFonts w:hint="eastAsia" w:ascii="仿宋_GB2312" w:hAnsi="仿宋_GB2312" w:eastAsia="仿宋_GB2312" w:cs="仿宋_GB2312"/>
          <w:b/>
          <w:bCs/>
          <w:sz w:val="44"/>
          <w:szCs w:val="44"/>
          <w:lang w:eastAsia="zh-CN"/>
        </w:rPr>
        <w:t>雨花区征收办</w:t>
      </w:r>
    </w:p>
    <w:p>
      <w:pPr>
        <w:spacing w:line="600" w:lineRule="exact"/>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部门整体支出预算绩效自评报告</w:t>
      </w:r>
    </w:p>
    <w:p>
      <w:pPr>
        <w:spacing w:line="600" w:lineRule="exact"/>
        <w:jc w:val="center"/>
        <w:rPr>
          <w:rFonts w:hint="eastAsia" w:ascii="仿宋_GB2312" w:hAnsi="仿宋_GB2312" w:eastAsia="仿宋_GB2312" w:cs="仿宋_GB2312"/>
          <w:b/>
          <w:bCs/>
          <w:sz w:val="44"/>
          <w:szCs w:val="44"/>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36"/>
          <w:szCs w:val="36"/>
        </w:rPr>
      </w:pPr>
      <w:r>
        <w:rPr>
          <w:rFonts w:hint="default" w:ascii="Times New Roman" w:hAnsi="Times New Roman" w:eastAsia="黑体" w:cs="Times New Roman"/>
          <w:sz w:val="36"/>
          <w:szCs w:val="36"/>
        </w:rPr>
        <w:t>单位名称（盖章）：</w:t>
      </w:r>
    </w:p>
    <w:p>
      <w:pPr>
        <w:jc w:val="center"/>
        <w:rPr>
          <w:rFonts w:hint="default" w:ascii="Times New Roman" w:hAnsi="Times New Roman" w:eastAsia="黑体" w:cs="Times New Roman"/>
          <w:sz w:val="36"/>
          <w:szCs w:val="36"/>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spacing w:line="600" w:lineRule="exact"/>
        <w:jc w:val="center"/>
        <w:rPr>
          <w:rFonts w:hint="eastAsia" w:ascii="仿宋_GB2312" w:hAnsi="仿宋_GB2312" w:eastAsia="仿宋_GB2312" w:cs="仿宋_GB2312"/>
          <w:b/>
          <w:bCs/>
          <w:sz w:val="44"/>
          <w:szCs w:val="44"/>
        </w:rPr>
      </w:pPr>
    </w:p>
    <w:p>
      <w:pPr>
        <w:spacing w:line="600" w:lineRule="exact"/>
        <w:jc w:val="center"/>
        <w:rPr>
          <w:rFonts w:hint="eastAsia" w:ascii="仿宋_GB2312" w:hAnsi="仿宋_GB2312" w:eastAsia="仿宋_GB2312" w:cs="仿宋_GB2312"/>
          <w:b/>
          <w:bCs/>
          <w:sz w:val="44"/>
          <w:szCs w:val="44"/>
        </w:rPr>
      </w:pPr>
    </w:p>
    <w:p>
      <w:pPr>
        <w:spacing w:line="600" w:lineRule="exact"/>
        <w:jc w:val="center"/>
        <w:rPr>
          <w:rFonts w:hint="eastAsia" w:ascii="仿宋_GB2312" w:hAnsi="仿宋_GB2312" w:eastAsia="仿宋_GB2312" w:cs="仿宋_GB2312"/>
          <w:b/>
          <w:bCs/>
          <w:sz w:val="44"/>
          <w:szCs w:val="44"/>
        </w:rPr>
      </w:pPr>
    </w:p>
    <w:p>
      <w:pPr>
        <w:spacing w:line="600" w:lineRule="exact"/>
        <w:jc w:val="center"/>
        <w:rPr>
          <w:rFonts w:hint="eastAsia" w:ascii="仿宋_GB2312" w:hAnsi="仿宋_GB2312" w:eastAsia="仿宋_GB2312" w:cs="仿宋_GB2312"/>
          <w:b/>
          <w:bCs/>
          <w:sz w:val="44"/>
          <w:szCs w:val="44"/>
        </w:rPr>
      </w:pPr>
    </w:p>
    <w:p>
      <w:pPr>
        <w:pStyle w:val="10"/>
        <w:keepNext w:val="0"/>
        <w:keepLines w:val="0"/>
        <w:pageBreakBefore w:val="0"/>
        <w:widowControl/>
        <w:kinsoku/>
        <w:wordWrap/>
        <w:overflowPunct/>
        <w:topLinePunct w:val="0"/>
        <w:autoSpaceDE/>
        <w:autoSpaceDN/>
        <w:bidi w:val="0"/>
        <w:adjustRightInd/>
        <w:snapToGrid/>
        <w:spacing w:line="520" w:lineRule="exact"/>
        <w:ind w:left="0" w:lef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一、部门、单位基本情况</w:t>
      </w:r>
    </w:p>
    <w:p>
      <w:pPr>
        <w:pStyle w:val="11"/>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长沙市雨花区城市房屋征收和补偿管理办公室（简称雨花区征收办）成立于2011年6月，归口长沙市雨花区城乡建设局管理，属全额拨款事业单位，正科级机构。2019年7月机构改革后，雨花区征收办成建制调整为长沙市雨花区城市人居环境局所属正科级一类事业单位，其他机构编制事项维持不变。</w:t>
      </w:r>
    </w:p>
    <w:p>
      <w:pPr>
        <w:pStyle w:val="11"/>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雨花区征收办主要负责全区国有土地上房屋的征收和补偿管理工作，共有编制16人，内设综合科、</w:t>
      </w:r>
      <w:r>
        <w:rPr>
          <w:rFonts w:hint="eastAsia" w:ascii="仿宋_GB2312" w:hAnsi="仿宋_GB2312" w:eastAsia="仿宋_GB2312" w:cs="仿宋_GB2312"/>
          <w:sz w:val="32"/>
          <w:szCs w:val="32"/>
          <w:lang w:eastAsia="zh-CN"/>
        </w:rPr>
        <w:t>财务科、</w:t>
      </w:r>
      <w:r>
        <w:rPr>
          <w:rFonts w:hint="eastAsia" w:ascii="仿宋_GB2312" w:hAnsi="仿宋_GB2312" w:eastAsia="仿宋_GB2312" w:cs="仿宋_GB2312"/>
          <w:sz w:val="32"/>
          <w:szCs w:val="32"/>
        </w:rPr>
        <w:t>征收科</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补偿科</w:t>
      </w:r>
      <w:r>
        <w:rPr>
          <w:rFonts w:hint="eastAsia" w:ascii="仿宋_GB2312" w:hAnsi="仿宋_GB2312" w:cs="仿宋_GB2312"/>
          <w:sz w:val="32"/>
          <w:szCs w:val="32"/>
          <w:lang w:eastAsia="zh-CN"/>
        </w:rPr>
        <w:t>和拆除科</w:t>
      </w:r>
      <w:r>
        <w:rPr>
          <w:rFonts w:hint="eastAsia" w:ascii="仿宋_GB2312" w:hAnsi="仿宋_GB2312" w:cs="仿宋_GB2312"/>
          <w:sz w:val="32"/>
          <w:szCs w:val="32"/>
          <w:lang w:val="en-US" w:eastAsia="zh-CN"/>
        </w:rPr>
        <w:t>5</w:t>
      </w:r>
      <w:r>
        <w:rPr>
          <w:rFonts w:hint="eastAsia" w:ascii="仿宋_GB2312" w:hAnsi="仿宋_GB2312" w:eastAsia="仿宋_GB2312" w:cs="仿宋_GB2312"/>
          <w:sz w:val="32"/>
          <w:szCs w:val="32"/>
        </w:rPr>
        <w:t>个科室。</w:t>
      </w:r>
      <w:r>
        <w:rPr>
          <w:rFonts w:hint="eastAsia" w:ascii="仿宋_GB2312" w:hAnsi="仿宋_GB2312" w:cs="仿宋_GB2312"/>
          <w:sz w:val="32"/>
          <w:szCs w:val="32"/>
          <w:lang w:eastAsia="zh-CN"/>
        </w:rPr>
        <w:t>截</w:t>
      </w:r>
      <w:r>
        <w:rPr>
          <w:rFonts w:hint="eastAsia" w:ascii="仿宋_GB2312" w:hAnsi="仿宋_GB2312" w:eastAsia="仿宋_GB2312" w:cs="仿宋_GB2312"/>
          <w:sz w:val="32"/>
          <w:szCs w:val="32"/>
          <w:lang w:eastAsia="zh-CN"/>
        </w:rPr>
        <w:t>至</w:t>
      </w:r>
      <w:r>
        <w:rPr>
          <w:rFonts w:hint="eastAsia" w:ascii="仿宋_GB2312" w:hAnsi="仿宋_GB2312" w:eastAsia="仿宋_GB2312" w:cs="仿宋_GB2312"/>
          <w:sz w:val="32"/>
          <w:szCs w:val="32"/>
          <w:lang w:val="en-US" w:eastAsia="zh-CN"/>
        </w:rPr>
        <w:t>20</w:t>
      </w:r>
      <w:r>
        <w:rPr>
          <w:rFonts w:hint="eastAsia" w:ascii="仿宋_GB2312" w:hAnsi="仿宋_GB2312" w:cs="仿宋_GB2312"/>
          <w:sz w:val="32"/>
          <w:szCs w:val="32"/>
          <w:lang w:val="en-US" w:eastAsia="zh-CN"/>
        </w:rPr>
        <w:t>20</w:t>
      </w:r>
      <w:r>
        <w:rPr>
          <w:rFonts w:hint="eastAsia" w:ascii="仿宋_GB2312" w:hAnsi="仿宋_GB2312" w:eastAsia="仿宋_GB2312" w:cs="仿宋_GB2312"/>
          <w:sz w:val="32"/>
          <w:szCs w:val="32"/>
          <w:lang w:val="en-US" w:eastAsia="zh-CN"/>
        </w:rPr>
        <w:t>年底</w:t>
      </w:r>
      <w:r>
        <w:rPr>
          <w:rFonts w:hint="eastAsia" w:ascii="仿宋_GB2312" w:hAnsi="仿宋_GB2312" w:eastAsia="仿宋_GB2312" w:cs="仿宋_GB2312"/>
          <w:sz w:val="32"/>
          <w:szCs w:val="32"/>
        </w:rPr>
        <w:t>共有在岗在编人员1</w:t>
      </w:r>
      <w:r>
        <w:rPr>
          <w:rFonts w:hint="eastAsia" w:ascii="仿宋_GB2312" w:hAnsi="仿宋_GB2312" w:cs="仿宋_GB2312"/>
          <w:sz w:val="32"/>
          <w:szCs w:val="32"/>
          <w:lang w:val="en-US" w:eastAsia="zh-CN"/>
        </w:rPr>
        <w:t>7</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政府雇员</w:t>
      </w: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rPr>
        <w:t>人，纳入财政综合预算。</w:t>
      </w:r>
    </w:p>
    <w:p>
      <w:pPr>
        <w:pStyle w:val="11"/>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雨花区征收办主要职能：负责组织实施雨花区行政区域国有城市土地上的房屋征收与补偿工作；对房屋征收实施单位在委托范围内实施的房屋征收与补偿行为负责监督，并对其行为后果承担法律责任；对符合国务院590号令《国有土地上房屋征收与补偿条例》、《长沙市国有土地上房屋征收与补偿办法》（长沙市116号令）的征收项目资料进行审核，组织人员对房屋征收范围内房屋的权属、区位、用途、建筑面积等情况调查登记并公告；拟定征收补偿方案并公告；参与征收项目社会稳定风险评估的论证；发布征收补偿决定并公告；签订征收补偿协议；负责对未达成协议征收户分户补偿方案的公告并送达；对征收房屋的拆除监管和补偿合同的备案审核；组织全区征收补偿工作人员进行政策宣传和业务培训；指导、协调和服务各街道、社区的征收裣工作；及完成上级交付的有关工作任务。</w:t>
      </w:r>
    </w:p>
    <w:p>
      <w:pPr>
        <w:pStyle w:val="11"/>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是“十三五”规划收官之年，</w:t>
      </w:r>
      <w:r>
        <w:rPr>
          <w:rFonts w:hint="eastAsia" w:ascii="仿宋_GB2312" w:eastAsia="仿宋_GB2312"/>
          <w:sz w:val="32"/>
          <w:szCs w:val="32"/>
        </w:rPr>
        <w:t>在区委、区政府的正确领导</w:t>
      </w:r>
      <w:r>
        <w:rPr>
          <w:rFonts w:hint="eastAsia" w:ascii="仿宋_GB2312" w:hAnsi="仿宋" w:eastAsia="仿宋_GB2312"/>
          <w:sz w:val="32"/>
          <w:szCs w:val="32"/>
        </w:rPr>
        <w:t>和大力支持下，</w:t>
      </w:r>
      <w:r>
        <w:rPr>
          <w:rFonts w:hint="eastAsia" w:ascii="仿宋_GB2312" w:hAnsi="仿宋"/>
          <w:sz w:val="32"/>
          <w:szCs w:val="32"/>
          <w:lang w:eastAsia="zh-CN"/>
        </w:rPr>
        <w:t>雨花</w:t>
      </w:r>
      <w:r>
        <w:rPr>
          <w:rFonts w:hint="eastAsia" w:ascii="仿宋_GB2312" w:hAnsi="仿宋" w:eastAsia="仿宋_GB2312"/>
          <w:sz w:val="32"/>
          <w:szCs w:val="32"/>
        </w:rPr>
        <w:t>区征收办以“习近平新时代中国特色社会主义思想”为指引，紧扣建设“</w:t>
      </w:r>
      <w:r>
        <w:rPr>
          <w:rFonts w:hint="eastAsia" w:ascii="仿宋_GB2312" w:hAnsi="仿宋" w:eastAsia="仿宋_GB2312"/>
          <w:sz w:val="32"/>
          <w:szCs w:val="32"/>
          <w:lang w:val="en-US" w:eastAsia="zh-CN"/>
        </w:rPr>
        <w:t>聚焦发展、奋力攻坚、为高质量建设财富品质幸福</w:t>
      </w:r>
      <w:r>
        <w:rPr>
          <w:rFonts w:hint="eastAsia" w:ascii="仿宋_GB2312" w:eastAsia="仿宋_GB2312"/>
          <w:sz w:val="32"/>
          <w:szCs w:val="32"/>
          <w:lang w:val="en-US" w:eastAsia="zh-CN"/>
        </w:rPr>
        <w:t>雨花而接续奋斗</w:t>
      </w:r>
      <w:r>
        <w:rPr>
          <w:rFonts w:hint="eastAsia" w:ascii="仿宋_GB2312" w:eastAsia="仿宋_GB2312"/>
          <w:sz w:val="32"/>
          <w:szCs w:val="32"/>
        </w:rPr>
        <w:t>”工作主题，</w:t>
      </w:r>
      <w:r>
        <w:rPr>
          <w:rFonts w:hint="eastAsia" w:ascii="仿宋_GB2312" w:hAnsi="仿宋" w:eastAsia="仿宋_GB2312"/>
          <w:sz w:val="32"/>
          <w:szCs w:val="32"/>
        </w:rPr>
        <w:t>咬定目标、突出重点、攻坚克难，在棚户区改造和基础设施建设征收领域取得了重大突破，成效显著。</w:t>
      </w:r>
    </w:p>
    <w:p>
      <w:pPr>
        <w:pStyle w:val="11"/>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color w:val="auto"/>
          <w:sz w:val="32"/>
          <w:szCs w:val="32"/>
        </w:rPr>
        <w:t>雨花区征收办</w:t>
      </w:r>
      <w:r>
        <w:rPr>
          <w:rFonts w:hint="eastAsia" w:ascii="仿宋_GB2312" w:hAnsi="仿宋_GB2312" w:eastAsia="仿宋_GB2312" w:cs="仿宋_GB2312"/>
          <w:color w:val="auto"/>
          <w:sz w:val="32"/>
          <w:szCs w:val="32"/>
          <w:lang w:val="en-US" w:eastAsia="zh-CN"/>
        </w:rPr>
        <w:t>20</w:t>
      </w:r>
      <w:r>
        <w:rPr>
          <w:rFonts w:hint="eastAsia" w:ascii="仿宋_GB2312" w:hAnsi="仿宋_GB2312" w:cs="仿宋_GB2312"/>
          <w:color w:val="auto"/>
          <w:sz w:val="32"/>
          <w:szCs w:val="32"/>
          <w:lang w:val="en-US" w:eastAsia="zh-CN"/>
        </w:rPr>
        <w:t>20</w:t>
      </w:r>
      <w:r>
        <w:rPr>
          <w:rFonts w:hint="eastAsia" w:ascii="仿宋_GB2312" w:hAnsi="仿宋_GB2312" w:eastAsia="仿宋_GB2312" w:cs="仿宋_GB2312"/>
          <w:color w:val="auto"/>
          <w:sz w:val="32"/>
          <w:szCs w:val="32"/>
        </w:rPr>
        <w:t>年</w:t>
      </w:r>
      <w:r>
        <w:rPr>
          <w:rFonts w:hint="eastAsia" w:ascii="仿宋_GB2312" w:hAnsi="仿宋_GB2312" w:cs="仿宋_GB2312"/>
          <w:color w:val="auto"/>
          <w:sz w:val="32"/>
          <w:szCs w:val="32"/>
          <w:lang w:eastAsia="zh-CN"/>
        </w:rPr>
        <w:t>初</w:t>
      </w:r>
      <w:r>
        <w:rPr>
          <w:rFonts w:hint="eastAsia" w:ascii="仿宋_GB2312" w:hAnsi="仿宋_GB2312" w:eastAsia="仿宋_GB2312" w:cs="仿宋_GB2312"/>
          <w:color w:val="auto"/>
          <w:sz w:val="32"/>
          <w:szCs w:val="32"/>
        </w:rPr>
        <w:t>预算</w:t>
      </w:r>
      <w:r>
        <w:rPr>
          <w:rFonts w:hint="eastAsia" w:ascii="仿宋_GB2312" w:hAnsi="仿宋_GB2312" w:cs="仿宋_GB2312"/>
          <w:color w:val="auto"/>
          <w:sz w:val="32"/>
          <w:szCs w:val="32"/>
          <w:lang w:eastAsia="zh-CN"/>
        </w:rPr>
        <w:t>批复</w:t>
      </w:r>
      <w:r>
        <w:rPr>
          <w:rFonts w:hint="eastAsia" w:ascii="仿宋_GB2312" w:hAnsi="仿宋_GB2312" w:eastAsia="仿宋_GB2312" w:cs="仿宋_GB2312"/>
          <w:color w:val="auto"/>
          <w:sz w:val="32"/>
          <w:szCs w:val="32"/>
        </w:rPr>
        <w:t>数为</w:t>
      </w:r>
      <w:r>
        <w:rPr>
          <w:rFonts w:hint="eastAsia" w:ascii="仿宋_GB2312" w:hAnsi="仿宋_GB2312" w:cs="仿宋_GB2312"/>
          <w:color w:val="auto"/>
          <w:sz w:val="32"/>
          <w:szCs w:val="32"/>
          <w:lang w:val="en-US" w:eastAsia="zh-CN"/>
        </w:rPr>
        <w:t>601.73</w:t>
      </w:r>
      <w:r>
        <w:rPr>
          <w:rFonts w:hint="eastAsia" w:ascii="仿宋_GB2312" w:hAnsi="仿宋_GB2312" w:eastAsia="仿宋_GB2312" w:cs="仿宋_GB2312"/>
          <w:color w:val="auto"/>
          <w:sz w:val="32"/>
          <w:szCs w:val="32"/>
        </w:rPr>
        <w:t>万元。其中，基本支出</w:t>
      </w:r>
      <w:r>
        <w:rPr>
          <w:rFonts w:hint="eastAsia" w:ascii="仿宋_GB2312" w:hAnsi="仿宋_GB2312" w:cs="仿宋_GB2312"/>
          <w:color w:val="auto"/>
          <w:sz w:val="32"/>
          <w:szCs w:val="32"/>
          <w:lang w:val="en-US" w:eastAsia="zh-CN"/>
        </w:rPr>
        <w:t>495.73</w:t>
      </w:r>
      <w:r>
        <w:rPr>
          <w:rFonts w:hint="eastAsia" w:ascii="仿宋_GB2312" w:hAnsi="仿宋_GB2312" w:eastAsia="仿宋_GB2312" w:cs="仿宋_GB2312"/>
          <w:color w:val="auto"/>
          <w:sz w:val="32"/>
          <w:szCs w:val="32"/>
        </w:rPr>
        <w:t>万元（含工资福利支出</w:t>
      </w:r>
      <w:r>
        <w:rPr>
          <w:rFonts w:hint="eastAsia" w:ascii="仿宋_GB2312" w:hAnsi="仿宋_GB2312" w:cs="仿宋_GB2312"/>
          <w:color w:val="auto"/>
          <w:sz w:val="32"/>
          <w:szCs w:val="32"/>
          <w:lang w:val="en-US" w:eastAsia="zh-CN"/>
        </w:rPr>
        <w:t>453.94</w:t>
      </w:r>
      <w:r>
        <w:rPr>
          <w:rFonts w:hint="eastAsia" w:ascii="仿宋_GB2312" w:hAnsi="仿宋_GB2312" w:eastAsia="仿宋_GB2312" w:cs="仿宋_GB2312"/>
          <w:color w:val="auto"/>
          <w:sz w:val="32"/>
          <w:szCs w:val="32"/>
        </w:rPr>
        <w:t>万元，商品和服务支出</w:t>
      </w:r>
      <w:r>
        <w:rPr>
          <w:rFonts w:hint="eastAsia" w:ascii="仿宋_GB2312" w:hAnsi="仿宋_GB2312" w:cs="仿宋_GB2312"/>
          <w:color w:val="auto"/>
          <w:sz w:val="32"/>
          <w:szCs w:val="32"/>
          <w:lang w:val="en-US" w:eastAsia="zh-CN"/>
        </w:rPr>
        <w:t>41.71</w:t>
      </w:r>
      <w:r>
        <w:rPr>
          <w:rFonts w:hint="eastAsia" w:ascii="仿宋_GB2312" w:hAnsi="仿宋_GB2312" w:eastAsia="仿宋_GB2312" w:cs="仿宋_GB2312"/>
          <w:color w:val="auto"/>
          <w:sz w:val="32"/>
          <w:szCs w:val="32"/>
        </w:rPr>
        <w:t>万元，对个人和家庭补助支出</w:t>
      </w:r>
      <w:r>
        <w:rPr>
          <w:rFonts w:hint="eastAsia" w:ascii="仿宋_GB2312" w:hAnsi="仿宋_GB2312" w:cs="仿宋_GB2312"/>
          <w:color w:val="auto"/>
          <w:sz w:val="32"/>
          <w:szCs w:val="32"/>
          <w:lang w:val="en-US" w:eastAsia="zh-CN"/>
        </w:rPr>
        <w:t>0.08</w:t>
      </w:r>
      <w:r>
        <w:rPr>
          <w:rFonts w:hint="eastAsia" w:ascii="仿宋_GB2312" w:hAnsi="仿宋_GB2312" w:eastAsia="仿宋_GB2312" w:cs="仿宋_GB2312"/>
          <w:color w:val="auto"/>
          <w:sz w:val="32"/>
          <w:szCs w:val="32"/>
        </w:rPr>
        <w:t>万元），项目支出</w:t>
      </w:r>
      <w:r>
        <w:rPr>
          <w:rFonts w:hint="eastAsia" w:ascii="仿宋_GB2312" w:hAnsi="仿宋_GB2312" w:cs="仿宋_GB2312"/>
          <w:color w:val="auto"/>
          <w:sz w:val="32"/>
          <w:szCs w:val="32"/>
          <w:lang w:val="en-US" w:eastAsia="zh-CN"/>
        </w:rPr>
        <w:t>106</w:t>
      </w:r>
      <w:r>
        <w:rPr>
          <w:rFonts w:hint="eastAsia" w:ascii="仿宋_GB2312" w:hAnsi="仿宋_GB2312" w:eastAsia="仿宋_GB2312" w:cs="仿宋_GB2312"/>
          <w:color w:val="auto"/>
          <w:sz w:val="32"/>
          <w:szCs w:val="32"/>
        </w:rPr>
        <w:t>万元（含征收管理</w:t>
      </w:r>
      <w:r>
        <w:rPr>
          <w:rFonts w:hint="eastAsia" w:ascii="仿宋_GB2312" w:hAnsi="仿宋_GB2312" w:cs="仿宋_GB2312"/>
          <w:color w:val="auto"/>
          <w:sz w:val="32"/>
          <w:szCs w:val="32"/>
          <w:lang w:val="en-US" w:eastAsia="zh-CN"/>
        </w:rPr>
        <w:t>22</w:t>
      </w:r>
      <w:r>
        <w:rPr>
          <w:rFonts w:hint="eastAsia" w:ascii="仿宋_GB2312" w:hAnsi="仿宋_GB2312" w:eastAsia="仿宋_GB2312" w:cs="仿宋_GB2312"/>
          <w:color w:val="auto"/>
          <w:sz w:val="32"/>
          <w:szCs w:val="32"/>
        </w:rPr>
        <w:t>万元，法律顾问服务</w:t>
      </w:r>
      <w:r>
        <w:rPr>
          <w:rFonts w:hint="eastAsia" w:ascii="仿宋_GB2312" w:hAnsi="仿宋_GB2312" w:cs="仿宋_GB2312"/>
          <w:color w:val="auto"/>
          <w:sz w:val="32"/>
          <w:szCs w:val="32"/>
          <w:lang w:val="en-US" w:eastAsia="zh-CN"/>
        </w:rPr>
        <w:t>7.5</w:t>
      </w:r>
      <w:r>
        <w:rPr>
          <w:rFonts w:hint="eastAsia" w:ascii="仿宋_GB2312" w:hAnsi="仿宋_GB2312" w:eastAsia="仿宋_GB2312" w:cs="仿宋_GB2312"/>
          <w:color w:val="auto"/>
          <w:sz w:val="32"/>
          <w:szCs w:val="32"/>
        </w:rPr>
        <w:t>万元，</w:t>
      </w:r>
      <w:r>
        <w:rPr>
          <w:rFonts w:hint="eastAsia" w:ascii="仿宋_GB2312" w:hAnsi="仿宋_GB2312" w:cs="仿宋_GB2312"/>
          <w:color w:val="auto"/>
          <w:sz w:val="32"/>
          <w:szCs w:val="32"/>
          <w:lang w:eastAsia="zh-CN"/>
        </w:rPr>
        <w:t>档案整理</w:t>
      </w:r>
      <w:r>
        <w:rPr>
          <w:rFonts w:hint="eastAsia" w:ascii="仿宋_GB2312" w:hAnsi="仿宋_GB2312" w:cs="仿宋_GB2312"/>
          <w:color w:val="auto"/>
          <w:sz w:val="32"/>
          <w:szCs w:val="32"/>
          <w:lang w:val="en-US" w:eastAsia="zh-CN"/>
        </w:rPr>
        <w:t>5万元，办公设备维保1.5万元，</w:t>
      </w:r>
      <w:r>
        <w:rPr>
          <w:rFonts w:hint="eastAsia" w:ascii="仿宋_GB2312" w:hAnsi="仿宋_GB2312" w:cs="仿宋_GB2312"/>
          <w:color w:val="auto"/>
          <w:sz w:val="32"/>
          <w:szCs w:val="32"/>
          <w:lang w:eastAsia="zh-CN"/>
        </w:rPr>
        <w:t>劳务派遣</w:t>
      </w:r>
      <w:r>
        <w:rPr>
          <w:rFonts w:hint="eastAsia" w:ascii="仿宋_GB2312" w:hAnsi="仿宋_GB2312" w:cs="仿宋_GB2312"/>
          <w:color w:val="auto"/>
          <w:sz w:val="32"/>
          <w:szCs w:val="32"/>
          <w:lang w:val="en-US" w:eastAsia="zh-CN"/>
        </w:rPr>
        <w:t>70</w:t>
      </w:r>
      <w:r>
        <w:rPr>
          <w:rFonts w:hint="eastAsia" w:ascii="仿宋_GB2312" w:hAnsi="仿宋_GB2312" w:eastAsia="仿宋_GB2312" w:cs="仿宋_GB2312"/>
          <w:color w:val="auto"/>
          <w:sz w:val="32"/>
          <w:szCs w:val="32"/>
        </w:rPr>
        <w:t>万元）。</w:t>
      </w:r>
    </w:p>
    <w:p>
      <w:pPr>
        <w:pStyle w:val="10"/>
        <w:keepNext w:val="0"/>
        <w:keepLines w:val="0"/>
        <w:pageBreakBefore w:val="0"/>
        <w:widowControl/>
        <w:kinsoku/>
        <w:wordWrap/>
        <w:overflowPunct/>
        <w:topLinePunct w:val="0"/>
        <w:autoSpaceDE/>
        <w:autoSpaceDN/>
        <w:bidi w:val="0"/>
        <w:adjustRightInd/>
        <w:snapToGrid/>
        <w:spacing w:line="520" w:lineRule="exact"/>
        <w:ind w:left="640" w:firstLine="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eastAsia="zh-CN"/>
        </w:rPr>
        <w:t>部门整体</w:t>
      </w:r>
      <w:r>
        <w:rPr>
          <w:rFonts w:hint="eastAsia" w:ascii="仿宋_GB2312" w:hAnsi="仿宋_GB2312" w:eastAsia="仿宋_GB2312" w:cs="仿宋_GB2312"/>
          <w:b/>
          <w:bCs/>
          <w:sz w:val="32"/>
          <w:szCs w:val="32"/>
        </w:rPr>
        <w:t>预算支出情况</w:t>
      </w:r>
    </w:p>
    <w:p>
      <w:pPr>
        <w:pStyle w:val="10"/>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2020年雨花区征收办部门整体预算支出数为1933.32万元，比年初预算批复数增加1331.59万元。根据长沙市雨花区财政局《关于批复2020年度部门预算的通知》，依照工作需要和工作进度合理编制用款计划，在严格执行国库集中支付制度的要求下使用资金，具体支出明细如下：</w:t>
      </w:r>
    </w:p>
    <w:p>
      <w:pPr>
        <w:pStyle w:val="10"/>
        <w:keepNext w:val="0"/>
        <w:keepLines w:val="0"/>
        <w:pageBreakBefore w:val="0"/>
        <w:widowControl/>
        <w:kinsoku/>
        <w:wordWrap/>
        <w:overflowPunct/>
        <w:topLinePunct w:val="0"/>
        <w:autoSpaceDE/>
        <w:autoSpaceDN/>
        <w:bidi w:val="0"/>
        <w:adjustRightInd/>
        <w:snapToGrid/>
        <w:spacing w:line="520" w:lineRule="exact"/>
        <w:ind w:left="640" w:firstLine="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（一）基本支出情况</w:t>
      </w:r>
    </w:p>
    <w:p>
      <w:pPr>
        <w:spacing w:line="600" w:lineRule="exact"/>
        <w:ind w:firstLine="642"/>
        <w:rPr>
          <w:rFonts w:hint="eastAsia" w:ascii="仿宋_GB2312" w:hAnsi="宋体" w:eastAsia="仿宋_GB2312"/>
          <w:sz w:val="32"/>
          <w:szCs w:val="32"/>
        </w:rPr>
      </w:pPr>
      <w:r>
        <w:rPr>
          <w:rFonts w:hint="eastAsia" w:ascii="仿宋_GB2312" w:hAnsi="宋体" w:eastAsia="仿宋_GB2312"/>
          <w:sz w:val="32"/>
          <w:szCs w:val="32"/>
        </w:rPr>
        <w:t>基本支出</w:t>
      </w:r>
      <w:r>
        <w:rPr>
          <w:rFonts w:hint="eastAsia" w:ascii="仿宋_GB2312" w:hAnsi="宋体" w:eastAsia="仿宋_GB2312"/>
          <w:sz w:val="32"/>
          <w:szCs w:val="32"/>
          <w:lang w:val="en-US" w:eastAsia="zh-CN"/>
        </w:rPr>
        <w:t>482.93</w:t>
      </w:r>
      <w:r>
        <w:rPr>
          <w:rFonts w:hint="eastAsia" w:ascii="仿宋_GB2312" w:hAnsi="宋体" w:eastAsia="仿宋_GB2312"/>
          <w:sz w:val="32"/>
          <w:szCs w:val="32"/>
        </w:rPr>
        <w:t>万元</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比年初预算批复数减少12.80万元。</w:t>
      </w:r>
      <w:r>
        <w:rPr>
          <w:rFonts w:hint="eastAsia" w:ascii="仿宋_GB2312" w:hAnsi="仿宋_GB2312" w:eastAsia="仿宋_GB2312" w:cs="仿宋_GB2312"/>
          <w:color w:val="auto"/>
          <w:kern w:val="2"/>
          <w:sz w:val="32"/>
          <w:szCs w:val="32"/>
          <w:lang w:val="en-US" w:eastAsia="zh-CN" w:bidi="ar-SA"/>
        </w:rPr>
        <w:t>基本支出是用于保障本单位正常运转的日常支出，包括基本工资、津贴补贴、住房公积金等工资福利支出，办公费、印刷费、邮电费等商品和服务支出，以及独生子女费等对个人和家庭补助支出。</w:t>
      </w:r>
      <w:r>
        <w:rPr>
          <w:rFonts w:hint="eastAsia" w:ascii="仿宋_GB2312" w:hAnsi="宋体" w:eastAsia="仿宋_GB2312"/>
          <w:sz w:val="32"/>
          <w:szCs w:val="32"/>
          <w:lang w:val="en-US" w:eastAsia="zh-CN"/>
        </w:rPr>
        <w:t>其中：</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1．工资福利支出：</w:t>
      </w:r>
      <w:r>
        <w:rPr>
          <w:rFonts w:hint="eastAsia" w:ascii="仿宋_GB2312" w:hAnsi="宋体" w:eastAsia="仿宋_GB2312"/>
          <w:sz w:val="32"/>
          <w:szCs w:val="32"/>
          <w:lang w:val="en-US" w:eastAsia="zh-CN"/>
        </w:rPr>
        <w:t>444.92</w:t>
      </w:r>
      <w:r>
        <w:rPr>
          <w:rFonts w:hint="eastAsia" w:ascii="仿宋_GB2312" w:hAnsi="宋体" w:eastAsia="仿宋_GB2312"/>
          <w:sz w:val="32"/>
          <w:szCs w:val="32"/>
        </w:rPr>
        <w:t>万元；</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2．商品和服务支出：</w:t>
      </w:r>
      <w:r>
        <w:rPr>
          <w:rFonts w:hint="eastAsia" w:ascii="仿宋_GB2312" w:hAnsi="宋体" w:eastAsia="仿宋_GB2312"/>
          <w:sz w:val="32"/>
          <w:szCs w:val="32"/>
          <w:lang w:val="en-US" w:eastAsia="zh-CN"/>
        </w:rPr>
        <w:t>37.94</w:t>
      </w:r>
      <w:r>
        <w:rPr>
          <w:rFonts w:hint="eastAsia" w:ascii="仿宋_GB2312" w:hAnsi="宋体" w:eastAsia="仿宋_GB2312"/>
          <w:sz w:val="32"/>
          <w:szCs w:val="32"/>
        </w:rPr>
        <w:t>万元；</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3．对个人和家庭补助支出：</w:t>
      </w:r>
      <w:r>
        <w:rPr>
          <w:rFonts w:hint="eastAsia" w:ascii="仿宋_GB2312" w:hAnsi="宋体" w:eastAsia="仿宋_GB2312"/>
          <w:sz w:val="32"/>
          <w:szCs w:val="32"/>
          <w:lang w:val="en-US" w:eastAsia="zh-CN"/>
        </w:rPr>
        <w:t>0.07</w:t>
      </w:r>
      <w:r>
        <w:rPr>
          <w:rFonts w:hint="eastAsia" w:ascii="仿宋_GB2312" w:hAnsi="宋体" w:eastAsia="仿宋_GB2312"/>
          <w:sz w:val="32"/>
          <w:szCs w:val="32"/>
        </w:rPr>
        <w:t>万元。</w:t>
      </w:r>
    </w:p>
    <w:p>
      <w:pPr>
        <w:numPr>
          <w:ilvl w:val="0"/>
          <w:numId w:val="0"/>
        </w:numPr>
        <w:spacing w:line="600" w:lineRule="exact"/>
        <w:ind w:firstLine="640" w:firstLineChars="200"/>
        <w:jc w:val="left"/>
        <w:rPr>
          <w:rFonts w:hint="eastAsia" w:ascii="楷体_GB2312" w:hAnsi="宋体" w:eastAsia="楷体_GB2312"/>
          <w:sz w:val="32"/>
          <w:szCs w:val="32"/>
          <w:lang w:eastAsia="zh-CN"/>
        </w:rPr>
      </w:pPr>
      <w:r>
        <w:rPr>
          <w:rFonts w:hint="eastAsia" w:ascii="仿宋_GB2312" w:hAnsi="宋体" w:eastAsia="仿宋_GB2312"/>
          <w:sz w:val="32"/>
          <w:szCs w:val="32"/>
          <w:lang w:eastAsia="zh-CN"/>
        </w:rPr>
        <w:t>其中，</w:t>
      </w:r>
      <w:r>
        <w:rPr>
          <w:rFonts w:hint="eastAsia" w:ascii="仿宋_GB2312" w:hAnsi="宋体" w:eastAsia="仿宋_GB2312"/>
          <w:sz w:val="32"/>
          <w:szCs w:val="32"/>
        </w:rPr>
        <w:t>“ 三公经费”</w:t>
      </w:r>
      <w:r>
        <w:rPr>
          <w:rFonts w:hint="eastAsia" w:ascii="仿宋_GB2312" w:hAnsi="宋体" w:eastAsia="仿宋_GB2312"/>
          <w:sz w:val="32"/>
          <w:szCs w:val="32"/>
          <w:lang w:eastAsia="zh-CN"/>
        </w:rPr>
        <w:t>支出情况：</w:t>
      </w:r>
    </w:p>
    <w:p>
      <w:pPr>
        <w:spacing w:line="600" w:lineRule="exact"/>
        <w:ind w:firstLine="640" w:firstLineChars="200"/>
        <w:rPr>
          <w:rFonts w:hint="eastAsia" w:ascii="Times New Roman" w:hAnsi="Times New Roman" w:eastAsia="仿宋_GB2312" w:cs="Times New Roman"/>
          <w:sz w:val="32"/>
          <w:szCs w:val="32"/>
        </w:rPr>
      </w:pPr>
      <w:r>
        <w:rPr>
          <w:rFonts w:hint="eastAsia" w:ascii="仿宋_GB2312" w:hAnsi="宋体" w:eastAsia="仿宋_GB2312"/>
          <w:sz w:val="32"/>
          <w:szCs w:val="32"/>
          <w:lang w:eastAsia="zh-CN"/>
        </w:rPr>
        <w:t>因公车改革</w:t>
      </w:r>
      <w:r>
        <w:rPr>
          <w:rFonts w:hint="eastAsia" w:ascii="仿宋_GB2312" w:hAnsi="宋体" w:eastAsia="仿宋_GB2312"/>
          <w:sz w:val="32"/>
          <w:szCs w:val="32"/>
        </w:rPr>
        <w:t>，</w:t>
      </w:r>
      <w:r>
        <w:rPr>
          <w:rFonts w:hint="eastAsia" w:ascii="仿宋_GB2312" w:hAnsi="宋体" w:eastAsia="仿宋_GB2312"/>
          <w:sz w:val="32"/>
          <w:szCs w:val="32"/>
          <w:lang w:eastAsia="zh-CN"/>
        </w:rPr>
        <w:t>单位用车已于</w:t>
      </w:r>
      <w:r>
        <w:rPr>
          <w:rFonts w:hint="eastAsia" w:ascii="仿宋_GB2312" w:hAnsi="宋体" w:eastAsia="仿宋_GB2312"/>
          <w:sz w:val="32"/>
          <w:szCs w:val="32"/>
          <w:lang w:val="en-US" w:eastAsia="zh-CN"/>
        </w:rPr>
        <w:t>2020年3月</w:t>
      </w:r>
      <w:r>
        <w:rPr>
          <w:rFonts w:hint="eastAsia" w:ascii="仿宋_GB2312" w:hAnsi="宋体" w:eastAsia="仿宋_GB2312"/>
          <w:sz w:val="32"/>
          <w:szCs w:val="32"/>
          <w:lang w:eastAsia="zh-CN"/>
        </w:rPr>
        <w:t>上交至区公车办，“</w:t>
      </w:r>
      <w:r>
        <w:rPr>
          <w:rFonts w:hint="eastAsia" w:ascii="仿宋_GB2312" w:hAnsi="宋体" w:eastAsia="仿宋_GB2312"/>
          <w:sz w:val="32"/>
          <w:szCs w:val="32"/>
        </w:rPr>
        <w:t>公务用车运行维护费</w:t>
      </w:r>
      <w:r>
        <w:rPr>
          <w:rFonts w:hint="eastAsia" w:ascii="仿宋_GB2312" w:hAnsi="宋体" w:eastAsia="仿宋_GB2312"/>
          <w:sz w:val="32"/>
          <w:szCs w:val="32"/>
          <w:lang w:eastAsia="zh-CN"/>
        </w:rPr>
        <w:t>”仅支出</w:t>
      </w:r>
      <w:r>
        <w:rPr>
          <w:rFonts w:hint="eastAsia" w:ascii="仿宋_GB2312" w:hAnsi="宋体" w:eastAsia="仿宋_GB2312"/>
          <w:sz w:val="32"/>
          <w:szCs w:val="32"/>
          <w:lang w:val="en-US" w:eastAsia="zh-CN"/>
        </w:rPr>
        <w:t>0.54</w:t>
      </w:r>
      <w:r>
        <w:rPr>
          <w:rFonts w:hint="eastAsia" w:ascii="仿宋_GB2312" w:hAnsi="宋体" w:eastAsia="仿宋_GB2312"/>
          <w:sz w:val="32"/>
          <w:szCs w:val="32"/>
        </w:rPr>
        <w:t>万元</w:t>
      </w:r>
      <w:r>
        <w:rPr>
          <w:rFonts w:hint="eastAsia" w:ascii="仿宋_GB2312" w:hAnsi="宋体" w:eastAsia="仿宋_GB2312"/>
          <w:sz w:val="32"/>
          <w:szCs w:val="32"/>
          <w:lang w:eastAsia="zh-CN"/>
        </w:rPr>
        <w:t>，“因公出国（境）费”和“公务接待费”无支出</w:t>
      </w:r>
      <w:r>
        <w:rPr>
          <w:rFonts w:hint="eastAsia" w:ascii="仿宋_GB2312" w:hAnsi="宋体" w:eastAsia="仿宋_GB2312"/>
          <w:sz w:val="32"/>
          <w:szCs w:val="32"/>
        </w:rPr>
        <w:t>。</w:t>
      </w:r>
    </w:p>
    <w:p>
      <w:pPr>
        <w:pStyle w:val="10"/>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楷体_GB2312" w:hAnsi="宋体" w:eastAsia="楷体_GB2312"/>
          <w:sz w:val="32"/>
          <w:szCs w:val="32"/>
          <w:lang w:val="en-US" w:eastAsia="zh-CN"/>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项目支出情况</w:t>
      </w:r>
    </w:p>
    <w:p>
      <w:pPr>
        <w:pStyle w:val="10"/>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eastAsia="zh-CN"/>
        </w:rPr>
        <w:t>项目支出</w:t>
      </w:r>
      <w:r>
        <w:rPr>
          <w:rFonts w:hint="eastAsia" w:ascii="仿宋_GB2312" w:hAnsi="宋体" w:eastAsia="仿宋_GB2312"/>
          <w:sz w:val="32"/>
          <w:szCs w:val="32"/>
          <w:lang w:val="en-US" w:eastAsia="zh-CN"/>
        </w:rPr>
        <w:t>1450.39万元，比年初预算批复数增加1344.39万元。</w:t>
      </w:r>
      <w:r>
        <w:rPr>
          <w:rFonts w:hint="eastAsia" w:ascii="仿宋_GB2312" w:hAnsi="宋体" w:eastAsia="仿宋_GB2312"/>
          <w:sz w:val="32"/>
          <w:szCs w:val="32"/>
          <w:lang w:eastAsia="zh-CN"/>
        </w:rPr>
        <w:t>项目</w:t>
      </w:r>
      <w:r>
        <w:rPr>
          <w:rFonts w:hint="eastAsia" w:ascii="仿宋_GB2312" w:hAnsi="宋体" w:eastAsia="仿宋_GB2312"/>
          <w:sz w:val="32"/>
          <w:szCs w:val="32"/>
        </w:rPr>
        <w:t>支出是用于保障</w:t>
      </w:r>
      <w:r>
        <w:rPr>
          <w:rFonts w:hint="eastAsia" w:ascii="仿宋_GB2312" w:hAnsi="宋体" w:eastAsia="仿宋_GB2312"/>
          <w:sz w:val="32"/>
          <w:szCs w:val="32"/>
          <w:lang w:eastAsia="zh-CN"/>
        </w:rPr>
        <w:t>本单位</w:t>
      </w:r>
      <w:r>
        <w:rPr>
          <w:rFonts w:hint="eastAsia" w:ascii="仿宋_GB2312" w:hAnsi="宋体" w:eastAsia="仿宋_GB2312"/>
          <w:sz w:val="32"/>
          <w:szCs w:val="32"/>
        </w:rPr>
        <w:t>为完成专项业务工作的经费支出。</w:t>
      </w:r>
      <w:r>
        <w:rPr>
          <w:rFonts w:hint="eastAsia" w:ascii="仿宋_GB2312" w:hAnsi="宋体" w:eastAsia="仿宋_GB2312"/>
          <w:sz w:val="32"/>
          <w:szCs w:val="32"/>
          <w:lang w:val="en-US" w:eastAsia="zh-CN"/>
        </w:rPr>
        <w:t>其中：</w:t>
      </w:r>
    </w:p>
    <w:p>
      <w:pPr>
        <w:numPr>
          <w:ilvl w:val="0"/>
          <w:numId w:val="1"/>
        </w:num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eastAsia="zh-CN"/>
        </w:rPr>
        <w:t>征收管理</w:t>
      </w:r>
      <w:r>
        <w:rPr>
          <w:rFonts w:hint="eastAsia" w:ascii="仿宋_GB2312" w:hAnsi="宋体" w:eastAsia="仿宋_GB2312"/>
          <w:sz w:val="32"/>
          <w:szCs w:val="32"/>
        </w:rPr>
        <w:t>：</w:t>
      </w:r>
      <w:r>
        <w:rPr>
          <w:rFonts w:hint="eastAsia" w:ascii="仿宋_GB2312" w:hAnsi="宋体" w:eastAsia="仿宋_GB2312"/>
          <w:sz w:val="32"/>
          <w:szCs w:val="32"/>
          <w:lang w:val="en-US" w:eastAsia="zh-CN"/>
        </w:rPr>
        <w:t>22</w:t>
      </w:r>
      <w:r>
        <w:rPr>
          <w:rFonts w:hint="eastAsia" w:ascii="仿宋_GB2312" w:hAnsi="宋体" w:eastAsia="仿宋_GB2312"/>
          <w:sz w:val="32"/>
          <w:szCs w:val="32"/>
        </w:rPr>
        <w:t>万元</w:t>
      </w:r>
    </w:p>
    <w:p>
      <w:pPr>
        <w:numPr>
          <w:ilvl w:val="0"/>
          <w:numId w:val="0"/>
        </w:numPr>
        <w:spacing w:line="600" w:lineRule="exact"/>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eastAsia="zh-CN"/>
        </w:rPr>
        <w:t>用于市对区的绩效考核、信访接待处理、慰问联点社区、项目困难户、征收政策汇编印制及发放、个案研究处理、工作人员培训考察等支出。</w:t>
      </w:r>
    </w:p>
    <w:p>
      <w:pPr>
        <w:numPr>
          <w:ilvl w:val="0"/>
          <w:numId w:val="1"/>
        </w:num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val="en-US" w:eastAsia="zh-CN"/>
        </w:rPr>
        <w:t>档案整理</w:t>
      </w:r>
      <w:r>
        <w:rPr>
          <w:rFonts w:hint="eastAsia" w:ascii="仿宋_GB2312" w:hAnsi="宋体" w:eastAsia="仿宋_GB2312"/>
          <w:sz w:val="32"/>
          <w:szCs w:val="32"/>
        </w:rPr>
        <w:t>：</w:t>
      </w:r>
      <w:r>
        <w:rPr>
          <w:rFonts w:hint="eastAsia" w:ascii="仿宋_GB2312" w:hAnsi="宋体" w:eastAsia="仿宋_GB2312"/>
          <w:sz w:val="32"/>
          <w:szCs w:val="32"/>
          <w:lang w:val="en-US" w:eastAsia="zh-CN"/>
        </w:rPr>
        <w:t>5</w:t>
      </w:r>
      <w:r>
        <w:rPr>
          <w:rFonts w:hint="eastAsia" w:ascii="仿宋_GB2312" w:hAnsi="宋体" w:eastAsia="仿宋_GB2312"/>
          <w:sz w:val="32"/>
          <w:szCs w:val="32"/>
        </w:rPr>
        <w:t>万元</w:t>
      </w:r>
    </w:p>
    <w:p>
      <w:pPr>
        <w:numPr>
          <w:ilvl w:val="0"/>
          <w:numId w:val="0"/>
        </w:numPr>
        <w:spacing w:line="600" w:lineRule="exact"/>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    用于征收</w:t>
      </w:r>
      <w:r>
        <w:rPr>
          <w:rFonts w:hint="eastAsia" w:ascii="仿宋_GB2312" w:hAnsi="宋体" w:eastAsia="仿宋_GB2312"/>
          <w:sz w:val="32"/>
          <w:szCs w:val="32"/>
          <w:lang w:eastAsia="zh-CN"/>
        </w:rPr>
        <w:t>项目档案整理</w:t>
      </w:r>
      <w:r>
        <w:rPr>
          <w:rFonts w:hint="eastAsia" w:ascii="仿宋_GB2312" w:hAnsi="宋体" w:eastAsia="仿宋_GB2312"/>
          <w:sz w:val="32"/>
          <w:szCs w:val="32"/>
          <w:lang w:val="en-US" w:eastAsia="zh-CN"/>
        </w:rPr>
        <w:t>等相关工作</w:t>
      </w:r>
      <w:r>
        <w:rPr>
          <w:rFonts w:hint="eastAsia" w:ascii="仿宋_GB2312" w:hAnsi="宋体" w:eastAsia="仿宋_GB2312"/>
          <w:sz w:val="32"/>
          <w:szCs w:val="32"/>
          <w:lang w:eastAsia="zh-CN"/>
        </w:rPr>
        <w:t>支出。</w:t>
      </w:r>
    </w:p>
    <w:p>
      <w:pPr>
        <w:numPr>
          <w:ilvl w:val="0"/>
          <w:numId w:val="1"/>
        </w:num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eastAsia="zh-CN"/>
        </w:rPr>
        <w:t>法律顾问服务</w:t>
      </w:r>
      <w:r>
        <w:rPr>
          <w:rFonts w:hint="eastAsia" w:ascii="仿宋_GB2312" w:hAnsi="宋体" w:eastAsia="仿宋_GB2312"/>
          <w:sz w:val="32"/>
          <w:szCs w:val="32"/>
        </w:rPr>
        <w:t>：</w:t>
      </w:r>
      <w:r>
        <w:rPr>
          <w:rFonts w:hint="eastAsia" w:ascii="仿宋_GB2312" w:hAnsi="宋体" w:eastAsia="仿宋_GB2312"/>
          <w:sz w:val="32"/>
          <w:szCs w:val="32"/>
          <w:lang w:val="en-US" w:eastAsia="zh-CN"/>
        </w:rPr>
        <w:t>7.5</w:t>
      </w:r>
      <w:r>
        <w:rPr>
          <w:rFonts w:hint="eastAsia" w:ascii="仿宋_GB2312" w:hAnsi="宋体" w:eastAsia="仿宋_GB2312"/>
          <w:sz w:val="32"/>
          <w:szCs w:val="32"/>
        </w:rPr>
        <w:t>万元</w:t>
      </w:r>
    </w:p>
    <w:p>
      <w:pPr>
        <w:numPr>
          <w:ilvl w:val="0"/>
          <w:numId w:val="0"/>
        </w:numPr>
        <w:spacing w:line="600" w:lineRule="exact"/>
        <w:ind w:firstLine="64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用于聘请律师团队提供顾问服务、聘请律师的应诉费、         司法强制执行工作等支出。</w:t>
      </w:r>
    </w:p>
    <w:p>
      <w:pPr>
        <w:numPr>
          <w:ilvl w:val="0"/>
          <w:numId w:val="0"/>
        </w:numPr>
        <w:spacing w:line="60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4. </w:t>
      </w:r>
      <w:r>
        <w:rPr>
          <w:rFonts w:hint="eastAsia" w:ascii="仿宋_GB2312" w:hAnsi="宋体" w:eastAsia="仿宋_GB2312"/>
          <w:sz w:val="32"/>
          <w:szCs w:val="32"/>
          <w:lang w:eastAsia="zh-CN"/>
        </w:rPr>
        <w:t>办公设备维保</w:t>
      </w:r>
      <w:r>
        <w:rPr>
          <w:rFonts w:hint="eastAsia" w:ascii="仿宋_GB2312" w:hAnsi="宋体" w:eastAsia="仿宋_GB2312"/>
          <w:sz w:val="32"/>
          <w:szCs w:val="32"/>
          <w:lang w:val="en-US" w:eastAsia="zh-CN"/>
        </w:rPr>
        <w:t>:1.5万元</w:t>
      </w:r>
    </w:p>
    <w:p>
      <w:pPr>
        <w:numPr>
          <w:ilvl w:val="0"/>
          <w:numId w:val="0"/>
        </w:numPr>
        <w:spacing w:line="600" w:lineRule="exac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eastAsia="zh-CN"/>
        </w:rPr>
        <w:t>用于维持单位电脑、打印机等办公设备正常运转</w:t>
      </w:r>
      <w:r>
        <w:rPr>
          <w:rFonts w:hint="eastAsia" w:ascii="仿宋_GB2312" w:hAnsi="宋体" w:eastAsia="仿宋_GB2312"/>
          <w:sz w:val="32"/>
          <w:szCs w:val="32"/>
          <w:lang w:val="en-US" w:eastAsia="zh-CN"/>
        </w:rPr>
        <w:t>的</w:t>
      </w:r>
      <w:r>
        <w:rPr>
          <w:rFonts w:hint="eastAsia" w:ascii="仿宋_GB2312" w:hAnsi="宋体" w:eastAsia="仿宋_GB2312"/>
          <w:sz w:val="32"/>
          <w:szCs w:val="32"/>
          <w:lang w:eastAsia="zh-CN"/>
        </w:rPr>
        <w:t>支出。</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val="en-US" w:eastAsia="zh-CN"/>
        </w:rPr>
        <w:t xml:space="preserve">5. </w:t>
      </w:r>
      <w:r>
        <w:rPr>
          <w:rFonts w:hint="eastAsia" w:ascii="仿宋_GB2312" w:hAnsi="宋体" w:eastAsia="仿宋_GB2312"/>
          <w:sz w:val="32"/>
          <w:szCs w:val="32"/>
          <w:lang w:eastAsia="zh-CN"/>
        </w:rPr>
        <w:t>劳务派遣</w:t>
      </w:r>
      <w:r>
        <w:rPr>
          <w:rFonts w:hint="eastAsia" w:ascii="仿宋_GB2312" w:hAnsi="宋体" w:eastAsia="仿宋_GB2312"/>
          <w:sz w:val="32"/>
          <w:szCs w:val="32"/>
        </w:rPr>
        <w:t>：</w:t>
      </w:r>
      <w:r>
        <w:rPr>
          <w:rFonts w:hint="eastAsia" w:ascii="仿宋_GB2312" w:hAnsi="宋体" w:eastAsia="仿宋_GB2312"/>
          <w:sz w:val="32"/>
          <w:szCs w:val="32"/>
          <w:lang w:val="en-US" w:eastAsia="zh-CN"/>
        </w:rPr>
        <w:t>69.19</w:t>
      </w:r>
      <w:r>
        <w:rPr>
          <w:rFonts w:hint="eastAsia" w:ascii="仿宋_GB2312" w:hAnsi="宋体" w:eastAsia="仿宋_GB2312"/>
          <w:sz w:val="32"/>
          <w:szCs w:val="32"/>
        </w:rPr>
        <w:t>万元</w:t>
      </w:r>
    </w:p>
    <w:p>
      <w:pPr>
        <w:numPr>
          <w:ilvl w:val="0"/>
          <w:numId w:val="0"/>
        </w:numPr>
        <w:spacing w:line="600" w:lineRule="exact"/>
        <w:ind w:firstLine="640"/>
        <w:rPr>
          <w:rFonts w:hint="eastAsia" w:ascii="仿宋_GB2312" w:hAnsi="宋体" w:eastAsia="仿宋_GB2312"/>
          <w:sz w:val="32"/>
          <w:szCs w:val="32"/>
          <w:lang w:eastAsia="zh-CN"/>
        </w:rPr>
      </w:pPr>
      <w:r>
        <w:rPr>
          <w:rFonts w:hint="eastAsia" w:ascii="仿宋_GB2312" w:hAnsi="宋体" w:eastAsia="仿宋_GB2312"/>
          <w:sz w:val="32"/>
          <w:szCs w:val="32"/>
          <w:lang w:eastAsia="zh-CN"/>
        </w:rPr>
        <w:t>用于临聘</w:t>
      </w:r>
      <w:r>
        <w:rPr>
          <w:rFonts w:hint="eastAsia" w:ascii="仿宋_GB2312" w:hAnsi="宋体" w:eastAsia="仿宋_GB2312"/>
          <w:sz w:val="32"/>
          <w:szCs w:val="32"/>
        </w:rPr>
        <w:t>人员</w:t>
      </w:r>
      <w:r>
        <w:rPr>
          <w:rFonts w:hint="eastAsia" w:ascii="仿宋_GB2312" w:hAnsi="宋体" w:eastAsia="仿宋_GB2312"/>
          <w:sz w:val="32"/>
          <w:szCs w:val="32"/>
          <w:lang w:eastAsia="zh-CN"/>
        </w:rPr>
        <w:t>的支出，包括人员工资、社保、伙食补贴、出勤奖、绩效奖等所有工资福利待遇等费用。</w:t>
      </w:r>
    </w:p>
    <w:p>
      <w:pPr>
        <w:numPr>
          <w:ilvl w:val="0"/>
          <w:numId w:val="0"/>
        </w:numPr>
        <w:spacing w:line="60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6. 其他城乡社区支出：1345.2万元</w:t>
      </w:r>
    </w:p>
    <w:p>
      <w:pPr>
        <w:numPr>
          <w:ilvl w:val="0"/>
          <w:numId w:val="0"/>
        </w:numPr>
        <w:spacing w:line="600" w:lineRule="exact"/>
        <w:ind w:firstLine="640" w:firstLineChars="200"/>
        <w:rPr>
          <w:rFonts w:hint="default" w:ascii="Times New Roman" w:hAnsi="Times New Roman" w:eastAsia="仿宋_GB2312" w:cs="Times New Roman"/>
          <w:sz w:val="32"/>
          <w:szCs w:val="32"/>
        </w:rPr>
      </w:pPr>
      <w:r>
        <w:rPr>
          <w:rFonts w:hint="eastAsia" w:ascii="仿宋_GB2312" w:hAnsi="宋体" w:eastAsia="仿宋_GB2312"/>
          <w:sz w:val="32"/>
          <w:szCs w:val="32"/>
          <w:lang w:val="en-US" w:eastAsia="zh-CN"/>
        </w:rPr>
        <w:t>用于区投区建的国有土地上征收项目的征收资金的支出。</w:t>
      </w:r>
    </w:p>
    <w:p>
      <w:pPr>
        <w:keepNext w:val="0"/>
        <w:keepLines w:val="0"/>
        <w:pageBreakBefore w:val="0"/>
        <w:widowControl/>
        <w:kinsoku/>
        <w:wordWrap/>
        <w:overflowPunct/>
        <w:topLinePunct w:val="0"/>
        <w:autoSpaceDE/>
        <w:autoSpaceDN/>
        <w:bidi w:val="0"/>
        <w:adjustRightInd/>
        <w:snapToGrid/>
        <w:spacing w:line="520" w:lineRule="exact"/>
        <w:ind w:firstLine="645"/>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、部门整体支出绩效情况</w:t>
      </w:r>
    </w:p>
    <w:p>
      <w:pPr>
        <w:pStyle w:val="3"/>
        <w:spacing w:line="540" w:lineRule="exact"/>
        <w:ind w:firstLine="640" w:firstLineChars="200"/>
        <w:jc w:val="both"/>
        <w:rPr>
          <w:rFonts w:hint="eastAsia" w:ascii="仿宋" w:hAnsi="仿宋" w:eastAsia="仿宋" w:cs="仿宋"/>
          <w:b w:val="0"/>
          <w:bCs w:val="0"/>
          <w:sz w:val="32"/>
          <w:szCs w:val="32"/>
        </w:rPr>
      </w:pPr>
      <w:r>
        <w:rPr>
          <w:rFonts w:hint="eastAsia" w:ascii="仿宋" w:hAnsi="仿宋" w:eastAsia="仿宋" w:cs="仿宋"/>
          <w:b w:val="0"/>
          <w:bCs w:val="0"/>
          <w:sz w:val="32"/>
          <w:szCs w:val="32"/>
        </w:rPr>
        <w:t>20</w:t>
      </w:r>
      <w:r>
        <w:rPr>
          <w:rFonts w:hint="eastAsia" w:ascii="仿宋" w:hAnsi="仿宋" w:eastAsia="仿宋" w:cs="仿宋"/>
          <w:b w:val="0"/>
          <w:bCs w:val="0"/>
          <w:sz w:val="32"/>
          <w:szCs w:val="32"/>
          <w:lang w:val="en-US" w:eastAsia="zh-CN"/>
        </w:rPr>
        <w:t>20</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eastAsia="zh-CN"/>
        </w:rPr>
        <w:t>雨花区征收办按照国家政策法规规定，结合本单位工作实际，建立健全了财务管理制度和约束机制，依法、有效地使用财政资金，提高财政资金的使用效率，合理分配人、财、物，完成了部门职能目标，实现了较高的工作效率和支出绩效。具体情况总结如下：</w:t>
      </w:r>
    </w:p>
    <w:p>
      <w:pPr>
        <w:widowControl/>
        <w:spacing w:line="540" w:lineRule="exact"/>
        <w:ind w:firstLine="627" w:firstLineChars="196"/>
        <w:jc w:val="left"/>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lang w:eastAsia="zh-CN"/>
        </w:rPr>
        <w:t>（</w:t>
      </w:r>
      <w:r>
        <w:rPr>
          <w:rFonts w:hint="eastAsia" w:ascii="仿宋" w:hAnsi="仿宋" w:eastAsia="仿宋" w:cs="仿宋"/>
          <w:b w:val="0"/>
          <w:bCs w:val="0"/>
          <w:kern w:val="0"/>
          <w:sz w:val="32"/>
          <w:szCs w:val="32"/>
        </w:rPr>
        <w:t>一</w:t>
      </w:r>
      <w:r>
        <w:rPr>
          <w:rFonts w:hint="eastAsia" w:ascii="仿宋" w:hAnsi="仿宋" w:eastAsia="仿宋" w:cs="仿宋"/>
          <w:b w:val="0"/>
          <w:bCs w:val="0"/>
          <w:kern w:val="0"/>
          <w:sz w:val="32"/>
          <w:szCs w:val="32"/>
          <w:lang w:eastAsia="zh-CN"/>
        </w:rPr>
        <w:t>）</w:t>
      </w:r>
      <w:r>
        <w:rPr>
          <w:rFonts w:hint="eastAsia" w:ascii="仿宋" w:hAnsi="仿宋" w:eastAsia="仿宋" w:cs="仿宋"/>
          <w:b w:val="0"/>
          <w:bCs w:val="0"/>
          <w:kern w:val="0"/>
          <w:sz w:val="32"/>
          <w:szCs w:val="32"/>
        </w:rPr>
        <w:t>、项目征拆，成效显著。</w:t>
      </w:r>
    </w:p>
    <w:p>
      <w:pPr>
        <w:spacing w:line="540" w:lineRule="exact"/>
        <w:ind w:firstLine="642"/>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u w:val="none"/>
        </w:rPr>
        <w:t>20</w:t>
      </w:r>
      <w:r>
        <w:rPr>
          <w:rFonts w:hint="eastAsia" w:ascii="仿宋" w:hAnsi="仿宋" w:eastAsia="仿宋" w:cs="仿宋"/>
          <w:b w:val="0"/>
          <w:bCs w:val="0"/>
          <w:color w:val="auto"/>
          <w:kern w:val="0"/>
          <w:sz w:val="32"/>
          <w:szCs w:val="32"/>
          <w:u w:val="none"/>
          <w:lang w:val="en-US" w:eastAsia="zh-CN"/>
        </w:rPr>
        <w:t>20</w:t>
      </w:r>
      <w:r>
        <w:rPr>
          <w:rFonts w:hint="eastAsia" w:ascii="仿宋" w:hAnsi="仿宋" w:eastAsia="仿宋" w:cs="仿宋"/>
          <w:b w:val="0"/>
          <w:bCs w:val="0"/>
          <w:color w:val="auto"/>
          <w:kern w:val="0"/>
          <w:sz w:val="32"/>
          <w:szCs w:val="32"/>
          <w:u w:val="none"/>
        </w:rPr>
        <w:t>年，我区</w:t>
      </w:r>
      <w:r>
        <w:rPr>
          <w:rFonts w:hint="eastAsia" w:ascii="仿宋" w:hAnsi="仿宋" w:eastAsia="仿宋" w:cs="仿宋"/>
          <w:b w:val="0"/>
          <w:bCs w:val="0"/>
          <w:color w:val="auto"/>
          <w:sz w:val="32"/>
          <w:szCs w:val="32"/>
          <w:u w:val="none"/>
        </w:rPr>
        <w:t>累计实施国有土地征拆项目27个，其中棚改项目9个，基础设施项目18</w:t>
      </w:r>
      <w:r>
        <w:rPr>
          <w:rFonts w:hint="eastAsia" w:ascii="仿宋" w:hAnsi="仿宋" w:eastAsia="仿宋" w:cs="仿宋"/>
          <w:b w:val="0"/>
          <w:bCs w:val="0"/>
          <w:color w:val="auto"/>
          <w:sz w:val="32"/>
          <w:szCs w:val="32"/>
          <w:u w:val="none"/>
          <w:lang w:val="en-US" w:eastAsia="zh-CN"/>
        </w:rPr>
        <w:t>个</w:t>
      </w:r>
      <w:r>
        <w:rPr>
          <w:rFonts w:hint="eastAsia" w:ascii="仿宋" w:hAnsi="仿宋" w:eastAsia="仿宋" w:cs="仿宋"/>
          <w:b w:val="0"/>
          <w:bCs w:val="0"/>
          <w:color w:val="auto"/>
          <w:kern w:val="0"/>
          <w:sz w:val="32"/>
          <w:szCs w:val="32"/>
          <w:u w:val="none"/>
        </w:rPr>
        <w:t>，</w:t>
      </w:r>
      <w:r>
        <w:rPr>
          <w:rFonts w:hint="eastAsia" w:ascii="仿宋" w:hAnsi="仿宋" w:eastAsia="仿宋" w:cs="仿宋"/>
          <w:b w:val="0"/>
          <w:bCs w:val="0"/>
          <w:color w:val="auto"/>
          <w:sz w:val="32"/>
          <w:szCs w:val="32"/>
          <w:u w:val="none"/>
        </w:rPr>
        <w:t>签约516户，腾房</w:t>
      </w:r>
      <w:r>
        <w:rPr>
          <w:rFonts w:hint="eastAsia" w:ascii="仿宋" w:hAnsi="仿宋" w:eastAsia="仿宋" w:cs="仿宋"/>
          <w:b w:val="0"/>
          <w:bCs w:val="0"/>
          <w:color w:val="auto"/>
          <w:sz w:val="32"/>
          <w:szCs w:val="32"/>
          <w:u w:val="none"/>
          <w:lang w:val="en-US" w:eastAsia="zh-CN"/>
        </w:rPr>
        <w:t>551</w:t>
      </w:r>
      <w:r>
        <w:rPr>
          <w:rFonts w:hint="eastAsia" w:ascii="仿宋" w:hAnsi="仿宋" w:eastAsia="仿宋" w:cs="仿宋"/>
          <w:b w:val="0"/>
          <w:bCs w:val="0"/>
          <w:color w:val="auto"/>
          <w:sz w:val="32"/>
          <w:szCs w:val="32"/>
          <w:u w:val="none"/>
        </w:rPr>
        <w:t>户，拆除房屋面积3万平方米</w:t>
      </w:r>
      <w:r>
        <w:rPr>
          <w:rFonts w:hint="eastAsia" w:ascii="仿宋" w:hAnsi="仿宋" w:eastAsia="仿宋" w:cs="仿宋"/>
          <w:b w:val="0"/>
          <w:bCs w:val="0"/>
          <w:color w:val="auto"/>
          <w:kern w:val="0"/>
          <w:sz w:val="32"/>
          <w:szCs w:val="32"/>
          <w:u w:val="none"/>
        </w:rPr>
        <w:t>，全面</w:t>
      </w:r>
      <w:r>
        <w:rPr>
          <w:rFonts w:hint="eastAsia" w:ascii="仿宋" w:hAnsi="仿宋" w:eastAsia="仿宋" w:cs="仿宋"/>
          <w:b w:val="0"/>
          <w:bCs w:val="0"/>
          <w:color w:val="auto"/>
          <w:kern w:val="0"/>
          <w:sz w:val="32"/>
          <w:szCs w:val="32"/>
          <w:u w:val="none"/>
          <w:lang w:eastAsia="zh-CN"/>
        </w:rPr>
        <w:t>完成</w:t>
      </w:r>
      <w:r>
        <w:rPr>
          <w:rFonts w:hint="eastAsia" w:ascii="仿宋" w:hAnsi="仿宋" w:eastAsia="仿宋" w:cs="仿宋"/>
          <w:b w:val="0"/>
          <w:bCs w:val="0"/>
          <w:color w:val="auto"/>
          <w:kern w:val="0"/>
          <w:sz w:val="32"/>
          <w:szCs w:val="32"/>
          <w:u w:val="none"/>
          <w:lang w:val="en-US" w:eastAsia="zh-CN"/>
        </w:rPr>
        <w:t>大吉门窗厂宿舍、汽车制造厂宿舍、省机械化二期和三期、林科路、环保大道东延线</w:t>
      </w:r>
      <w:r>
        <w:rPr>
          <w:rFonts w:hint="eastAsia" w:ascii="仿宋" w:hAnsi="仿宋" w:eastAsia="仿宋" w:cs="仿宋"/>
          <w:b w:val="0"/>
          <w:bCs w:val="0"/>
          <w:color w:val="auto"/>
          <w:kern w:val="0"/>
          <w:sz w:val="32"/>
          <w:szCs w:val="32"/>
          <w:u w:val="none"/>
        </w:rPr>
        <w:t>等共计1</w:t>
      </w:r>
      <w:r>
        <w:rPr>
          <w:rFonts w:hint="eastAsia" w:ascii="仿宋" w:hAnsi="仿宋" w:eastAsia="仿宋" w:cs="仿宋"/>
          <w:b w:val="0"/>
          <w:bCs w:val="0"/>
          <w:color w:val="auto"/>
          <w:kern w:val="0"/>
          <w:sz w:val="32"/>
          <w:szCs w:val="32"/>
          <w:u w:val="none"/>
          <w:lang w:val="en-US" w:eastAsia="zh-CN"/>
        </w:rPr>
        <w:t>3</w:t>
      </w:r>
      <w:r>
        <w:rPr>
          <w:rFonts w:hint="eastAsia" w:ascii="仿宋" w:hAnsi="仿宋" w:eastAsia="仿宋" w:cs="仿宋"/>
          <w:b w:val="0"/>
          <w:bCs w:val="0"/>
          <w:color w:val="auto"/>
          <w:kern w:val="0"/>
          <w:sz w:val="32"/>
          <w:szCs w:val="32"/>
          <w:u w:val="none"/>
        </w:rPr>
        <w:t>个棚改和基础设施项目的签约清零和腾地清零，同时圆满完成了</w:t>
      </w:r>
      <w:r>
        <w:rPr>
          <w:rFonts w:hint="eastAsia" w:ascii="仿宋" w:hAnsi="仿宋" w:eastAsia="仿宋" w:cs="仿宋"/>
          <w:b w:val="0"/>
          <w:bCs w:val="0"/>
          <w:color w:val="auto"/>
          <w:kern w:val="0"/>
          <w:sz w:val="32"/>
          <w:szCs w:val="32"/>
          <w:u w:val="none"/>
          <w:lang w:val="en-US" w:eastAsia="zh-CN"/>
        </w:rPr>
        <w:t>省纺机、长仪、梨子山长电宿舍</w:t>
      </w:r>
      <w:r>
        <w:rPr>
          <w:rFonts w:hint="eastAsia" w:ascii="仿宋" w:hAnsi="仿宋" w:eastAsia="仿宋" w:cs="仿宋"/>
          <w:b w:val="0"/>
          <w:bCs w:val="0"/>
          <w:color w:val="auto"/>
          <w:kern w:val="0"/>
          <w:sz w:val="32"/>
          <w:szCs w:val="32"/>
          <w:u w:val="none"/>
        </w:rPr>
        <w:t>等</w:t>
      </w:r>
      <w:r>
        <w:rPr>
          <w:rFonts w:hint="eastAsia" w:ascii="仿宋" w:hAnsi="仿宋" w:eastAsia="仿宋" w:cs="仿宋"/>
          <w:b w:val="0"/>
          <w:bCs w:val="0"/>
          <w:color w:val="auto"/>
          <w:kern w:val="0"/>
          <w:sz w:val="32"/>
          <w:szCs w:val="32"/>
          <w:u w:val="none"/>
          <w:lang w:val="en-US" w:eastAsia="zh-CN"/>
        </w:rPr>
        <w:t>16</w:t>
      </w:r>
      <w:r>
        <w:rPr>
          <w:rFonts w:hint="eastAsia" w:ascii="仿宋" w:hAnsi="仿宋" w:eastAsia="仿宋" w:cs="仿宋"/>
          <w:b w:val="0"/>
          <w:bCs w:val="0"/>
          <w:color w:val="auto"/>
          <w:kern w:val="0"/>
          <w:sz w:val="32"/>
          <w:szCs w:val="32"/>
          <w:u w:val="none"/>
        </w:rPr>
        <w:t>个项目的结算工作</w:t>
      </w:r>
      <w:r>
        <w:rPr>
          <w:rFonts w:hint="eastAsia" w:ascii="仿宋" w:hAnsi="仿宋" w:eastAsia="仿宋" w:cs="仿宋"/>
          <w:b w:val="0"/>
          <w:bCs w:val="0"/>
          <w:color w:val="auto"/>
          <w:kern w:val="0"/>
          <w:sz w:val="32"/>
          <w:szCs w:val="32"/>
          <w:u w:val="none"/>
          <w:lang w:eastAsia="zh-CN"/>
        </w:rPr>
        <w:t>，</w:t>
      </w:r>
      <w:r>
        <w:rPr>
          <w:rFonts w:hint="eastAsia" w:ascii="仿宋" w:hAnsi="仿宋" w:eastAsia="仿宋" w:cs="仿宋"/>
          <w:b w:val="0"/>
          <w:bCs w:val="0"/>
          <w:color w:val="auto"/>
          <w:kern w:val="0"/>
          <w:sz w:val="32"/>
          <w:szCs w:val="32"/>
          <w:u w:val="none"/>
          <w:lang w:val="en-US" w:eastAsia="zh-CN"/>
        </w:rPr>
        <w:t>圆满完成了发改线棚改省任务260户签约的目标，人居线8个棚改项目的扫尾清零，16个项目的征拆结算以及3个项目的开工建设的目标任务，为全市考争先作出了积极贡献。</w:t>
      </w:r>
    </w:p>
    <w:p>
      <w:pPr>
        <w:spacing w:line="540" w:lineRule="exact"/>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rPr>
        <w:t xml:space="preserve">    </w:t>
      </w:r>
      <w:r>
        <w:rPr>
          <w:rFonts w:hint="eastAsia" w:ascii="仿宋" w:hAnsi="仿宋" w:eastAsia="仿宋" w:cs="仿宋"/>
          <w:b w:val="0"/>
          <w:bCs w:val="0"/>
          <w:kern w:val="0"/>
          <w:sz w:val="32"/>
          <w:szCs w:val="32"/>
          <w:lang w:eastAsia="zh-CN"/>
        </w:rPr>
        <w:t>（二）</w:t>
      </w:r>
      <w:r>
        <w:rPr>
          <w:rFonts w:hint="eastAsia" w:ascii="仿宋" w:hAnsi="仿宋" w:eastAsia="仿宋" w:cs="仿宋"/>
          <w:b w:val="0"/>
          <w:bCs w:val="0"/>
          <w:kern w:val="0"/>
          <w:sz w:val="32"/>
          <w:szCs w:val="32"/>
        </w:rPr>
        <w:t>、</w:t>
      </w:r>
      <w:r>
        <w:rPr>
          <w:rFonts w:hint="eastAsia" w:ascii="仿宋" w:hAnsi="仿宋" w:eastAsia="仿宋" w:cs="仿宋"/>
          <w:b w:val="0"/>
          <w:bCs w:val="0"/>
          <w:sz w:val="32"/>
          <w:szCs w:val="32"/>
        </w:rPr>
        <w:t>管理规范，彰显特色。</w:t>
      </w:r>
    </w:p>
    <w:p>
      <w:pPr>
        <w:spacing w:line="540" w:lineRule="exact"/>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1.领导重视，指挥有力。</w:t>
      </w:r>
      <w:r>
        <w:rPr>
          <w:rFonts w:hint="eastAsia" w:ascii="仿宋" w:hAnsi="仿宋" w:eastAsia="仿宋" w:cs="仿宋"/>
          <w:b w:val="0"/>
          <w:bCs w:val="0"/>
          <w:spacing w:val="-2"/>
          <w:sz w:val="32"/>
          <w:szCs w:val="32"/>
        </w:rPr>
        <w:t>在区委、区政府的高度重视下，以区棚改征收拆迁建设指挥部为中心，“一办六部”、街道指挥部为主线，联合</w:t>
      </w:r>
      <w:r>
        <w:rPr>
          <w:rFonts w:hint="eastAsia" w:ascii="仿宋" w:hAnsi="仿宋" w:eastAsia="仿宋" w:cs="仿宋"/>
          <w:b w:val="0"/>
          <w:bCs w:val="0"/>
          <w:spacing w:val="-2"/>
          <w:sz w:val="32"/>
          <w:szCs w:val="32"/>
          <w:lang w:val="en-US" w:eastAsia="zh-CN"/>
        </w:rPr>
        <w:t>住建</w:t>
      </w:r>
      <w:r>
        <w:rPr>
          <w:rFonts w:hint="eastAsia" w:ascii="仿宋" w:hAnsi="仿宋" w:eastAsia="仿宋" w:cs="仿宋"/>
          <w:b w:val="0"/>
          <w:bCs w:val="0"/>
          <w:spacing w:val="-2"/>
          <w:sz w:val="32"/>
          <w:szCs w:val="32"/>
        </w:rPr>
        <w:t>、</w:t>
      </w:r>
      <w:r>
        <w:rPr>
          <w:rFonts w:hint="eastAsia" w:ascii="仿宋" w:hAnsi="仿宋" w:eastAsia="仿宋" w:cs="仿宋"/>
          <w:b w:val="0"/>
          <w:bCs w:val="0"/>
          <w:spacing w:val="-2"/>
          <w:sz w:val="32"/>
          <w:szCs w:val="32"/>
          <w:lang w:val="en-US" w:eastAsia="zh-CN"/>
        </w:rPr>
        <w:t>人居、</w:t>
      </w:r>
      <w:r>
        <w:rPr>
          <w:rFonts w:hint="eastAsia" w:ascii="仿宋" w:hAnsi="仿宋" w:eastAsia="仿宋" w:cs="仿宋"/>
          <w:b w:val="0"/>
          <w:bCs w:val="0"/>
          <w:spacing w:val="-2"/>
          <w:sz w:val="32"/>
          <w:szCs w:val="32"/>
        </w:rPr>
        <w:t>民政</w:t>
      </w:r>
      <w:r>
        <w:rPr>
          <w:rFonts w:hint="eastAsia" w:ascii="仿宋" w:hAnsi="仿宋" w:eastAsia="仿宋" w:cs="仿宋"/>
          <w:b w:val="0"/>
          <w:bCs w:val="0"/>
          <w:spacing w:val="-2"/>
          <w:sz w:val="32"/>
          <w:szCs w:val="32"/>
          <w:lang w:eastAsia="zh-CN"/>
        </w:rPr>
        <w:t>、</w:t>
      </w:r>
      <w:r>
        <w:rPr>
          <w:rFonts w:hint="eastAsia" w:ascii="仿宋" w:hAnsi="仿宋" w:eastAsia="仿宋" w:cs="仿宋"/>
          <w:b w:val="0"/>
          <w:bCs w:val="0"/>
          <w:spacing w:val="-2"/>
          <w:sz w:val="32"/>
          <w:szCs w:val="32"/>
          <w:lang w:val="en-US" w:eastAsia="zh-CN"/>
        </w:rPr>
        <w:t>城投</w:t>
      </w:r>
      <w:r>
        <w:rPr>
          <w:rFonts w:hint="eastAsia" w:ascii="仿宋" w:hAnsi="仿宋" w:eastAsia="仿宋" w:cs="仿宋"/>
          <w:b w:val="0"/>
          <w:bCs w:val="0"/>
          <w:spacing w:val="-2"/>
          <w:sz w:val="32"/>
          <w:szCs w:val="32"/>
        </w:rPr>
        <w:t>等职能要素部门，营造了突出问题、专题研究，共同商讨、积极化解，高效推进项目的良好氛围。</w:t>
      </w:r>
      <w:r>
        <w:rPr>
          <w:rFonts w:hint="eastAsia" w:ascii="仿宋" w:hAnsi="仿宋" w:eastAsia="仿宋" w:cs="仿宋"/>
          <w:b w:val="0"/>
          <w:bCs w:val="0"/>
          <w:spacing w:val="-2"/>
          <w:sz w:val="32"/>
          <w:szCs w:val="32"/>
          <w:lang w:eastAsia="zh-CN"/>
        </w:rPr>
        <w:t>区委</w:t>
      </w:r>
      <w:r>
        <w:rPr>
          <w:rFonts w:hint="eastAsia" w:ascii="仿宋" w:hAnsi="仿宋" w:eastAsia="仿宋" w:cs="仿宋"/>
          <w:b w:val="0"/>
          <w:bCs w:val="0"/>
          <w:spacing w:val="-2"/>
          <w:sz w:val="32"/>
          <w:szCs w:val="32"/>
        </w:rPr>
        <w:t>书记、区长按重要时间节点适时调度、主要分管区长按项目推进情况专题调度、联点县级领导和街道“一把手”坐镇项目指挥部密集调度，全面强化调度机制，确保项目按期保质推进。</w:t>
      </w:r>
    </w:p>
    <w:p>
      <w:pPr>
        <w:pStyle w:val="3"/>
        <w:widowControl w:val="0"/>
        <w:spacing w:line="540" w:lineRule="exact"/>
        <w:ind w:firstLine="640" w:firstLineChars="200"/>
        <w:jc w:val="both"/>
        <w:rPr>
          <w:rFonts w:hint="eastAsia" w:ascii="仿宋" w:hAnsi="仿宋" w:eastAsia="仿宋" w:cs="仿宋"/>
          <w:b w:val="0"/>
          <w:bCs w:val="0"/>
          <w:sz w:val="32"/>
          <w:szCs w:val="32"/>
        </w:rPr>
      </w:pPr>
      <w:r>
        <w:rPr>
          <w:rFonts w:hint="eastAsia" w:ascii="仿宋" w:hAnsi="仿宋" w:eastAsia="仿宋" w:cs="仿宋"/>
          <w:b w:val="0"/>
          <w:bCs w:val="0"/>
          <w:sz w:val="32"/>
          <w:szCs w:val="32"/>
        </w:rPr>
        <w:t>2.依法征收，执行有力。</w:t>
      </w:r>
      <w:r>
        <w:rPr>
          <w:rFonts w:hint="eastAsia" w:ascii="仿宋" w:hAnsi="仿宋" w:eastAsia="仿宋" w:cs="仿宋"/>
          <w:b w:val="0"/>
          <w:bCs w:val="0"/>
          <w:sz w:val="32"/>
          <w:szCs w:val="32"/>
          <w:u w:val="none"/>
        </w:rPr>
        <w:t>全年依法依规办理各类公告等征收程序及文书85次</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组织召开征收补偿方案论证会、社会稳定风险评估会等会议10次</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及时有效完成各类诉讼案件应诉工作共10例，无一例违法情况。全年申请法院强制执行1户，实施强制执行1户。</w:t>
      </w:r>
      <w:r>
        <w:rPr>
          <w:rFonts w:hint="eastAsia" w:ascii="仿宋" w:hAnsi="仿宋" w:eastAsia="仿宋" w:cs="仿宋"/>
          <w:b w:val="0"/>
          <w:bCs w:val="0"/>
          <w:sz w:val="32"/>
          <w:szCs w:val="32"/>
        </w:rPr>
        <w:t>实行领导包案督办制，专人负责处理信访。全年共接待和处理信访案件460例700余人次，其中当面接待280批，书面回复省网上信访系统8例、“12345”市民热线工单33例、依申请信息公开8例、其他交办件6例、化解息访息诉对象67户，有效的遏制了群体性事情的发生，</w:t>
      </w:r>
      <w:r>
        <w:rPr>
          <w:rFonts w:hint="eastAsia" w:ascii="仿宋" w:hAnsi="仿宋" w:eastAsia="仿宋" w:cs="仿宋"/>
          <w:b w:val="0"/>
          <w:bCs w:val="0"/>
          <w:sz w:val="32"/>
          <w:szCs w:val="32"/>
          <w:lang w:val="en-US" w:eastAsia="zh-CN"/>
        </w:rPr>
        <w:t>同时</w:t>
      </w:r>
      <w:r>
        <w:rPr>
          <w:rFonts w:hint="eastAsia" w:ascii="仿宋" w:hAnsi="仿宋" w:eastAsia="仿宋" w:cs="仿宋"/>
          <w:b w:val="0"/>
          <w:bCs w:val="0"/>
          <w:sz w:val="32"/>
          <w:szCs w:val="32"/>
        </w:rPr>
        <w:t>在化解长重、长摩等一系列信访问题上取得重大突破。</w:t>
      </w:r>
    </w:p>
    <w:p>
      <w:pPr>
        <w:spacing w:line="540" w:lineRule="exact"/>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3.突出重点，推进有力。重点对项目推进过程中存在的非经营性资产移交、军产、未登记建筑合法性认定等问题进行全面梳理、分类、汇总，区主要领导亲自进行协调，召集相关部门进行专题研究讨论，形成具体解决方案，真正做到实质性推进征收工作。根据征收进度依法进行信息公开，实时公布征收公告、签约进度、征收补偿款等相关情况，真正做到“公平”“公正”“公开”，有效打消了被征拆对象“不患多寡患不均”的疑虑。</w:t>
      </w:r>
    </w:p>
    <w:p>
      <w:pPr>
        <w:widowControl/>
        <w:spacing w:line="540" w:lineRule="exact"/>
        <w:ind w:firstLine="627" w:firstLineChars="196"/>
        <w:jc w:val="left"/>
        <w:rPr>
          <w:rFonts w:hint="eastAsia" w:ascii="仿宋" w:hAnsi="仿宋" w:eastAsia="仿宋" w:cs="仿宋"/>
          <w:b w:val="0"/>
          <w:bCs w:val="0"/>
          <w:sz w:val="32"/>
          <w:szCs w:val="32"/>
        </w:rPr>
      </w:pPr>
      <w:r>
        <w:rPr>
          <w:rFonts w:hint="eastAsia" w:ascii="仿宋" w:hAnsi="仿宋" w:eastAsia="仿宋" w:cs="仿宋"/>
          <w:b w:val="0"/>
          <w:bCs w:val="0"/>
          <w:kern w:val="0"/>
          <w:sz w:val="32"/>
          <w:szCs w:val="32"/>
          <w:lang w:eastAsia="zh-CN"/>
        </w:rPr>
        <w:t>（三）</w:t>
      </w:r>
      <w:r>
        <w:rPr>
          <w:rFonts w:hint="eastAsia" w:ascii="仿宋" w:hAnsi="仿宋" w:eastAsia="仿宋" w:cs="仿宋"/>
          <w:b w:val="0"/>
          <w:bCs w:val="0"/>
          <w:kern w:val="0"/>
          <w:sz w:val="32"/>
          <w:szCs w:val="32"/>
        </w:rPr>
        <w:t>、</w:t>
      </w:r>
      <w:r>
        <w:rPr>
          <w:rFonts w:hint="eastAsia" w:ascii="仿宋" w:hAnsi="仿宋" w:eastAsia="仿宋" w:cs="仿宋"/>
          <w:b w:val="0"/>
          <w:bCs w:val="0"/>
          <w:sz w:val="32"/>
          <w:szCs w:val="32"/>
        </w:rPr>
        <w:t>中心工作，扎实推进。</w:t>
      </w:r>
    </w:p>
    <w:p>
      <w:pPr>
        <w:spacing w:line="540" w:lineRule="exact"/>
        <w:ind w:firstLine="627" w:firstLineChars="196"/>
        <w:rPr>
          <w:rFonts w:hint="eastAsia" w:ascii="仿宋" w:hAnsi="仿宋" w:eastAsia="仿宋" w:cs="仿宋"/>
          <w:b w:val="0"/>
          <w:bCs w:val="0"/>
          <w:sz w:val="32"/>
          <w:szCs w:val="32"/>
        </w:rPr>
      </w:pPr>
      <w:r>
        <w:rPr>
          <w:rFonts w:hint="eastAsia" w:ascii="仿宋" w:hAnsi="仿宋" w:eastAsia="仿宋" w:cs="仿宋"/>
          <w:b w:val="0"/>
          <w:bCs w:val="0"/>
          <w:sz w:val="32"/>
          <w:szCs w:val="32"/>
        </w:rPr>
        <w:t>1.井然有序开展党建工作。</w:t>
      </w:r>
      <w:r>
        <w:rPr>
          <w:rFonts w:hint="eastAsia" w:ascii="仿宋" w:hAnsi="仿宋" w:eastAsia="仿宋" w:cs="仿宋"/>
          <w:b w:val="0"/>
          <w:bCs w:val="0"/>
          <w:sz w:val="32"/>
          <w:szCs w:val="32"/>
          <w:shd w:val="clear" w:color="auto" w:fill="FFFFFF"/>
        </w:rPr>
        <w:t>严格履行全面从严治党主体责任和监督责任，把思想政治建设摆在首位。突出责任落实，明确党建分工，按要求进行支部书记改选、支部委员补选等。研究制定年度党建工作计划和主题党日计划，有计划开展党建工作，营造浓厚的党建氛围。积极开展“</w:t>
      </w:r>
      <w:r>
        <w:rPr>
          <w:rFonts w:hint="eastAsia" w:ascii="仿宋" w:hAnsi="仿宋" w:eastAsia="仿宋" w:cs="仿宋"/>
          <w:b w:val="0"/>
          <w:bCs w:val="0"/>
          <w:sz w:val="32"/>
          <w:szCs w:val="32"/>
          <w:shd w:val="clear" w:color="auto" w:fill="FFFFFF"/>
          <w:lang w:val="en-US" w:eastAsia="zh-CN"/>
        </w:rPr>
        <w:t>抗击疫情</w:t>
      </w:r>
      <w:r>
        <w:rPr>
          <w:rFonts w:hint="eastAsia" w:ascii="仿宋" w:hAnsi="仿宋" w:eastAsia="仿宋" w:cs="仿宋"/>
          <w:b w:val="0"/>
          <w:bCs w:val="0"/>
          <w:sz w:val="32"/>
          <w:szCs w:val="32"/>
          <w:shd w:val="clear" w:color="auto" w:fill="FFFFFF"/>
        </w:rPr>
        <w:t>”、“雷锋家乡学雷锋，雷锋精神代代传”</w:t>
      </w:r>
      <w:r>
        <w:rPr>
          <w:rFonts w:hint="eastAsia" w:ascii="仿宋" w:hAnsi="仿宋" w:eastAsia="仿宋" w:cs="仿宋"/>
          <w:b w:val="0"/>
          <w:bCs w:val="0"/>
          <w:sz w:val="32"/>
          <w:szCs w:val="32"/>
          <w:shd w:val="clear" w:color="auto" w:fill="FFFFFF"/>
          <w:lang w:eastAsia="zh-CN"/>
        </w:rPr>
        <w:t>、</w:t>
      </w:r>
      <w:r>
        <w:rPr>
          <w:rFonts w:hint="eastAsia" w:ascii="仿宋" w:hAnsi="仿宋" w:eastAsia="仿宋" w:cs="仿宋"/>
          <w:b w:val="0"/>
          <w:bCs w:val="0"/>
          <w:color w:val="000000"/>
          <w:sz w:val="32"/>
          <w:szCs w:val="32"/>
          <w:lang w:eastAsia="zh-CN"/>
        </w:rPr>
        <w:t>“雨花时代先声”、“光影铸魂”</w:t>
      </w:r>
      <w:r>
        <w:rPr>
          <w:rFonts w:hint="eastAsia" w:ascii="仿宋" w:hAnsi="仿宋" w:eastAsia="仿宋" w:cs="仿宋"/>
          <w:b w:val="0"/>
          <w:bCs w:val="0"/>
          <w:color w:val="000000"/>
          <w:sz w:val="32"/>
          <w:szCs w:val="32"/>
          <w:lang w:val="en-US" w:eastAsia="zh-CN"/>
        </w:rPr>
        <w:t>观影</w:t>
      </w:r>
      <w:r>
        <w:rPr>
          <w:rFonts w:hint="eastAsia" w:ascii="仿宋" w:hAnsi="仿宋" w:eastAsia="仿宋" w:cs="仿宋"/>
          <w:b w:val="0"/>
          <w:bCs w:val="0"/>
          <w:sz w:val="32"/>
          <w:szCs w:val="32"/>
          <w:shd w:val="clear" w:color="auto" w:fill="FFFFFF"/>
        </w:rPr>
        <w:t>等一系列活动，以活动促教育，深化组织意识。</w:t>
      </w:r>
      <w:r>
        <w:rPr>
          <w:rFonts w:hint="eastAsia" w:ascii="仿宋" w:hAnsi="仿宋" w:eastAsia="仿宋" w:cs="仿宋"/>
          <w:b w:val="0"/>
          <w:bCs w:val="0"/>
          <w:sz w:val="32"/>
          <w:szCs w:val="32"/>
        </w:rPr>
        <w:t>结合工作实际，同时在社区认真开展</w:t>
      </w:r>
      <w:r>
        <w:rPr>
          <w:rFonts w:hint="eastAsia" w:ascii="仿宋" w:hAnsi="仿宋" w:eastAsia="仿宋" w:cs="仿宋"/>
          <w:b w:val="0"/>
          <w:bCs w:val="0"/>
          <w:sz w:val="32"/>
          <w:szCs w:val="32"/>
          <w:shd w:val="clear" w:color="auto" w:fill="FFFFFF"/>
        </w:rPr>
        <w:t>“民情大走访、实事大联办”结对帮扶活动，着实为社区办好“</w:t>
      </w:r>
      <w:r>
        <w:rPr>
          <w:rFonts w:hint="eastAsia" w:ascii="仿宋" w:hAnsi="仿宋" w:eastAsia="仿宋" w:cs="仿宋"/>
          <w:b w:val="0"/>
          <w:bCs w:val="0"/>
          <w:sz w:val="32"/>
          <w:lang w:val="en-US" w:eastAsia="zh-CN"/>
        </w:rPr>
        <w:t>辖区内新点缘绿化带垃圾堆物清运、中建桂苑沿井湾路门面前坪道路补损、花坛改造补绿、垃圾点位规范</w:t>
      </w:r>
      <w:r>
        <w:rPr>
          <w:rFonts w:hint="eastAsia" w:ascii="仿宋" w:hAnsi="仿宋" w:eastAsia="仿宋" w:cs="仿宋"/>
          <w:b w:val="0"/>
          <w:bCs w:val="0"/>
          <w:sz w:val="32"/>
          <w:szCs w:val="32"/>
          <w:shd w:val="clear" w:color="auto" w:fill="FFFFFF"/>
        </w:rPr>
        <w:t>”</w:t>
      </w:r>
      <w:r>
        <w:rPr>
          <w:rFonts w:hint="eastAsia" w:ascii="仿宋" w:hAnsi="仿宋" w:eastAsia="仿宋" w:cs="仿宋"/>
          <w:b w:val="0"/>
          <w:bCs w:val="0"/>
          <w:sz w:val="32"/>
          <w:szCs w:val="32"/>
        </w:rPr>
        <w:t>等</w:t>
      </w:r>
      <w:r>
        <w:rPr>
          <w:rFonts w:hint="eastAsia" w:ascii="仿宋" w:hAnsi="仿宋" w:eastAsia="仿宋" w:cs="仿宋"/>
          <w:b w:val="0"/>
          <w:bCs w:val="0"/>
          <w:sz w:val="32"/>
          <w:szCs w:val="32"/>
          <w:lang w:val="en-US" w:eastAsia="zh-CN"/>
        </w:rPr>
        <w:t>几件</w:t>
      </w:r>
      <w:r>
        <w:rPr>
          <w:rFonts w:hint="eastAsia" w:ascii="仿宋" w:hAnsi="仿宋" w:eastAsia="仿宋" w:cs="仿宋"/>
          <w:b w:val="0"/>
          <w:bCs w:val="0"/>
          <w:sz w:val="32"/>
          <w:szCs w:val="32"/>
        </w:rPr>
        <w:t>实事。</w:t>
      </w:r>
    </w:p>
    <w:p>
      <w:pPr>
        <w:pStyle w:val="3"/>
        <w:keepNext w:val="0"/>
        <w:keepLines w:val="0"/>
        <w:pageBreakBefore w:val="0"/>
        <w:widowControl/>
        <w:shd w:val="clear" w:color="070000" w:fill="FFFFFF"/>
        <w:kinsoku/>
        <w:wordWrap/>
        <w:overflowPunct/>
        <w:topLinePunct w:val="0"/>
        <w:autoSpaceDE/>
        <w:autoSpaceDN/>
        <w:bidi w:val="0"/>
        <w:adjustRightInd/>
        <w:snapToGrid/>
        <w:spacing w:before="0" w:beforeAutospacing="0" w:after="0" w:afterAutospacing="0" w:line="520" w:lineRule="exact"/>
        <w:ind w:firstLine="640"/>
        <w:jc w:val="both"/>
        <w:textAlignment w:val="auto"/>
        <w:rPr>
          <w:rFonts w:hint="eastAsia" w:ascii="仿宋" w:hAnsi="仿宋" w:eastAsia="仿宋" w:cs="仿宋"/>
          <w:b w:val="0"/>
          <w:bCs w:val="0"/>
          <w:kern w:val="2"/>
          <w:sz w:val="32"/>
          <w:szCs w:val="32"/>
        </w:rPr>
      </w:pPr>
      <w:r>
        <w:rPr>
          <w:rFonts w:hint="eastAsia" w:ascii="仿宋" w:hAnsi="仿宋" w:eastAsia="仿宋" w:cs="仿宋"/>
          <w:b w:val="0"/>
          <w:bCs w:val="0"/>
          <w:sz w:val="32"/>
          <w:szCs w:val="32"/>
        </w:rPr>
        <w:t>2.深入落实意识形态工作。在区委的正确领导下，认真贯彻落实</w:t>
      </w:r>
      <w:r>
        <w:rPr>
          <w:rFonts w:hint="eastAsia" w:ascii="仿宋" w:hAnsi="仿宋" w:eastAsia="仿宋" w:cs="仿宋"/>
          <w:b w:val="0"/>
          <w:bCs w:val="0"/>
          <w:sz w:val="32"/>
          <w:szCs w:val="32"/>
          <w:lang w:eastAsia="zh-CN"/>
        </w:rPr>
        <w:t>习近平</w:t>
      </w:r>
      <w:r>
        <w:rPr>
          <w:rFonts w:hint="eastAsia" w:ascii="仿宋" w:hAnsi="仿宋" w:eastAsia="仿宋" w:cs="仿宋"/>
          <w:b w:val="0"/>
          <w:bCs w:val="0"/>
          <w:sz w:val="32"/>
          <w:szCs w:val="32"/>
        </w:rPr>
        <w:t>总书记关于意识形态工作的系列</w:t>
      </w:r>
      <w:r>
        <w:rPr>
          <w:rFonts w:hint="eastAsia" w:ascii="仿宋" w:hAnsi="仿宋" w:eastAsia="仿宋" w:cs="仿宋"/>
          <w:b w:val="0"/>
          <w:bCs w:val="0"/>
          <w:sz w:val="32"/>
          <w:szCs w:val="32"/>
          <w:lang w:eastAsia="zh-CN"/>
        </w:rPr>
        <w:t>重要</w:t>
      </w:r>
      <w:r>
        <w:rPr>
          <w:rFonts w:hint="eastAsia" w:ascii="仿宋" w:hAnsi="仿宋" w:eastAsia="仿宋" w:cs="仿宋"/>
          <w:b w:val="0"/>
          <w:bCs w:val="0"/>
          <w:sz w:val="32"/>
          <w:szCs w:val="32"/>
        </w:rPr>
        <w:t>讲话精神，积极培育和践行社会主义核心价值观，统一思想、凝聚力量。认真履行班子集体意识形态工作的主体责任，明确党组书记、主任为第一责任人，</w:t>
      </w:r>
      <w:r>
        <w:rPr>
          <w:rFonts w:hint="eastAsia" w:ascii="仿宋" w:hAnsi="仿宋" w:eastAsia="仿宋" w:cs="仿宋"/>
          <w:b w:val="0"/>
          <w:bCs w:val="0"/>
          <w:sz w:val="32"/>
          <w:szCs w:val="32"/>
          <w:lang w:val="en-US" w:eastAsia="zh-CN"/>
        </w:rPr>
        <w:t>其他</w:t>
      </w:r>
      <w:r>
        <w:rPr>
          <w:rFonts w:hint="eastAsia" w:ascii="仿宋" w:hAnsi="仿宋" w:eastAsia="仿宋" w:cs="仿宋"/>
          <w:b w:val="0"/>
          <w:bCs w:val="0"/>
          <w:sz w:val="32"/>
          <w:szCs w:val="32"/>
        </w:rPr>
        <w:t>党组成员、</w:t>
      </w:r>
      <w:r>
        <w:rPr>
          <w:rFonts w:hint="eastAsia" w:ascii="仿宋" w:hAnsi="仿宋" w:eastAsia="仿宋" w:cs="仿宋"/>
          <w:b w:val="0"/>
          <w:bCs w:val="0"/>
          <w:sz w:val="32"/>
          <w:szCs w:val="32"/>
          <w:lang w:val="en-US" w:eastAsia="zh-CN"/>
        </w:rPr>
        <w:t>班子成员</w:t>
      </w:r>
      <w:r>
        <w:rPr>
          <w:rFonts w:hint="eastAsia" w:ascii="仿宋" w:hAnsi="仿宋" w:eastAsia="仿宋" w:cs="仿宋"/>
          <w:b w:val="0"/>
          <w:bCs w:val="0"/>
          <w:sz w:val="32"/>
          <w:szCs w:val="32"/>
        </w:rPr>
        <w:t>为分管责任人，建立完善责任考核机制，与党的其他工作紧密结合，同部署、同落实。</w:t>
      </w:r>
      <w:r>
        <w:rPr>
          <w:rFonts w:hint="eastAsia" w:ascii="仿宋" w:hAnsi="仿宋" w:eastAsia="仿宋" w:cs="仿宋"/>
          <w:b w:val="0"/>
          <w:bCs w:val="0"/>
          <w:kern w:val="2"/>
          <w:sz w:val="32"/>
          <w:szCs w:val="32"/>
          <w:lang w:val="en-US" w:eastAsia="zh-CN"/>
        </w:rPr>
        <w:t>持续</w:t>
      </w:r>
      <w:r>
        <w:rPr>
          <w:rFonts w:hint="eastAsia" w:ascii="仿宋" w:hAnsi="仿宋" w:eastAsia="仿宋" w:cs="仿宋"/>
          <w:b w:val="0"/>
          <w:bCs w:val="0"/>
          <w:kern w:val="2"/>
          <w:sz w:val="32"/>
          <w:szCs w:val="32"/>
        </w:rPr>
        <w:t>组织开展党的十九大精神及《学习强国》平台内容的深入学习。落实意识形态领域舆情风险管理机制，完善突发事件应急处理办法。信访问题，积极化解</w:t>
      </w:r>
      <w:r>
        <w:rPr>
          <w:rFonts w:hint="eastAsia" w:ascii="仿宋" w:hAnsi="仿宋" w:eastAsia="仿宋" w:cs="仿宋"/>
          <w:b w:val="0"/>
          <w:bCs w:val="0"/>
          <w:kern w:val="2"/>
          <w:sz w:val="32"/>
          <w:szCs w:val="32"/>
          <w:lang w:eastAsia="zh-CN"/>
        </w:rPr>
        <w:t>，</w:t>
      </w:r>
      <w:r>
        <w:rPr>
          <w:rFonts w:hint="eastAsia" w:ascii="仿宋" w:hAnsi="仿宋" w:eastAsia="仿宋" w:cs="仿宋"/>
          <w:b w:val="0"/>
          <w:bCs w:val="0"/>
          <w:kern w:val="2"/>
          <w:sz w:val="32"/>
          <w:szCs w:val="32"/>
        </w:rPr>
        <w:t>网络舆情，有效应对</w:t>
      </w:r>
      <w:r>
        <w:rPr>
          <w:rFonts w:hint="eastAsia" w:ascii="仿宋" w:hAnsi="仿宋" w:eastAsia="仿宋" w:cs="仿宋"/>
          <w:b w:val="0"/>
          <w:bCs w:val="0"/>
          <w:kern w:val="2"/>
          <w:sz w:val="32"/>
          <w:szCs w:val="32"/>
          <w:lang w:eastAsia="zh-CN"/>
        </w:rPr>
        <w:t>，</w:t>
      </w:r>
      <w:r>
        <w:rPr>
          <w:rFonts w:hint="eastAsia" w:ascii="仿宋" w:hAnsi="仿宋" w:eastAsia="仿宋" w:cs="仿宋"/>
          <w:b w:val="0"/>
          <w:bCs w:val="0"/>
          <w:kern w:val="2"/>
          <w:sz w:val="32"/>
          <w:szCs w:val="32"/>
        </w:rPr>
        <w:t>约束党员干部网上言行，规范工作QQ群、微信群相关信息。坚持做好网络舆论管理，掌控网络意识形态主导权,同时密切关注《互联网舆情研判和应急报送系统》，切实做到舆情情况第一时间知晓，引导和服务第一时间到位。</w:t>
      </w:r>
    </w:p>
    <w:p>
      <w:pPr>
        <w:spacing w:line="54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3.不断加强征拆队伍建设。</w:t>
      </w:r>
      <w:r>
        <w:rPr>
          <w:rFonts w:hint="eastAsia" w:ascii="仿宋" w:hAnsi="仿宋" w:eastAsia="仿宋" w:cs="仿宋"/>
          <w:b w:val="0"/>
          <w:bCs w:val="0"/>
          <w:spacing w:val="-2"/>
          <w:sz w:val="32"/>
          <w:szCs w:val="32"/>
        </w:rPr>
        <w:t>科学统筹协调各级关系，确保班子的领导核心和班子模范带头作用得到较好发挥。坚持敢于负责，敢抓敢管，分工合作，相互支持，共同进步。强化</w:t>
      </w:r>
      <w:r>
        <w:rPr>
          <w:rFonts w:hint="eastAsia" w:ascii="仿宋" w:hAnsi="仿宋" w:eastAsia="仿宋" w:cs="仿宋"/>
          <w:b w:val="0"/>
          <w:bCs w:val="0"/>
          <w:spacing w:val="-2"/>
          <w:sz w:val="32"/>
          <w:szCs w:val="32"/>
          <w:lang w:val="en-US" w:eastAsia="zh-CN"/>
        </w:rPr>
        <w:t>廉政</w:t>
      </w:r>
      <w:r>
        <w:rPr>
          <w:rFonts w:hint="eastAsia" w:ascii="仿宋" w:hAnsi="仿宋" w:eastAsia="仿宋" w:cs="仿宋"/>
          <w:b w:val="0"/>
          <w:bCs w:val="0"/>
          <w:spacing w:val="-2"/>
          <w:sz w:val="32"/>
          <w:szCs w:val="32"/>
        </w:rPr>
        <w:t>教育，统一队伍思想。</w:t>
      </w:r>
      <w:r>
        <w:rPr>
          <w:rFonts w:hint="eastAsia" w:ascii="仿宋" w:hAnsi="仿宋" w:eastAsia="仿宋" w:cs="仿宋"/>
          <w:b w:val="0"/>
          <w:bCs w:val="0"/>
          <w:spacing w:val="-2"/>
          <w:sz w:val="32"/>
          <w:szCs w:val="32"/>
          <w:lang w:val="en-US" w:eastAsia="zh-CN"/>
        </w:rPr>
        <w:t>将</w:t>
      </w:r>
      <w:r>
        <w:rPr>
          <w:rFonts w:hint="eastAsia" w:ascii="仿宋" w:hAnsi="仿宋" w:eastAsia="仿宋" w:cs="仿宋"/>
          <w:b w:val="0"/>
          <w:bCs w:val="0"/>
          <w:color w:val="000000"/>
          <w:spacing w:val="-6"/>
          <w:sz w:val="32"/>
          <w:szCs w:val="32"/>
          <w:shd w:val="clear" w:color="auto" w:fill="FFFFFF"/>
        </w:rPr>
        <w:t>《中国共产党廉洁自律准则》</w:t>
      </w:r>
      <w:r>
        <w:rPr>
          <w:rFonts w:hint="eastAsia" w:ascii="仿宋" w:hAnsi="仿宋" w:eastAsia="仿宋" w:cs="仿宋"/>
          <w:b w:val="0"/>
          <w:bCs w:val="0"/>
          <w:color w:val="000000"/>
          <w:spacing w:val="-6"/>
          <w:sz w:val="32"/>
          <w:szCs w:val="32"/>
          <w:shd w:val="clear" w:color="auto" w:fill="FFFFFF"/>
          <w:lang w:eastAsia="zh-CN"/>
        </w:rPr>
        <w:t>、</w:t>
      </w:r>
      <w:r>
        <w:rPr>
          <w:rFonts w:hint="eastAsia" w:ascii="仿宋" w:hAnsi="仿宋" w:eastAsia="仿宋" w:cs="仿宋"/>
          <w:b w:val="0"/>
          <w:bCs w:val="0"/>
          <w:color w:val="000000"/>
          <w:spacing w:val="-6"/>
          <w:sz w:val="32"/>
          <w:szCs w:val="32"/>
          <w:shd w:val="clear" w:color="auto" w:fill="FFFFFF"/>
        </w:rPr>
        <w:t>《党员领</w:t>
      </w:r>
      <w:r>
        <w:rPr>
          <w:rFonts w:hint="eastAsia" w:ascii="仿宋" w:hAnsi="仿宋" w:eastAsia="仿宋" w:cs="仿宋"/>
          <w:b w:val="0"/>
          <w:bCs w:val="0"/>
          <w:color w:val="000000"/>
          <w:spacing w:val="-4"/>
          <w:sz w:val="32"/>
          <w:szCs w:val="32"/>
          <w:shd w:val="clear" w:color="auto" w:fill="FFFFFF"/>
        </w:rPr>
        <w:t>导干部廉洁从政若干准则》</w:t>
      </w:r>
      <w:r>
        <w:rPr>
          <w:rFonts w:hint="eastAsia" w:ascii="仿宋" w:hAnsi="仿宋" w:eastAsia="仿宋" w:cs="仿宋"/>
          <w:b w:val="0"/>
          <w:bCs w:val="0"/>
          <w:spacing w:val="-2"/>
          <w:sz w:val="32"/>
          <w:szCs w:val="32"/>
        </w:rPr>
        <w:t>纳入到日常学习中，用政治理论武装头脑，用制度规范管理干部</w:t>
      </w:r>
      <w:r>
        <w:rPr>
          <w:rFonts w:hint="eastAsia" w:ascii="仿宋" w:hAnsi="仿宋" w:eastAsia="仿宋" w:cs="仿宋"/>
          <w:b w:val="0"/>
          <w:bCs w:val="0"/>
          <w:spacing w:val="-2"/>
          <w:sz w:val="32"/>
          <w:szCs w:val="32"/>
          <w:lang w:eastAsia="zh-CN"/>
        </w:rPr>
        <w:t>。</w:t>
      </w:r>
      <w:r>
        <w:rPr>
          <w:rFonts w:hint="eastAsia" w:ascii="仿宋" w:hAnsi="仿宋" w:eastAsia="仿宋" w:cs="仿宋"/>
          <w:b w:val="0"/>
          <w:bCs w:val="0"/>
          <w:spacing w:val="-2"/>
          <w:kern w:val="0"/>
          <w:sz w:val="32"/>
          <w:szCs w:val="32"/>
        </w:rPr>
        <w:t>加强理论联系实际，</w:t>
      </w:r>
      <w:r>
        <w:rPr>
          <w:rFonts w:hint="eastAsia" w:ascii="仿宋" w:hAnsi="仿宋" w:eastAsia="仿宋" w:cs="仿宋"/>
          <w:b w:val="0"/>
          <w:bCs w:val="0"/>
          <w:spacing w:val="-2"/>
          <w:kern w:val="0"/>
          <w:sz w:val="32"/>
          <w:szCs w:val="32"/>
          <w:lang w:val="en-US" w:eastAsia="zh-CN"/>
        </w:rPr>
        <w:t>在上级部门组织下安排</w:t>
      </w:r>
      <w:r>
        <w:rPr>
          <w:rFonts w:hint="eastAsia" w:ascii="仿宋" w:hAnsi="仿宋" w:eastAsia="仿宋" w:cs="仿宋"/>
          <w:b w:val="0"/>
          <w:bCs w:val="0"/>
          <w:spacing w:val="-2"/>
          <w:kern w:val="0"/>
          <w:sz w:val="32"/>
          <w:szCs w:val="32"/>
        </w:rPr>
        <w:t>工作人员赴</w:t>
      </w:r>
      <w:r>
        <w:rPr>
          <w:rFonts w:hint="eastAsia" w:ascii="仿宋" w:hAnsi="仿宋" w:eastAsia="仿宋" w:cs="仿宋"/>
          <w:b w:val="0"/>
          <w:bCs w:val="0"/>
          <w:spacing w:val="-2"/>
          <w:kern w:val="0"/>
          <w:sz w:val="32"/>
          <w:szCs w:val="32"/>
          <w:lang w:val="en-US" w:eastAsia="zh-CN"/>
        </w:rPr>
        <w:t>汕头、成都</w:t>
      </w:r>
      <w:r>
        <w:rPr>
          <w:rFonts w:hint="eastAsia" w:ascii="仿宋" w:hAnsi="仿宋" w:eastAsia="仿宋" w:cs="仿宋"/>
          <w:b w:val="0"/>
          <w:bCs w:val="0"/>
          <w:spacing w:val="-2"/>
          <w:kern w:val="0"/>
          <w:sz w:val="32"/>
          <w:szCs w:val="32"/>
        </w:rPr>
        <w:t>学习先进经验和做法，提高业务素质，提升服务意识。</w:t>
      </w:r>
    </w:p>
    <w:p>
      <w:pPr>
        <w:pStyle w:val="10"/>
        <w:keepNext w:val="0"/>
        <w:keepLines w:val="0"/>
        <w:pageBreakBefore w:val="0"/>
        <w:widowControl/>
        <w:kinsoku/>
        <w:wordWrap/>
        <w:overflowPunct/>
        <w:topLinePunct w:val="0"/>
        <w:autoSpaceDE/>
        <w:autoSpaceDN/>
        <w:bidi w:val="0"/>
        <w:adjustRightInd/>
        <w:snapToGrid/>
        <w:spacing w:line="520" w:lineRule="exact"/>
        <w:ind w:left="640" w:firstLine="0" w:firstLineChars="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、存在的问题及原因分析</w:t>
      </w:r>
    </w:p>
    <w:p>
      <w:pPr>
        <w:spacing w:line="540" w:lineRule="exact"/>
        <w:ind w:firstLine="632" w:firstLineChars="200"/>
        <w:rPr>
          <w:rFonts w:hint="eastAsia" w:ascii="仿宋" w:hAnsi="仿宋" w:eastAsia="仿宋" w:cs="仿宋"/>
          <w:b w:val="0"/>
          <w:bCs w:val="0"/>
          <w:spacing w:val="-2"/>
          <w:sz w:val="32"/>
          <w:szCs w:val="32"/>
          <w:lang w:val="en-US" w:eastAsia="zh-CN"/>
        </w:rPr>
      </w:pPr>
      <w:r>
        <w:rPr>
          <w:rFonts w:hint="eastAsia" w:ascii="仿宋" w:hAnsi="仿宋" w:eastAsia="仿宋" w:cs="仿宋"/>
          <w:b w:val="0"/>
          <w:bCs w:val="0"/>
          <w:spacing w:val="-2"/>
          <w:sz w:val="32"/>
          <w:szCs w:val="32"/>
          <w:lang w:val="en-US" w:eastAsia="zh-CN"/>
        </w:rPr>
        <w:t>2020年雨花区征收办预算支出执行中，</w:t>
      </w:r>
      <w:r>
        <w:rPr>
          <w:rFonts w:hint="eastAsia" w:ascii="仿宋" w:hAnsi="仿宋" w:eastAsia="仿宋" w:cs="仿宋"/>
          <w:b w:val="0"/>
          <w:bCs w:val="0"/>
          <w:spacing w:val="-2"/>
          <w:sz w:val="32"/>
          <w:szCs w:val="32"/>
        </w:rPr>
        <w:t>基本支出</w:t>
      </w:r>
      <w:r>
        <w:rPr>
          <w:rFonts w:hint="eastAsia" w:ascii="仿宋" w:hAnsi="仿宋" w:eastAsia="仿宋" w:cs="仿宋"/>
          <w:b w:val="0"/>
          <w:bCs w:val="0"/>
          <w:spacing w:val="-2"/>
          <w:sz w:val="32"/>
          <w:szCs w:val="32"/>
          <w:lang w:val="en-US" w:eastAsia="zh-CN"/>
        </w:rPr>
        <w:t>482.93</w:t>
      </w:r>
      <w:r>
        <w:rPr>
          <w:rFonts w:hint="eastAsia" w:ascii="仿宋" w:hAnsi="仿宋" w:eastAsia="仿宋" w:cs="仿宋"/>
          <w:b w:val="0"/>
          <w:bCs w:val="0"/>
          <w:spacing w:val="-2"/>
          <w:sz w:val="32"/>
          <w:szCs w:val="32"/>
        </w:rPr>
        <w:t>万元</w:t>
      </w:r>
      <w:r>
        <w:rPr>
          <w:rFonts w:hint="eastAsia" w:ascii="仿宋" w:hAnsi="仿宋" w:eastAsia="仿宋" w:cs="仿宋"/>
          <w:b w:val="0"/>
          <w:bCs w:val="0"/>
          <w:spacing w:val="-2"/>
          <w:sz w:val="32"/>
          <w:szCs w:val="32"/>
          <w:lang w:eastAsia="zh-CN"/>
        </w:rPr>
        <w:t>，</w:t>
      </w:r>
      <w:r>
        <w:rPr>
          <w:rFonts w:hint="eastAsia" w:ascii="仿宋" w:hAnsi="仿宋" w:eastAsia="仿宋" w:cs="仿宋"/>
          <w:b w:val="0"/>
          <w:bCs w:val="0"/>
          <w:spacing w:val="-2"/>
          <w:sz w:val="32"/>
          <w:szCs w:val="32"/>
          <w:lang w:val="en-US" w:eastAsia="zh-CN"/>
        </w:rPr>
        <w:t>比年初预算批复数495.73万元减少12.80万元。其中，人员经费444.99万元，比年初预算批复数454.02万元减少9.03万元，公用经费37.94万元，比年初预算批复数41.71万元减少3.77万元。</w:t>
      </w:r>
      <w:r>
        <w:rPr>
          <w:rFonts w:hint="eastAsia" w:ascii="仿宋" w:hAnsi="仿宋" w:eastAsia="仿宋" w:cs="仿宋"/>
          <w:b w:val="0"/>
          <w:bCs w:val="0"/>
          <w:spacing w:val="-2"/>
          <w:sz w:val="32"/>
          <w:szCs w:val="32"/>
          <w:lang w:eastAsia="zh-CN"/>
        </w:rPr>
        <w:t>项目支出</w:t>
      </w:r>
      <w:r>
        <w:rPr>
          <w:rFonts w:hint="eastAsia" w:ascii="仿宋" w:hAnsi="仿宋" w:eastAsia="仿宋" w:cs="仿宋"/>
          <w:b w:val="0"/>
          <w:bCs w:val="0"/>
          <w:spacing w:val="-2"/>
          <w:sz w:val="32"/>
          <w:szCs w:val="32"/>
          <w:lang w:val="en-US" w:eastAsia="zh-CN"/>
        </w:rPr>
        <w:t>1450.39万元，比年初预算批复数106万元增加1344.39万元。其中，一般行政管理事务105.19万元（含征收管理、法律顾问服务、劳务派遣、办公设备维保及档案整理），比年初预算批复数106万元减少0.81万元，其他城乡社区支出1345.20万元，该项支出无年初预算。</w:t>
      </w:r>
    </w:p>
    <w:p>
      <w:pPr>
        <w:pStyle w:val="11"/>
        <w:keepNext w:val="0"/>
        <w:keepLines w:val="0"/>
        <w:pageBreakBefore w:val="0"/>
        <w:kinsoku/>
        <w:wordWrap/>
        <w:overflowPunct/>
        <w:topLinePunct w:val="0"/>
        <w:autoSpaceDE/>
        <w:autoSpaceDN/>
        <w:bidi w:val="0"/>
        <w:adjustRightInd/>
        <w:snapToGrid/>
        <w:spacing w:line="560" w:lineRule="exact"/>
        <w:ind w:right="0" w:rightChars="0" w:firstLine="632" w:firstLineChars="200"/>
        <w:textAlignment w:val="auto"/>
        <w:outlineLvl w:val="9"/>
        <w:rPr>
          <w:rFonts w:hint="eastAsia" w:ascii="仿宋_GB2312" w:hAnsi="仿宋_GB2312" w:eastAsia="仿宋_GB2312" w:cs="仿宋_GB2312"/>
          <w:b/>
          <w:bCs/>
          <w:sz w:val="32"/>
          <w:szCs w:val="32"/>
        </w:rPr>
      </w:pPr>
      <w:r>
        <w:rPr>
          <w:rFonts w:hint="eastAsia" w:ascii="仿宋" w:hAnsi="仿宋" w:eastAsia="仿宋" w:cs="仿宋"/>
          <w:b w:val="0"/>
          <w:bCs w:val="0"/>
          <w:spacing w:val="-2"/>
          <w:sz w:val="32"/>
          <w:szCs w:val="32"/>
        </w:rPr>
        <w:t>基本支出</w:t>
      </w:r>
      <w:r>
        <w:rPr>
          <w:rFonts w:hint="eastAsia" w:ascii="仿宋" w:hAnsi="仿宋" w:eastAsia="仿宋" w:cs="仿宋"/>
          <w:b w:val="0"/>
          <w:bCs w:val="0"/>
          <w:spacing w:val="-2"/>
          <w:sz w:val="32"/>
          <w:szCs w:val="32"/>
          <w:lang w:val="en-US" w:eastAsia="zh-CN"/>
        </w:rPr>
        <w:t>比年初预算批复数减少的主要原因：厉行节约，一般性支出压减。</w:t>
      </w:r>
      <w:r>
        <w:rPr>
          <w:rFonts w:hint="eastAsia" w:ascii="仿宋_GB2312" w:hAnsi="仿宋_GB2312" w:cs="仿宋_GB2312"/>
          <w:color w:val="auto"/>
          <w:sz w:val="32"/>
          <w:szCs w:val="32"/>
          <w:lang w:val="en-US" w:eastAsia="zh-CN"/>
        </w:rPr>
        <w:t>项目支出比年初预算批复数增加的主要原</w:t>
      </w:r>
      <w:r>
        <w:rPr>
          <w:rFonts w:hint="eastAsia" w:ascii="仿宋_GB2312" w:hAnsi="仿宋_GB2312" w:cs="仿宋_GB2312"/>
          <w:color w:val="auto"/>
          <w:sz w:val="32"/>
          <w:szCs w:val="32"/>
          <w:lang w:eastAsia="zh-CN"/>
        </w:rPr>
        <w:t>因：区投区建的征收项目资金不在年初部门预算中编制，年中需支出该类资金时从全区大预算中统筹安排</w:t>
      </w:r>
      <w:r>
        <w:rPr>
          <w:rFonts w:hint="eastAsia" w:ascii="仿宋_GB2312" w:hAnsi="仿宋_GB2312" w:cs="仿宋_GB2312"/>
          <w:color w:val="auto"/>
          <w:sz w:val="32"/>
          <w:szCs w:val="32"/>
          <w:lang w:val="en-US" w:eastAsia="zh-CN"/>
        </w:rPr>
        <w:t>。</w:t>
      </w:r>
    </w:p>
    <w:p>
      <w:pPr>
        <w:keepNext w:val="0"/>
        <w:keepLines w:val="0"/>
        <w:pageBreakBefore w:val="0"/>
        <w:widowControl/>
        <w:numPr>
          <w:ilvl w:val="0"/>
          <w:numId w:val="2"/>
        </w:numPr>
        <w:kinsoku/>
        <w:wordWrap/>
        <w:overflowPunct/>
        <w:topLinePunct w:val="0"/>
        <w:autoSpaceDE/>
        <w:autoSpaceDN/>
        <w:bidi w:val="0"/>
        <w:adjustRightInd/>
        <w:snapToGrid/>
        <w:spacing w:line="520" w:lineRule="exact"/>
        <w:ind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下一步改进措施</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进一步重视预算的编制工作，提高预算编制的精准度，提高财政资金的使用效率，尽量减少预算执行调整的情形。</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val="0"/>
          <w:bCs w:val="0"/>
          <w:spacing w:val="-2"/>
          <w:kern w:val="2"/>
          <w:sz w:val="32"/>
          <w:szCs w:val="32"/>
          <w:lang w:val="en-US" w:eastAsia="zh-CN" w:bidi="ar-SA"/>
        </w:rPr>
      </w:pPr>
      <w:r>
        <w:rPr>
          <w:rFonts w:hint="eastAsia" w:ascii="仿宋_GB2312" w:hAnsi="仿宋_GB2312" w:eastAsia="仿宋_GB2312" w:cs="仿宋_GB2312"/>
          <w:b/>
          <w:bCs/>
          <w:sz w:val="32"/>
          <w:szCs w:val="32"/>
          <w:lang w:val="en-US" w:eastAsia="zh-CN"/>
        </w:rPr>
        <w:t>六、绩效自评结果拟应用和公开情况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 w:hAnsi="仿宋" w:eastAsia="仿宋" w:cs="仿宋"/>
          <w:b w:val="0"/>
          <w:bCs w:val="0"/>
          <w:spacing w:val="-2"/>
          <w:kern w:val="2"/>
          <w:sz w:val="32"/>
          <w:szCs w:val="32"/>
          <w:lang w:val="en-US" w:eastAsia="zh-CN" w:bidi="ar-SA"/>
        </w:rPr>
      </w:pPr>
      <w:r>
        <w:rPr>
          <w:rFonts w:hint="eastAsia" w:ascii="仿宋" w:hAnsi="仿宋" w:eastAsia="仿宋" w:cs="仿宋"/>
          <w:b w:val="0"/>
          <w:bCs w:val="0"/>
          <w:spacing w:val="-2"/>
          <w:kern w:val="2"/>
          <w:sz w:val="32"/>
          <w:szCs w:val="32"/>
          <w:lang w:val="en-US" w:eastAsia="zh-CN" w:bidi="ar-SA"/>
        </w:rPr>
        <w:t>绩效自评结果会应用到下一年度的预算编制中，绩效自评结果会按照区财政的要求进行公开。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pPr>
    </w:p>
    <w:p/>
    <w:p>
      <w:pPr>
        <w:widowControl/>
        <w:spacing w:line="600" w:lineRule="exact"/>
        <w:rPr>
          <w:rFonts w:hint="default" w:ascii="Times New Roman" w:hAnsi="Times New Roman" w:eastAsia="黑体" w:cs="Times New Roman"/>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altName w:val="宋体"/>
    <w:panose1 w:val="03000509000000000000"/>
    <w:charset w:val="86"/>
    <w:family w:val="script"/>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54780"/>
    <w:multiLevelType w:val="singleLevel"/>
    <w:tmpl w:val="57C54780"/>
    <w:lvl w:ilvl="0" w:tentative="0">
      <w:start w:val="1"/>
      <w:numFmt w:val="decimal"/>
      <w:suff w:val="nothing"/>
      <w:lvlText w:val="%1．"/>
      <w:lvlJc w:val="left"/>
    </w:lvl>
  </w:abstractNum>
  <w:abstractNum w:abstractNumId="1">
    <w:nsid w:val="606686F8"/>
    <w:multiLevelType w:val="singleLevel"/>
    <w:tmpl w:val="606686F8"/>
    <w:lvl w:ilvl="0" w:tentative="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7D712F"/>
    <w:rsid w:val="01C278C2"/>
    <w:rsid w:val="02D97F72"/>
    <w:rsid w:val="03B55B11"/>
    <w:rsid w:val="03F95E45"/>
    <w:rsid w:val="0A730C45"/>
    <w:rsid w:val="0C3E4CAB"/>
    <w:rsid w:val="0D7660AE"/>
    <w:rsid w:val="0E212CEA"/>
    <w:rsid w:val="10805243"/>
    <w:rsid w:val="11CF62BE"/>
    <w:rsid w:val="124860AD"/>
    <w:rsid w:val="12AF6533"/>
    <w:rsid w:val="144439AD"/>
    <w:rsid w:val="14C37BF4"/>
    <w:rsid w:val="174B5411"/>
    <w:rsid w:val="186739FF"/>
    <w:rsid w:val="188748C8"/>
    <w:rsid w:val="189E7048"/>
    <w:rsid w:val="18A325B6"/>
    <w:rsid w:val="1AB162A5"/>
    <w:rsid w:val="1AF5219A"/>
    <w:rsid w:val="1B711293"/>
    <w:rsid w:val="1D2050DA"/>
    <w:rsid w:val="1E391EB4"/>
    <w:rsid w:val="20DD6710"/>
    <w:rsid w:val="20F609DA"/>
    <w:rsid w:val="21907E5F"/>
    <w:rsid w:val="21F914D1"/>
    <w:rsid w:val="231B278F"/>
    <w:rsid w:val="23464CC7"/>
    <w:rsid w:val="24982299"/>
    <w:rsid w:val="253F6260"/>
    <w:rsid w:val="27F42E5D"/>
    <w:rsid w:val="28E15CCE"/>
    <w:rsid w:val="29685491"/>
    <w:rsid w:val="2CED604A"/>
    <w:rsid w:val="2D841AC7"/>
    <w:rsid w:val="2E284102"/>
    <w:rsid w:val="2ED371F6"/>
    <w:rsid w:val="2F7D712F"/>
    <w:rsid w:val="2F9C448C"/>
    <w:rsid w:val="2FAC18C8"/>
    <w:rsid w:val="31F7361F"/>
    <w:rsid w:val="33474B2C"/>
    <w:rsid w:val="356D6B1D"/>
    <w:rsid w:val="3966571D"/>
    <w:rsid w:val="39793AEC"/>
    <w:rsid w:val="3A974DCC"/>
    <w:rsid w:val="3B2D5D11"/>
    <w:rsid w:val="3D1D393C"/>
    <w:rsid w:val="3D290DDB"/>
    <w:rsid w:val="3D3D4C8F"/>
    <w:rsid w:val="3D8277A6"/>
    <w:rsid w:val="3FBA408E"/>
    <w:rsid w:val="3FE35133"/>
    <w:rsid w:val="406A4F2B"/>
    <w:rsid w:val="41741528"/>
    <w:rsid w:val="42722441"/>
    <w:rsid w:val="43AD0C87"/>
    <w:rsid w:val="43DC4D8B"/>
    <w:rsid w:val="489D2786"/>
    <w:rsid w:val="49AC7BD2"/>
    <w:rsid w:val="4A86699B"/>
    <w:rsid w:val="4ABA2B6C"/>
    <w:rsid w:val="4CF9038F"/>
    <w:rsid w:val="4D3D2BD2"/>
    <w:rsid w:val="4DFB4C11"/>
    <w:rsid w:val="4ED15498"/>
    <w:rsid w:val="4F00552C"/>
    <w:rsid w:val="50175D10"/>
    <w:rsid w:val="50965132"/>
    <w:rsid w:val="51A6789D"/>
    <w:rsid w:val="533D2FFB"/>
    <w:rsid w:val="54D1273C"/>
    <w:rsid w:val="57346E1F"/>
    <w:rsid w:val="573F1D53"/>
    <w:rsid w:val="58067F80"/>
    <w:rsid w:val="584C0B09"/>
    <w:rsid w:val="5A257DCB"/>
    <w:rsid w:val="5BCE7A9A"/>
    <w:rsid w:val="5BDA6C5B"/>
    <w:rsid w:val="5C8C6467"/>
    <w:rsid w:val="5F77471D"/>
    <w:rsid w:val="603C28BC"/>
    <w:rsid w:val="6094253D"/>
    <w:rsid w:val="60BD5790"/>
    <w:rsid w:val="61310B18"/>
    <w:rsid w:val="62114717"/>
    <w:rsid w:val="624B43DF"/>
    <w:rsid w:val="64DD09ED"/>
    <w:rsid w:val="65B351CF"/>
    <w:rsid w:val="66031361"/>
    <w:rsid w:val="67596F3D"/>
    <w:rsid w:val="68632868"/>
    <w:rsid w:val="69065DB5"/>
    <w:rsid w:val="69B414A2"/>
    <w:rsid w:val="6AB868E7"/>
    <w:rsid w:val="6B785DE5"/>
    <w:rsid w:val="6BBA11FE"/>
    <w:rsid w:val="6C070695"/>
    <w:rsid w:val="6D1D02EE"/>
    <w:rsid w:val="6E55500A"/>
    <w:rsid w:val="6F866F62"/>
    <w:rsid w:val="6FF252A5"/>
    <w:rsid w:val="70F513EC"/>
    <w:rsid w:val="72B60DF6"/>
    <w:rsid w:val="72F6321E"/>
    <w:rsid w:val="7762063C"/>
    <w:rsid w:val="78730E96"/>
    <w:rsid w:val="796438B2"/>
    <w:rsid w:val="79781D3D"/>
    <w:rsid w:val="7A85312C"/>
    <w:rsid w:val="7BA144CF"/>
    <w:rsid w:val="7BD954E4"/>
    <w:rsid w:val="7C0D16D1"/>
    <w:rsid w:val="7C3127DF"/>
    <w:rsid w:val="7CB37DBF"/>
    <w:rsid w:val="7F0D577A"/>
    <w:rsid w:val="7F3C4FF4"/>
    <w:rsid w:val="7F926625"/>
    <w:rsid w:val="7FD76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widowControl/>
      <w:jc w:val="left"/>
    </w:pPr>
    <w:rPr>
      <w:rFonts w:ascii="宋体" w:hAnsi="宋体" w:eastAsia="宋体" w:cs="宋体"/>
      <w:kern w:val="0"/>
      <w:sz w:val="24"/>
      <w:szCs w:val="24"/>
    </w:rPr>
  </w:style>
  <w:style w:type="character" w:customStyle="1" w:styleId="6">
    <w:name w:val="font41"/>
    <w:basedOn w:val="4"/>
    <w:qFormat/>
    <w:uiPriority w:val="0"/>
    <w:rPr>
      <w:rFonts w:hint="eastAsia" w:ascii="宋体" w:hAnsi="宋体" w:eastAsia="宋体" w:cs="宋体"/>
      <w:color w:val="000000"/>
      <w:sz w:val="18"/>
      <w:szCs w:val="18"/>
      <w:u w:val="none"/>
    </w:rPr>
  </w:style>
  <w:style w:type="character" w:customStyle="1" w:styleId="7">
    <w:name w:val="font31"/>
    <w:basedOn w:val="4"/>
    <w:qFormat/>
    <w:uiPriority w:val="0"/>
    <w:rPr>
      <w:rFonts w:hint="default" w:ascii="Times New Roman" w:hAnsi="Times New Roman" w:cs="Times New Roman"/>
      <w:color w:val="000000"/>
      <w:sz w:val="18"/>
      <w:szCs w:val="18"/>
      <w:u w:val="none"/>
    </w:rPr>
  </w:style>
  <w:style w:type="character" w:customStyle="1" w:styleId="8">
    <w:name w:val="font21"/>
    <w:basedOn w:val="4"/>
    <w:qFormat/>
    <w:uiPriority w:val="0"/>
    <w:rPr>
      <w:rFonts w:hint="eastAsia" w:ascii="宋体" w:hAnsi="宋体" w:eastAsia="宋体" w:cs="宋体"/>
      <w:color w:val="FF0000"/>
      <w:sz w:val="18"/>
      <w:szCs w:val="18"/>
      <w:u w:val="none"/>
    </w:rPr>
  </w:style>
  <w:style w:type="character" w:customStyle="1" w:styleId="9">
    <w:name w:val="font11"/>
    <w:basedOn w:val="4"/>
    <w:qFormat/>
    <w:uiPriority w:val="0"/>
    <w:rPr>
      <w:rFonts w:hint="default" w:ascii="Times New Roman" w:hAnsi="Times New Roman" w:cs="Times New Roman"/>
      <w:color w:val="FF0000"/>
      <w:sz w:val="18"/>
      <w:szCs w:val="18"/>
      <w:u w:val="none"/>
    </w:rPr>
  </w:style>
  <w:style w:type="paragraph" w:customStyle="1" w:styleId="10">
    <w:name w:val="List Paragraph"/>
    <w:basedOn w:val="1"/>
    <w:qFormat/>
    <w:uiPriority w:val="99"/>
    <w:pPr>
      <w:ind w:firstLine="420" w:firstLineChars="200"/>
    </w:pPr>
    <w:rPr>
      <w:rFonts w:ascii="Calibri" w:hAnsi="Calibri" w:eastAsia="宋体" w:cs="Times New Roman"/>
      <w:szCs w:val="22"/>
    </w:rPr>
  </w:style>
  <w:style w:type="paragraph" w:customStyle="1" w:styleId="11">
    <w:name w:val="样式1"/>
    <w:basedOn w:val="1"/>
    <w:qFormat/>
    <w:uiPriority w:val="0"/>
    <w:pPr>
      <w:spacing w:line="640" w:lineRule="exact"/>
    </w:pPr>
    <w:rPr>
      <w:rFonts w:eastAsia="仿宋_GB231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2021-02-23T08:02:00Z</dcterms:created>
  <dc:creator>hom</dc:creator>
  <cp:lastModifiedBy>城市房屋征收和补偿管理办</cp:lastModifiedBy>
  <cp:lastPrinted>2021-03-11T03:34:00Z</cp:lastPrinted>
  <dcterms:modified xsi:type="dcterms:W3CDTF">2024-02-04T03:37:57Z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