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3</w:t>
      </w:r>
    </w:p>
    <w:p>
      <w:pPr>
        <w:jc w:val="left"/>
        <w:rPr>
          <w:rFonts w:hint="eastAsia" w:ascii="仿宋_GB2312" w:hAnsi="仿宋_GB2312" w:eastAsia="仿宋_GB2312" w:cs="仿宋_GB2312"/>
          <w:kern w:val="0"/>
          <w:sz w:val="32"/>
          <w:szCs w:val="32"/>
          <w:lang w:val="en-US" w:eastAsia="zh-CN"/>
        </w:rPr>
      </w:pP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2020</w:t>
      </w:r>
      <w:r>
        <w:rPr>
          <w:rFonts w:hint="eastAsia" w:ascii="仿宋_GB2312" w:hAnsi="仿宋_GB2312" w:eastAsia="仿宋_GB2312" w:cs="仿宋_GB2312"/>
          <w:b/>
          <w:bCs/>
          <w:sz w:val="44"/>
          <w:szCs w:val="44"/>
        </w:rPr>
        <w:t>年度</w:t>
      </w:r>
      <w:r>
        <w:rPr>
          <w:rFonts w:hint="eastAsia" w:ascii="仿宋_GB2312" w:hAnsi="仿宋_GB2312" w:eastAsia="仿宋_GB2312" w:cs="仿宋_GB2312"/>
          <w:b/>
          <w:bCs/>
          <w:sz w:val="44"/>
          <w:szCs w:val="44"/>
          <w:lang w:eastAsia="zh-CN"/>
        </w:rPr>
        <w:t>长沙市雨花区科学技术局</w:t>
      </w:r>
      <w:r>
        <w:rPr>
          <w:rFonts w:hint="eastAsia" w:ascii="仿宋_GB2312" w:hAnsi="仿宋_GB2312" w:eastAsia="仿宋_GB2312" w:cs="仿宋_GB2312"/>
          <w:b/>
          <w:bCs/>
          <w:sz w:val="44"/>
          <w:szCs w:val="44"/>
          <w:lang w:val="en-US" w:eastAsia="zh-CN"/>
        </w:rPr>
        <w:t xml:space="preserve">        </w:t>
      </w:r>
      <w:r>
        <w:rPr>
          <w:rFonts w:hint="eastAsia" w:ascii="仿宋_GB2312" w:hAnsi="仿宋_GB2312" w:eastAsia="仿宋_GB2312" w:cs="仿宋_GB2312"/>
          <w:b/>
          <w:bCs/>
          <w:sz w:val="44"/>
          <w:szCs w:val="44"/>
        </w:rPr>
        <w:t>部门整体支出绩效</w:t>
      </w: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spacing w:line="600" w:lineRule="exact"/>
        <w:jc w:val="center"/>
        <w:rPr>
          <w:rFonts w:hint="eastAsia" w:ascii="仿宋_GB2312" w:hAnsi="仿宋_GB2312" w:eastAsia="仿宋_GB2312" w:cs="仿宋_GB2312"/>
          <w:b/>
          <w:bCs/>
          <w:sz w:val="44"/>
          <w:szCs w:val="44"/>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单位名称（盖章）：</w:t>
      </w: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spacing w:line="600" w:lineRule="exact"/>
        <w:jc w:val="center"/>
        <w:rPr>
          <w:rFonts w:hint="eastAsia" w:ascii="仿宋_GB2312" w:hAnsi="仿宋_GB2312" w:eastAsia="仿宋_GB2312" w:cs="仿宋_GB2312"/>
          <w:b/>
          <w:bCs/>
          <w:sz w:val="44"/>
          <w:szCs w:val="44"/>
        </w:rPr>
      </w:pPr>
    </w:p>
    <w:p>
      <w:pPr>
        <w:pStyle w:val="2"/>
        <w:rPr>
          <w:rFonts w:hint="eastAsia" w:ascii="仿宋_GB2312" w:hAnsi="仿宋_GB2312" w:eastAsia="仿宋_GB2312" w:cs="仿宋_GB2312"/>
          <w:b/>
          <w:bCs/>
          <w:sz w:val="44"/>
          <w:szCs w:val="44"/>
        </w:rPr>
      </w:pPr>
    </w:p>
    <w:p>
      <w:pPr>
        <w:pStyle w:val="2"/>
        <w:rPr>
          <w:rFonts w:hint="eastAsia" w:ascii="仿宋_GB2312" w:hAnsi="仿宋_GB2312" w:eastAsia="仿宋_GB2312" w:cs="仿宋_GB2312"/>
          <w:b/>
          <w:bCs/>
          <w:sz w:val="44"/>
          <w:szCs w:val="44"/>
        </w:rPr>
      </w:pPr>
    </w:p>
    <w:p>
      <w:pPr>
        <w:pStyle w:val="2"/>
        <w:ind w:left="0" w:leftChars="0" w:firstLine="0" w:firstLineChars="0"/>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一、</w:t>
      </w:r>
      <w:r>
        <w:rPr>
          <w:rFonts w:hint="eastAsia" w:ascii="仿宋" w:hAnsi="仿宋" w:eastAsia="仿宋" w:cs="仿宋"/>
          <w:b/>
          <w:bCs/>
          <w:sz w:val="32"/>
          <w:szCs w:val="32"/>
        </w:rPr>
        <w:t>部门、单位基本情况</w:t>
      </w: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(一)人员编制情况</w:t>
      </w:r>
    </w:p>
    <w:p>
      <w:pPr>
        <w:pStyle w:val="7"/>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bCs/>
          <w:kern w:val="2"/>
          <w:sz w:val="32"/>
          <w:szCs w:val="32"/>
          <w:lang w:val="en-US" w:eastAsia="zh-CN" w:bidi="ar-SA"/>
        </w:rPr>
      </w:pPr>
      <w:r>
        <w:rPr>
          <w:rFonts w:hint="eastAsia" w:ascii="仿宋" w:hAnsi="仿宋" w:eastAsia="仿宋" w:cs="仿宋"/>
          <w:b w:val="0"/>
          <w:bCs/>
          <w:kern w:val="2"/>
          <w:sz w:val="32"/>
          <w:szCs w:val="32"/>
          <w:lang w:val="en-US" w:eastAsia="zh-CN" w:bidi="ar-SA"/>
        </w:rPr>
        <w:t>长沙市雨花区科学技术局为正科级行政单位（以下简称局机关），执行行政财务会计制度。根据《长沙市雨花区科学技术局职能配置、内设机构和人员编制规定》（雨办〔2019〕38号）文件规定，核定行政编制6名，科技创新事务中心事业编3人。2020年度局机关实有在职人员14人，其中：行政7人，事业编2人，长病休1人，另退役军人参照事业编待遇1人；政府雇员3人；退休老干部8人；享受遗属补助1人</w:t>
      </w:r>
      <w:r>
        <w:rPr>
          <w:rFonts w:hint="eastAsia" w:ascii="仿宋" w:hAnsi="仿宋" w:eastAsia="仿宋" w:cs="仿宋"/>
          <w:bCs/>
          <w:kern w:val="2"/>
          <w:sz w:val="32"/>
          <w:szCs w:val="32"/>
          <w:lang w:val="en-US" w:eastAsia="zh-CN" w:bidi="ar-SA"/>
        </w:rPr>
        <w:t>。</w:t>
      </w:r>
    </w:p>
    <w:p>
      <w:pPr>
        <w:pStyle w:val="7"/>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b/>
          <w:bCs w:val="0"/>
          <w:kern w:val="2"/>
          <w:sz w:val="32"/>
          <w:szCs w:val="32"/>
          <w:lang w:val="en-US" w:eastAsia="zh-CN" w:bidi="ar-SA"/>
        </w:rPr>
      </w:pPr>
      <w:r>
        <w:rPr>
          <w:rFonts w:hint="eastAsia" w:ascii="仿宋" w:hAnsi="仿宋" w:eastAsia="仿宋" w:cs="仿宋"/>
          <w:b w:val="0"/>
          <w:bCs/>
          <w:kern w:val="2"/>
          <w:sz w:val="32"/>
          <w:szCs w:val="32"/>
          <w:lang w:val="en-US" w:eastAsia="zh-CN" w:bidi="ar-SA"/>
        </w:rPr>
        <w:t>局机关内设办公室、科技计划科、科技管理科三个科室。设立长沙市雨花区科学技术创新事务中心，为局机关所属公益一类事业单位。</w:t>
      </w:r>
    </w:p>
    <w:p>
      <w:pPr>
        <w:pStyle w:val="7"/>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b/>
          <w:bCs w:val="0"/>
          <w:kern w:val="2"/>
          <w:sz w:val="32"/>
          <w:szCs w:val="32"/>
          <w:lang w:val="en-US" w:eastAsia="zh-CN" w:bidi="ar-SA"/>
        </w:rPr>
      </w:pPr>
      <w:r>
        <w:rPr>
          <w:rFonts w:hint="eastAsia" w:ascii="仿宋" w:hAnsi="仿宋" w:eastAsia="仿宋" w:cs="仿宋"/>
          <w:b/>
          <w:bCs w:val="0"/>
          <w:kern w:val="2"/>
          <w:sz w:val="32"/>
          <w:szCs w:val="32"/>
          <w:lang w:val="en-US" w:eastAsia="zh-CN" w:bidi="ar-SA"/>
        </w:rPr>
        <w:t>（二）职责职能情况</w:t>
      </w:r>
    </w:p>
    <w:p>
      <w:pPr>
        <w:pStyle w:val="7"/>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第一条  根据《中共长沙市委办公厅长沙市人民政府办公厅关于印发〈雨花区机构改革方案〉的通知》(长办〔2019〕20号),制定本规定。</w:t>
      </w:r>
    </w:p>
    <w:p>
      <w:pPr>
        <w:pStyle w:val="7"/>
        <w:keepNext w:val="0"/>
        <w:keepLines w:val="0"/>
        <w:pageBreakBefore w:val="0"/>
        <w:widowControl/>
        <w:kinsoku/>
        <w:wordWrap/>
        <w:overflowPunct/>
        <w:topLinePunct w:val="0"/>
        <w:autoSpaceDE/>
        <w:autoSpaceDN/>
        <w:bidi w:val="0"/>
        <w:adjustRightInd/>
        <w:snapToGrid/>
        <w:spacing w:line="560" w:lineRule="exact"/>
        <w:ind w:left="0" w:firstLine="640" w:firstLineChars="200"/>
        <w:jc w:val="both"/>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第二条  长沙市雨花区科学技术局（以下简称区科技局）是区政府工作部门，为正科级。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eastAsia="zh-CN"/>
        </w:rPr>
        <w:t>区科技局</w:t>
      </w:r>
      <w:r>
        <w:rPr>
          <w:rFonts w:hint="eastAsia" w:ascii="仿宋" w:hAnsi="仿宋" w:eastAsia="仿宋" w:cs="仿宋"/>
          <w:sz w:val="32"/>
          <w:szCs w:val="32"/>
        </w:rPr>
        <w:t>贯彻落实党中央、省委</w:t>
      </w:r>
      <w:r>
        <w:rPr>
          <w:rFonts w:hint="eastAsia" w:ascii="仿宋" w:hAnsi="仿宋" w:eastAsia="仿宋" w:cs="仿宋"/>
          <w:sz w:val="32"/>
          <w:szCs w:val="32"/>
          <w:lang w:eastAsia="zh-CN"/>
        </w:rPr>
        <w:t>、</w:t>
      </w:r>
      <w:r>
        <w:rPr>
          <w:rFonts w:hint="eastAsia" w:ascii="仿宋" w:hAnsi="仿宋" w:eastAsia="仿宋" w:cs="仿宋"/>
          <w:sz w:val="32"/>
          <w:szCs w:val="32"/>
        </w:rPr>
        <w:t>市委关于</w:t>
      </w:r>
      <w:r>
        <w:rPr>
          <w:rFonts w:hint="eastAsia" w:ascii="仿宋" w:hAnsi="仿宋" w:eastAsia="仿宋" w:cs="仿宋"/>
          <w:sz w:val="32"/>
          <w:szCs w:val="32"/>
          <w:lang w:eastAsia="zh-CN"/>
        </w:rPr>
        <w:t>科技创新工作</w:t>
      </w:r>
      <w:r>
        <w:rPr>
          <w:rFonts w:hint="eastAsia" w:ascii="仿宋" w:hAnsi="仿宋" w:eastAsia="仿宋" w:cs="仿宋"/>
          <w:sz w:val="32"/>
          <w:szCs w:val="32"/>
        </w:rPr>
        <w:t>的方针政策和决策部署,</w:t>
      </w:r>
      <w:r>
        <w:rPr>
          <w:rFonts w:hint="eastAsia" w:ascii="仿宋" w:hAnsi="仿宋" w:eastAsia="仿宋" w:cs="仿宋"/>
          <w:sz w:val="32"/>
          <w:szCs w:val="32"/>
          <w:lang w:eastAsia="zh-CN"/>
        </w:rPr>
        <w:t>全面落实区委关于科技创新工作的部署要求，</w:t>
      </w:r>
      <w:r>
        <w:rPr>
          <w:rFonts w:hint="eastAsia" w:ascii="仿宋" w:hAnsi="仿宋" w:eastAsia="仿宋" w:cs="仿宋"/>
          <w:sz w:val="32"/>
          <w:szCs w:val="32"/>
        </w:rPr>
        <w:t>在履行职责过程中坚持和加强党对</w:t>
      </w:r>
      <w:r>
        <w:rPr>
          <w:rFonts w:hint="eastAsia" w:ascii="仿宋" w:hAnsi="仿宋" w:eastAsia="仿宋" w:cs="仿宋"/>
          <w:sz w:val="32"/>
          <w:szCs w:val="32"/>
          <w:lang w:eastAsia="zh-CN"/>
        </w:rPr>
        <w:t>科技创新</w:t>
      </w:r>
      <w:r>
        <w:rPr>
          <w:rFonts w:hint="eastAsia" w:ascii="仿宋" w:hAnsi="仿宋" w:eastAsia="仿宋" w:cs="仿宋"/>
          <w:sz w:val="32"/>
          <w:szCs w:val="32"/>
        </w:rPr>
        <w:t>工作的集中统一领导。主要职责是: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（一）贯彻创新驱动发展战略和创新引领开放崛起战略，拟订</w:t>
      </w:r>
      <w:r>
        <w:rPr>
          <w:rFonts w:hint="eastAsia" w:ascii="仿宋" w:hAnsi="仿宋" w:eastAsia="仿宋" w:cs="仿宋"/>
          <w:sz w:val="32"/>
          <w:szCs w:val="32"/>
          <w:lang w:eastAsia="zh-CN"/>
        </w:rPr>
        <w:t>全区</w:t>
      </w:r>
      <w:r>
        <w:rPr>
          <w:rFonts w:hint="eastAsia" w:ascii="仿宋" w:hAnsi="仿宋" w:eastAsia="仿宋" w:cs="仿宋"/>
          <w:sz w:val="32"/>
          <w:szCs w:val="32"/>
        </w:rPr>
        <w:t>科技创新发展、引进国外及国内智力规划和政策并组织实施。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（二）统筹推进</w:t>
      </w:r>
      <w:r>
        <w:rPr>
          <w:rFonts w:hint="eastAsia" w:ascii="仿宋" w:hAnsi="仿宋" w:eastAsia="仿宋" w:cs="仿宋"/>
          <w:sz w:val="32"/>
          <w:szCs w:val="32"/>
          <w:lang w:eastAsia="zh-CN"/>
        </w:rPr>
        <w:t>全区</w:t>
      </w:r>
      <w:r>
        <w:rPr>
          <w:rFonts w:hint="eastAsia" w:ascii="仿宋" w:hAnsi="仿宋" w:eastAsia="仿宋" w:cs="仿宋"/>
          <w:sz w:val="32"/>
          <w:szCs w:val="32"/>
        </w:rPr>
        <w:t>创新体系建设和科技体制改革，会同有关部门健全</w:t>
      </w:r>
      <w:r>
        <w:rPr>
          <w:rFonts w:hint="eastAsia" w:ascii="仿宋" w:hAnsi="仿宋" w:eastAsia="仿宋" w:cs="仿宋"/>
          <w:sz w:val="32"/>
          <w:szCs w:val="32"/>
          <w:lang w:eastAsia="zh-CN"/>
        </w:rPr>
        <w:t>技术</w:t>
      </w:r>
      <w:r>
        <w:rPr>
          <w:rFonts w:hint="eastAsia" w:ascii="仿宋" w:hAnsi="仿宋" w:eastAsia="仿宋" w:cs="仿宋"/>
          <w:sz w:val="32"/>
          <w:szCs w:val="32"/>
        </w:rPr>
        <w:t>创新激励机制。推动企业科技创新能力建设，</w:t>
      </w:r>
      <w:r>
        <w:rPr>
          <w:rFonts w:hint="eastAsia" w:ascii="仿宋" w:hAnsi="仿宋" w:eastAsia="仿宋" w:cs="仿宋"/>
          <w:sz w:val="32"/>
          <w:szCs w:val="32"/>
          <w:lang w:eastAsia="zh-CN"/>
        </w:rPr>
        <w:t>推进全区重大科技决策咨询制度建设。拟订</w:t>
      </w:r>
      <w:r>
        <w:rPr>
          <w:rFonts w:hint="eastAsia" w:ascii="仿宋" w:hAnsi="仿宋" w:eastAsia="仿宋" w:cs="仿宋"/>
          <w:sz w:val="32"/>
          <w:szCs w:val="32"/>
        </w:rPr>
        <w:t>科学普及和科学传播</w:t>
      </w:r>
      <w:r>
        <w:rPr>
          <w:rFonts w:hint="eastAsia" w:ascii="仿宋" w:hAnsi="仿宋" w:eastAsia="仿宋" w:cs="仿宋"/>
          <w:sz w:val="32"/>
          <w:szCs w:val="32"/>
          <w:lang w:eastAsia="zh-CN"/>
        </w:rPr>
        <w:t>规划、政策。配合推进创建国家创新型城市建设</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（三）承担科技</w:t>
      </w:r>
      <w:r>
        <w:rPr>
          <w:rFonts w:hint="eastAsia" w:ascii="仿宋" w:hAnsi="仿宋" w:eastAsia="仿宋" w:cs="仿宋"/>
          <w:sz w:val="32"/>
          <w:szCs w:val="32"/>
          <w:lang w:eastAsia="zh-CN"/>
        </w:rPr>
        <w:t>发展</w:t>
      </w:r>
      <w:r>
        <w:rPr>
          <w:rFonts w:hint="eastAsia" w:ascii="仿宋" w:hAnsi="仿宋" w:eastAsia="仿宋" w:cs="仿宋"/>
          <w:sz w:val="32"/>
          <w:szCs w:val="32"/>
        </w:rPr>
        <w:t>专项资金协调、组织评审和项目立项工作。会同有关部门提出优化配置科技资源的政策措施建议，推动多元化科技投入体系建设，协调管理</w:t>
      </w:r>
      <w:r>
        <w:rPr>
          <w:rFonts w:hint="eastAsia" w:ascii="仿宋" w:hAnsi="仿宋" w:eastAsia="仿宋" w:cs="仿宋"/>
          <w:sz w:val="32"/>
          <w:szCs w:val="32"/>
          <w:lang w:eastAsia="zh-CN"/>
        </w:rPr>
        <w:t>区级</w:t>
      </w:r>
      <w:r>
        <w:rPr>
          <w:rFonts w:hint="eastAsia" w:ascii="仿宋" w:hAnsi="仿宋" w:eastAsia="仿宋" w:cs="仿宋"/>
          <w:sz w:val="32"/>
          <w:szCs w:val="32"/>
        </w:rPr>
        <w:t>财政科技计划并组织实施。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（四）编制</w:t>
      </w:r>
      <w:r>
        <w:rPr>
          <w:rFonts w:hint="eastAsia" w:ascii="仿宋" w:hAnsi="仿宋" w:eastAsia="仿宋" w:cs="仿宋"/>
          <w:sz w:val="32"/>
          <w:szCs w:val="32"/>
          <w:lang w:eastAsia="zh-CN"/>
        </w:rPr>
        <w:t>区级</w:t>
      </w:r>
      <w:r>
        <w:rPr>
          <w:rFonts w:hint="eastAsia" w:ascii="仿宋" w:hAnsi="仿宋" w:eastAsia="仿宋" w:cs="仿宋"/>
          <w:sz w:val="32"/>
          <w:szCs w:val="32"/>
        </w:rPr>
        <w:t>重大科技项目计划并组织实施，统筹关键共性技术、前沿引领技术、现代工程技术、颠覆性技术研发和创新，牵头组织重大科技攻关和成果应用示范。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（五）组织</w:t>
      </w:r>
      <w:r>
        <w:rPr>
          <w:rFonts w:hint="eastAsia" w:ascii="仿宋" w:hAnsi="仿宋" w:eastAsia="仿宋" w:cs="仿宋"/>
          <w:sz w:val="32"/>
          <w:szCs w:val="32"/>
          <w:lang w:eastAsia="zh-CN"/>
        </w:rPr>
        <w:t>拟订</w:t>
      </w:r>
      <w:r>
        <w:rPr>
          <w:rFonts w:hint="eastAsia" w:ascii="仿宋" w:hAnsi="仿宋" w:eastAsia="仿宋" w:cs="仿宋"/>
          <w:sz w:val="32"/>
          <w:szCs w:val="32"/>
        </w:rPr>
        <w:t>高新技术发展及产业化、科技促进农业农村和社会发展的</w:t>
      </w:r>
      <w:r>
        <w:rPr>
          <w:rFonts w:hint="eastAsia" w:ascii="仿宋" w:hAnsi="仿宋" w:eastAsia="仿宋" w:cs="仿宋"/>
          <w:sz w:val="32"/>
          <w:szCs w:val="32"/>
          <w:lang w:eastAsia="zh-CN"/>
        </w:rPr>
        <w:t>规划、</w:t>
      </w:r>
      <w:r>
        <w:rPr>
          <w:rFonts w:hint="eastAsia" w:ascii="仿宋" w:hAnsi="仿宋" w:eastAsia="仿宋" w:cs="仿宋"/>
          <w:sz w:val="32"/>
          <w:szCs w:val="32"/>
        </w:rPr>
        <w:t>政策和措施。组织开展重点领域技术发展需求分析，提出重大任务并组织实施。</w:t>
      </w:r>
      <w:r>
        <w:rPr>
          <w:rFonts w:hint="eastAsia" w:ascii="仿宋" w:hAnsi="仿宋" w:eastAsia="仿宋" w:cs="仿宋"/>
          <w:sz w:val="32"/>
          <w:szCs w:val="32"/>
          <w:lang w:val="zh-TW"/>
        </w:rPr>
        <w:t>负责拟订军民融合科技发展规划、相关政策并组织实施，负责</w:t>
      </w:r>
      <w:r>
        <w:rPr>
          <w:rFonts w:hint="eastAsia" w:ascii="仿宋" w:hAnsi="仿宋" w:eastAsia="仿宋" w:cs="仿宋"/>
          <w:sz w:val="32"/>
          <w:szCs w:val="32"/>
          <w:lang w:val="zh-TW" w:eastAsia="zh-TW"/>
        </w:rPr>
        <w:t>军民融合科技</w:t>
      </w:r>
      <w:r>
        <w:rPr>
          <w:rFonts w:hint="eastAsia" w:ascii="仿宋" w:hAnsi="仿宋" w:eastAsia="仿宋" w:cs="仿宋"/>
          <w:sz w:val="32"/>
          <w:szCs w:val="32"/>
          <w:lang w:val="zh-TW"/>
        </w:rPr>
        <w:t>创新相关职责</w:t>
      </w:r>
      <w:r>
        <w:rPr>
          <w:rFonts w:hint="eastAsia" w:ascii="仿宋" w:hAnsi="仿宋" w:eastAsia="仿宋" w:cs="仿宋"/>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（六）牵头</w:t>
      </w:r>
      <w:r>
        <w:rPr>
          <w:rFonts w:hint="eastAsia" w:ascii="仿宋" w:hAnsi="仿宋" w:eastAsia="仿宋" w:cs="仿宋"/>
          <w:sz w:val="32"/>
          <w:szCs w:val="32"/>
          <w:lang w:eastAsia="zh-CN"/>
        </w:rPr>
        <w:t>区级</w:t>
      </w:r>
      <w:r>
        <w:rPr>
          <w:rFonts w:hint="eastAsia" w:ascii="仿宋" w:hAnsi="仿宋" w:eastAsia="仿宋" w:cs="仿宋"/>
          <w:sz w:val="32"/>
          <w:szCs w:val="32"/>
        </w:rPr>
        <w:t>技术转移体系建设，提出科技成果转移转化和促进产学研结合的相关政策措施并组织实施。指导科技服务业、技术市场</w:t>
      </w:r>
      <w:r>
        <w:rPr>
          <w:rFonts w:hint="eastAsia" w:ascii="仿宋" w:hAnsi="仿宋" w:eastAsia="仿宋" w:cs="仿宋"/>
          <w:sz w:val="32"/>
          <w:szCs w:val="32"/>
          <w:lang w:eastAsia="zh-CN"/>
        </w:rPr>
        <w:t>、科技金融结合</w:t>
      </w:r>
      <w:r>
        <w:rPr>
          <w:rFonts w:hint="eastAsia" w:ascii="仿宋" w:hAnsi="仿宋" w:eastAsia="仿宋" w:cs="仿宋"/>
          <w:sz w:val="32"/>
          <w:szCs w:val="32"/>
        </w:rPr>
        <w:t>和科技中介组织发展。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（七）统筹区域科技创新体系建设，指导区域创新发展、科技资源合理布局和协同创新能力建设。</w:t>
      </w:r>
      <w:r>
        <w:rPr>
          <w:rFonts w:hint="eastAsia" w:ascii="仿宋" w:hAnsi="仿宋" w:eastAsia="仿宋" w:cs="仿宋"/>
          <w:sz w:val="32"/>
          <w:szCs w:val="32"/>
          <w:lang w:val="zh-TW" w:eastAsia="zh-TW"/>
        </w:rPr>
        <w:t>推动科技园区建设，</w:t>
      </w:r>
      <w:r>
        <w:rPr>
          <w:rFonts w:hint="eastAsia" w:ascii="仿宋" w:hAnsi="仿宋" w:eastAsia="仿宋" w:cs="仿宋"/>
          <w:sz w:val="32"/>
          <w:szCs w:val="32"/>
          <w:lang w:val="zh-TW" w:eastAsia="zh-CN"/>
        </w:rPr>
        <w:t>配合推进</w:t>
      </w:r>
      <w:r>
        <w:rPr>
          <w:rFonts w:hint="eastAsia" w:ascii="仿宋" w:hAnsi="仿宋" w:eastAsia="仿宋" w:cs="仿宋"/>
          <w:sz w:val="32"/>
          <w:szCs w:val="32"/>
          <w:lang w:val="zh-TW" w:eastAsia="zh-TW"/>
        </w:rPr>
        <w:t>国家自主创新示范区建设。推动科研条件保障建设和科技资源开放共享。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（八）负责科技监督评价体系建设和相关科技评估管理，</w:t>
      </w:r>
      <w:r>
        <w:rPr>
          <w:rFonts w:hint="eastAsia" w:ascii="仿宋" w:hAnsi="仿宋" w:eastAsia="仿宋" w:cs="仿宋"/>
          <w:sz w:val="32"/>
          <w:szCs w:val="32"/>
          <w:lang w:eastAsia="zh-CN"/>
        </w:rPr>
        <w:t>贯彻落实</w:t>
      </w:r>
      <w:r>
        <w:rPr>
          <w:rFonts w:hint="eastAsia" w:ascii="仿宋" w:hAnsi="仿宋" w:eastAsia="仿宋" w:cs="仿宋"/>
          <w:sz w:val="32"/>
          <w:szCs w:val="32"/>
          <w:lang w:val="zh-TW" w:eastAsia="zh-TW"/>
        </w:rPr>
        <w:t>科技评价机制改革，</w:t>
      </w:r>
      <w:r>
        <w:rPr>
          <w:rFonts w:hint="eastAsia" w:ascii="仿宋" w:hAnsi="仿宋" w:eastAsia="仿宋" w:cs="仿宋"/>
          <w:sz w:val="32"/>
          <w:szCs w:val="32"/>
        </w:rPr>
        <w:t>统筹科研诚信建设。</w:t>
      </w:r>
      <w:r>
        <w:rPr>
          <w:rFonts w:hint="eastAsia" w:ascii="仿宋" w:hAnsi="仿宋" w:eastAsia="仿宋" w:cs="仿宋"/>
          <w:sz w:val="32"/>
          <w:szCs w:val="32"/>
          <w:lang w:eastAsia="zh-CN"/>
        </w:rPr>
        <w:t>组织实施全区创新调查和科技报告制度，指导全区科技保密工作。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zh-TW" w:eastAsia="zh-TW"/>
        </w:rPr>
      </w:pPr>
      <w:r>
        <w:rPr>
          <w:rFonts w:hint="eastAsia" w:ascii="仿宋" w:hAnsi="仿宋" w:eastAsia="仿宋" w:cs="仿宋"/>
          <w:sz w:val="32"/>
          <w:szCs w:val="32"/>
        </w:rPr>
        <w:t>（</w:t>
      </w:r>
      <w:r>
        <w:rPr>
          <w:rFonts w:hint="eastAsia" w:ascii="仿宋" w:hAnsi="仿宋" w:eastAsia="仿宋" w:cs="仿宋"/>
          <w:sz w:val="32"/>
          <w:szCs w:val="32"/>
          <w:lang w:eastAsia="zh-CN"/>
        </w:rPr>
        <w:t>九</w:t>
      </w:r>
      <w:r>
        <w:rPr>
          <w:rFonts w:hint="eastAsia" w:ascii="仿宋" w:hAnsi="仿宋" w:eastAsia="仿宋" w:cs="仿宋"/>
          <w:sz w:val="32"/>
          <w:szCs w:val="32"/>
        </w:rPr>
        <w:t>）</w:t>
      </w:r>
      <w:r>
        <w:rPr>
          <w:rFonts w:hint="eastAsia" w:ascii="仿宋" w:hAnsi="仿宋" w:eastAsia="仿宋" w:cs="仿宋"/>
          <w:sz w:val="32"/>
          <w:szCs w:val="32"/>
          <w:lang w:val="zh-TW" w:eastAsia="zh-CN"/>
        </w:rPr>
        <w:t>拟订</w:t>
      </w:r>
      <w:r>
        <w:rPr>
          <w:rFonts w:hint="eastAsia" w:ascii="仿宋" w:hAnsi="仿宋" w:eastAsia="仿宋" w:cs="仿宋"/>
          <w:sz w:val="32"/>
          <w:szCs w:val="32"/>
          <w:lang w:val="zh-TW" w:eastAsia="zh-TW"/>
        </w:rPr>
        <w:t>科技对外交往与创新能力开发合作的规划、政策和措施，</w:t>
      </w:r>
      <w:r>
        <w:rPr>
          <w:rFonts w:hint="eastAsia" w:ascii="仿宋" w:hAnsi="仿宋" w:eastAsia="仿宋" w:cs="仿宋"/>
          <w:sz w:val="32"/>
          <w:szCs w:val="32"/>
          <w:lang w:val="zh-TW" w:eastAsia="zh-CN"/>
        </w:rPr>
        <w:t>配合开展</w:t>
      </w:r>
      <w:r>
        <w:rPr>
          <w:rFonts w:hint="eastAsia" w:ascii="仿宋" w:hAnsi="仿宋" w:eastAsia="仿宋" w:cs="仿宋"/>
          <w:sz w:val="32"/>
          <w:szCs w:val="32"/>
          <w:lang w:val="zh-TW" w:eastAsia="zh-TW"/>
        </w:rPr>
        <w:t>国际和区域科技合作与科技人才交流。</w:t>
      </w:r>
      <w:r>
        <w:rPr>
          <w:rFonts w:hint="eastAsia" w:ascii="仿宋" w:hAnsi="仿宋" w:eastAsia="仿宋" w:cs="仿宋"/>
          <w:sz w:val="32"/>
          <w:szCs w:val="32"/>
          <w:lang w:val="zh-TW" w:eastAsia="zh-CN"/>
        </w:rPr>
        <w:t>指导</w:t>
      </w:r>
      <w:r>
        <w:rPr>
          <w:rFonts w:hint="eastAsia" w:ascii="仿宋" w:hAnsi="仿宋" w:eastAsia="仿宋" w:cs="仿宋"/>
          <w:sz w:val="32"/>
          <w:szCs w:val="32"/>
          <w:lang w:val="zh-TW" w:eastAsia="zh-TW"/>
        </w:rPr>
        <w:t>相关部门</w:t>
      </w:r>
      <w:r>
        <w:rPr>
          <w:rFonts w:hint="eastAsia" w:ascii="仿宋" w:hAnsi="仿宋" w:eastAsia="仿宋" w:cs="仿宋"/>
          <w:sz w:val="32"/>
          <w:szCs w:val="32"/>
          <w:lang w:val="zh-TW" w:eastAsia="zh-CN"/>
        </w:rPr>
        <w:t>和街道（镇）开展</w:t>
      </w:r>
      <w:r>
        <w:rPr>
          <w:rFonts w:hint="eastAsia" w:ascii="仿宋" w:hAnsi="仿宋" w:eastAsia="仿宋" w:cs="仿宋"/>
          <w:sz w:val="32"/>
          <w:szCs w:val="32"/>
          <w:lang w:val="zh-TW" w:eastAsia="zh-TW"/>
        </w:rPr>
        <w:t>对外科技合作与科技人才交流工作。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zh-TW" w:eastAsia="zh-TW"/>
        </w:rPr>
      </w:pPr>
      <w:r>
        <w:rPr>
          <w:rFonts w:hint="eastAsia" w:ascii="仿宋" w:hAnsi="仿宋" w:eastAsia="仿宋" w:cs="仿宋"/>
          <w:sz w:val="32"/>
          <w:szCs w:val="32"/>
          <w:lang w:val="zh-TW" w:eastAsia="zh-TW"/>
        </w:rPr>
        <w:t>（十）</w:t>
      </w:r>
      <w:r>
        <w:rPr>
          <w:rFonts w:hint="eastAsia" w:ascii="仿宋" w:hAnsi="仿宋" w:eastAsia="仿宋" w:cs="仿宋"/>
          <w:sz w:val="32"/>
          <w:szCs w:val="32"/>
          <w:lang w:val="zh-TW" w:eastAsia="zh-CN"/>
        </w:rPr>
        <w:t>负责引进</w:t>
      </w:r>
      <w:r>
        <w:rPr>
          <w:rFonts w:hint="eastAsia" w:ascii="仿宋" w:hAnsi="仿宋" w:eastAsia="仿宋" w:cs="仿宋"/>
          <w:sz w:val="32"/>
          <w:szCs w:val="32"/>
          <w:lang w:val="zh-TW" w:eastAsia="zh-TW"/>
        </w:rPr>
        <w:t>国外和国内智力工作。</w:t>
      </w:r>
      <w:r>
        <w:rPr>
          <w:rFonts w:hint="eastAsia" w:ascii="仿宋" w:hAnsi="仿宋" w:eastAsia="仿宋" w:cs="仿宋"/>
          <w:sz w:val="32"/>
          <w:szCs w:val="32"/>
          <w:lang w:val="zh-TW" w:eastAsia="zh-CN"/>
        </w:rPr>
        <w:t>拟订全区</w:t>
      </w:r>
      <w:r>
        <w:rPr>
          <w:rFonts w:hint="eastAsia" w:ascii="仿宋" w:hAnsi="仿宋" w:eastAsia="仿宋" w:cs="仿宋"/>
          <w:sz w:val="32"/>
          <w:szCs w:val="32"/>
          <w:lang w:val="zh-TW" w:eastAsia="zh-TW"/>
        </w:rPr>
        <w:t>重点引进国内外专家总体规划、计划</w:t>
      </w:r>
      <w:r>
        <w:rPr>
          <w:rFonts w:hint="eastAsia" w:ascii="仿宋" w:hAnsi="仿宋" w:eastAsia="仿宋" w:cs="仿宋"/>
          <w:sz w:val="32"/>
          <w:szCs w:val="32"/>
          <w:lang w:val="zh-TW" w:eastAsia="zh-CN"/>
        </w:rPr>
        <w:t>并组织实施</w:t>
      </w:r>
      <w:r>
        <w:rPr>
          <w:rFonts w:hint="eastAsia" w:ascii="仿宋" w:hAnsi="仿宋" w:eastAsia="仿宋" w:cs="仿宋"/>
          <w:sz w:val="32"/>
          <w:szCs w:val="32"/>
          <w:lang w:val="zh-TW" w:eastAsia="zh-TW"/>
        </w:rPr>
        <w:t>，</w:t>
      </w:r>
      <w:r>
        <w:rPr>
          <w:rFonts w:hint="eastAsia" w:ascii="仿宋" w:hAnsi="仿宋" w:eastAsia="仿宋" w:cs="仿宋"/>
          <w:sz w:val="32"/>
          <w:szCs w:val="32"/>
          <w:lang w:val="zh-TW" w:eastAsia="zh-CN"/>
        </w:rPr>
        <w:t>建立</w:t>
      </w:r>
      <w:r>
        <w:rPr>
          <w:rFonts w:hint="eastAsia" w:ascii="仿宋" w:hAnsi="仿宋" w:eastAsia="仿宋" w:cs="仿宋"/>
          <w:sz w:val="32"/>
          <w:szCs w:val="32"/>
          <w:lang w:val="zh-TW" w:eastAsia="zh-TW"/>
        </w:rPr>
        <w:t>国外和国内顶尖科学家、团队吸引集聚机制和重点国内外专家联系服务机制。</w:t>
      </w:r>
      <w:r>
        <w:rPr>
          <w:rFonts w:hint="eastAsia" w:ascii="仿宋" w:hAnsi="仿宋" w:eastAsia="仿宋" w:cs="仿宋"/>
          <w:sz w:val="32"/>
          <w:szCs w:val="32"/>
          <w:lang w:val="zh-TW" w:eastAsia="zh-CN"/>
        </w:rPr>
        <w:t>拟订</w:t>
      </w:r>
      <w:r>
        <w:rPr>
          <w:rFonts w:hint="eastAsia" w:ascii="仿宋" w:hAnsi="仿宋" w:eastAsia="仿宋" w:cs="仿宋"/>
          <w:sz w:val="32"/>
          <w:szCs w:val="32"/>
          <w:lang w:val="zh-TW" w:eastAsia="zh-TW"/>
        </w:rPr>
        <w:t>出国（境）培训总体规划、政策和年度计划</w:t>
      </w:r>
      <w:r>
        <w:rPr>
          <w:rFonts w:hint="eastAsia" w:ascii="仿宋" w:hAnsi="仿宋" w:eastAsia="仿宋" w:cs="仿宋"/>
          <w:sz w:val="32"/>
          <w:szCs w:val="32"/>
          <w:lang w:val="zh-TW" w:eastAsia="zh-CN"/>
        </w:rPr>
        <w:t>并组织实施</w:t>
      </w:r>
      <w:r>
        <w:rPr>
          <w:rFonts w:hint="eastAsia" w:ascii="仿宋" w:hAnsi="仿宋" w:eastAsia="仿宋" w:cs="仿宋"/>
          <w:sz w:val="32"/>
          <w:szCs w:val="32"/>
          <w:lang w:val="zh-TW" w:eastAsia="zh-TW"/>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会同有关部门拟订科技人才队伍建设规划和政策，建立健全科技人才评价和激励机制，组织实施科技人才计划，推动高端科技创新人才队伍建设。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二</w:t>
      </w:r>
      <w:r>
        <w:rPr>
          <w:rFonts w:hint="eastAsia" w:ascii="仿宋" w:hAnsi="仿宋" w:eastAsia="仿宋" w:cs="仿宋"/>
          <w:sz w:val="32"/>
          <w:szCs w:val="32"/>
        </w:rPr>
        <w:t>）完成</w:t>
      </w:r>
      <w:r>
        <w:rPr>
          <w:rFonts w:hint="eastAsia" w:ascii="仿宋" w:hAnsi="仿宋" w:eastAsia="仿宋" w:cs="仿宋"/>
          <w:sz w:val="32"/>
          <w:szCs w:val="32"/>
          <w:lang w:eastAsia="zh-CN"/>
        </w:rPr>
        <w:t>区委、区政府</w:t>
      </w:r>
      <w:r>
        <w:rPr>
          <w:rFonts w:hint="eastAsia" w:ascii="仿宋" w:hAnsi="仿宋" w:eastAsia="仿宋" w:cs="仿宋"/>
          <w:sz w:val="32"/>
          <w:szCs w:val="32"/>
        </w:rPr>
        <w:t>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sz w:val="32"/>
          <w:szCs w:val="32"/>
          <w:lang w:eastAsia="zh-CN"/>
        </w:rPr>
        <w:t>三</w:t>
      </w:r>
      <w:r>
        <w:rPr>
          <w:rFonts w:hint="eastAsia" w:ascii="仿宋" w:hAnsi="仿宋" w:eastAsia="仿宋" w:cs="仿宋"/>
          <w:sz w:val="32"/>
          <w:szCs w:val="32"/>
        </w:rPr>
        <w:t>）职能转变。围绕贯彻实施科教兴国战略、人才强国战略、创新驱动发展战略和创新引领开放崛起战略，加强、优化、转变政府科技管理和服务职能，完善科技创新制度和组织体系，加强宏观管理和统筹协调，减少微观管理和具体审批事项，加强事中事后监管和科研诚信建设。从研发管理向创新服务转变，深入推进科技计划管理改革，减少科技计划项目配置中的重复、分散、封闭、低效现象。</w:t>
      </w:r>
      <w:r>
        <w:rPr>
          <w:rFonts w:hint="eastAsia" w:ascii="仿宋" w:hAnsi="仿宋" w:eastAsia="仿宋" w:cs="仿宋"/>
          <w:sz w:val="32"/>
          <w:szCs w:val="32"/>
          <w:lang w:val="zh-TW" w:eastAsia="zh-TW"/>
        </w:rPr>
        <w:t>进一步改进科技人才评价机制，建立以创新能力、质量、贡献、绩效为导向的科技人才评价体系和激励</w:t>
      </w:r>
      <w:r>
        <w:rPr>
          <w:rFonts w:hint="eastAsia" w:ascii="仿宋" w:hAnsi="仿宋" w:eastAsia="仿宋" w:cs="仿宋"/>
          <w:sz w:val="32"/>
          <w:szCs w:val="32"/>
          <w:lang w:val="zh-TW" w:eastAsia="zh-CN"/>
        </w:rPr>
        <w:t>措施</w:t>
      </w:r>
      <w:r>
        <w:rPr>
          <w:rFonts w:hint="eastAsia" w:ascii="仿宋" w:hAnsi="仿宋" w:eastAsia="仿宋" w:cs="仿宋"/>
          <w:sz w:val="32"/>
          <w:szCs w:val="32"/>
          <w:lang w:val="zh-TW" w:eastAsia="zh-TW"/>
        </w:rPr>
        <w:t>，统筹</w:t>
      </w:r>
      <w:r>
        <w:rPr>
          <w:rFonts w:hint="eastAsia" w:ascii="仿宋" w:hAnsi="仿宋" w:eastAsia="仿宋" w:cs="仿宋"/>
          <w:sz w:val="32"/>
          <w:szCs w:val="32"/>
          <w:lang w:val="zh-TW" w:eastAsia="zh-CN"/>
        </w:rPr>
        <w:t>区域</w:t>
      </w:r>
      <w:r>
        <w:rPr>
          <w:rFonts w:hint="eastAsia" w:ascii="仿宋" w:hAnsi="仿宋" w:eastAsia="仿宋" w:cs="仿宋"/>
          <w:sz w:val="32"/>
          <w:szCs w:val="32"/>
          <w:lang w:val="zh-TW" w:eastAsia="zh-TW"/>
        </w:rPr>
        <w:t>内科技人才队伍建设和引进国内外智力工作。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（十</w:t>
      </w:r>
      <w:r>
        <w:rPr>
          <w:rFonts w:hint="eastAsia" w:ascii="仿宋" w:hAnsi="仿宋" w:eastAsia="仿宋" w:cs="仿宋"/>
          <w:sz w:val="32"/>
          <w:szCs w:val="32"/>
          <w:lang w:eastAsia="zh-CN"/>
        </w:rPr>
        <w:t>四</w:t>
      </w:r>
      <w:r>
        <w:rPr>
          <w:rFonts w:hint="eastAsia" w:ascii="仿宋" w:hAnsi="仿宋" w:eastAsia="仿宋" w:cs="仿宋"/>
          <w:sz w:val="32"/>
          <w:szCs w:val="32"/>
        </w:rPr>
        <w:t>）</w:t>
      </w:r>
      <w:r>
        <w:rPr>
          <w:rFonts w:hint="eastAsia" w:ascii="仿宋" w:hAnsi="仿宋" w:eastAsia="仿宋" w:cs="仿宋"/>
          <w:sz w:val="32"/>
          <w:szCs w:val="32"/>
          <w:lang w:eastAsia="zh-CN"/>
        </w:rPr>
        <w:t>职责分工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kern w:val="2"/>
          <w:sz w:val="28"/>
          <w:szCs w:val="28"/>
          <w:lang w:val="en-US" w:eastAsia="zh-CN" w:bidi="ar-SA"/>
        </w:rPr>
      </w:pPr>
      <w:r>
        <w:rPr>
          <w:rFonts w:hint="eastAsia" w:ascii="仿宋" w:hAnsi="仿宋" w:eastAsia="仿宋" w:cs="仿宋"/>
          <w:sz w:val="32"/>
          <w:szCs w:val="32"/>
        </w:rPr>
        <w:t>关于清洁生产促进工作的职责分工。按《关于明确清洁生产促进工作有关部门分工的通知》（中央编办发〔2</w:t>
      </w:r>
      <w:r>
        <w:rPr>
          <w:rFonts w:hint="eastAsia" w:ascii="仿宋" w:hAnsi="仿宋" w:eastAsia="仿宋" w:cs="仿宋"/>
          <w:sz w:val="32"/>
          <w:szCs w:val="32"/>
          <w:lang w:val="en-US" w:eastAsia="zh-CN"/>
        </w:rPr>
        <w:t>009</w:t>
      </w:r>
      <w:r>
        <w:rPr>
          <w:rFonts w:hint="eastAsia" w:ascii="仿宋" w:hAnsi="仿宋" w:eastAsia="仿宋" w:cs="仿宋"/>
          <w:sz w:val="32"/>
          <w:szCs w:val="32"/>
        </w:rPr>
        <w:t>〕52号）和《关于进一步落实清洁生产促进工作职责分工的意见》（中央编办发〔2010〕108号）文件执行。</w:t>
      </w:r>
    </w:p>
    <w:p>
      <w:pPr>
        <w:pStyle w:val="7"/>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auto"/>
        <w:rPr>
          <w:rFonts w:hint="eastAsia" w:ascii="仿宋" w:hAnsi="仿宋" w:eastAsia="仿宋" w:cs="仿宋"/>
          <w:b/>
          <w:bCs w:val="0"/>
          <w:kern w:val="2"/>
          <w:sz w:val="32"/>
          <w:szCs w:val="32"/>
          <w:lang w:val="en-US" w:eastAsia="zh-CN" w:bidi="ar-SA"/>
        </w:rPr>
      </w:pPr>
      <w:r>
        <w:rPr>
          <w:rFonts w:hint="eastAsia" w:ascii="仿宋" w:hAnsi="仿宋" w:eastAsia="仿宋" w:cs="仿宋"/>
          <w:b/>
          <w:bCs w:val="0"/>
          <w:kern w:val="2"/>
          <w:sz w:val="32"/>
          <w:szCs w:val="32"/>
          <w:lang w:val="en-US" w:eastAsia="zh-CN" w:bidi="ar-SA"/>
        </w:rPr>
        <w:t>（三）重点工作计划</w:t>
      </w:r>
    </w:p>
    <w:p>
      <w:pPr>
        <w:pStyle w:val="7"/>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auto"/>
        <w:rPr>
          <w:rFonts w:hint="default" w:ascii="仿宋" w:hAnsi="仿宋" w:eastAsia="仿宋" w:cs="仿宋"/>
          <w:kern w:val="2"/>
          <w:sz w:val="32"/>
          <w:szCs w:val="32"/>
          <w:lang w:val="en-US" w:eastAsia="zh-CN" w:bidi="ar-SA"/>
        </w:rPr>
      </w:pPr>
      <w:r>
        <w:rPr>
          <w:rFonts w:hint="eastAsia" w:ascii="仿宋" w:hAnsi="仿宋" w:eastAsia="仿宋" w:cs="仿宋"/>
          <w:b/>
          <w:bCs w:val="0"/>
          <w:kern w:val="2"/>
          <w:sz w:val="32"/>
          <w:szCs w:val="32"/>
          <w:lang w:val="en-US" w:eastAsia="zh-CN" w:bidi="ar-SA"/>
        </w:rPr>
        <w:t>1．在加快高新技术企业培育上奋力攻坚。</w:t>
      </w:r>
      <w:r>
        <w:rPr>
          <w:rFonts w:hint="default" w:ascii="仿宋" w:hAnsi="仿宋" w:eastAsia="仿宋" w:cs="仿宋"/>
          <w:kern w:val="2"/>
          <w:sz w:val="32"/>
          <w:szCs w:val="32"/>
          <w:lang w:val="en-US" w:eastAsia="zh-CN" w:bidi="ar-SA"/>
        </w:rPr>
        <w:t>聚力</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3+1</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模式（培育一批、孵化一批、申报一批、优化服务），助推企业</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升高</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工作。不断激励科技型中小企业做大做强做优，加大科技</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小巨人</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企业创新能力培育，重点支持科技型中小企业和</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小巨人</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企业。</w:t>
      </w:r>
    </w:p>
    <w:p>
      <w:pPr>
        <w:pStyle w:val="7"/>
        <w:keepNext w:val="0"/>
        <w:keepLines w:val="0"/>
        <w:pageBreakBefore w:val="0"/>
        <w:widowControl/>
        <w:kinsoku/>
        <w:wordWrap/>
        <w:overflowPunct/>
        <w:topLinePunct w:val="0"/>
        <w:autoSpaceDE/>
        <w:autoSpaceDN/>
        <w:bidi w:val="0"/>
        <w:adjustRightInd/>
        <w:snapToGrid/>
        <w:spacing w:line="560" w:lineRule="exact"/>
        <w:ind w:left="0" w:firstLine="643" w:firstLineChars="200"/>
        <w:jc w:val="both"/>
        <w:textAlignment w:val="auto"/>
        <w:rPr>
          <w:rFonts w:hint="default" w:ascii="仿宋" w:hAnsi="仿宋" w:eastAsia="仿宋" w:cs="仿宋"/>
          <w:kern w:val="2"/>
          <w:sz w:val="32"/>
          <w:szCs w:val="32"/>
          <w:lang w:val="en-US" w:eastAsia="zh-CN" w:bidi="ar-SA"/>
        </w:rPr>
      </w:pPr>
      <w:r>
        <w:rPr>
          <w:rFonts w:hint="default" w:ascii="仿宋_GB2312" w:hAnsi="仿宋_GB2312" w:eastAsia="仿宋_GB2312" w:cs="仿宋_GB2312"/>
          <w:b/>
          <w:bCs w:val="0"/>
          <w:kern w:val="2"/>
          <w:sz w:val="32"/>
          <w:szCs w:val="32"/>
          <w:lang w:val="en-US" w:eastAsia="zh-CN" w:bidi="ar-SA"/>
        </w:rPr>
        <w:t>2．在增强企业科技研发实力上奋力攻坚。</w:t>
      </w:r>
      <w:r>
        <w:rPr>
          <w:rFonts w:hint="default" w:ascii="仿宋" w:hAnsi="仿宋" w:eastAsia="仿宋" w:cs="仿宋"/>
          <w:kern w:val="2"/>
          <w:sz w:val="32"/>
          <w:szCs w:val="32"/>
          <w:lang w:val="en-US" w:eastAsia="zh-CN" w:bidi="ar-SA"/>
        </w:rPr>
        <w:t>加强企业培训，提高研发经费归集报送质量，实现R&amp;D经费投入较快增长，R&amp;D统计应统尽统。落实研发加计扣除和各项激励创新的政策。积极向省市科技部门申报科技项目资金，争取更多资金投向科技企业。</w:t>
      </w: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rPr>
          <w:rFonts w:hint="default" w:ascii="仿宋" w:hAnsi="仿宋" w:eastAsia="仿宋" w:cs="仿宋"/>
          <w:kern w:val="2"/>
          <w:sz w:val="32"/>
          <w:szCs w:val="32"/>
          <w:lang w:val="en-US" w:eastAsia="zh-CN" w:bidi="ar-SA"/>
        </w:rPr>
      </w:pPr>
      <w:r>
        <w:rPr>
          <w:rFonts w:hint="default" w:ascii="仿宋_GB2312" w:hAnsi="仿宋_GB2312" w:eastAsia="仿宋_GB2312" w:cs="仿宋_GB2312"/>
          <w:b/>
          <w:bCs w:val="0"/>
          <w:kern w:val="2"/>
          <w:sz w:val="32"/>
          <w:szCs w:val="32"/>
          <w:lang w:val="en-US" w:eastAsia="zh-CN" w:bidi="ar-SA"/>
        </w:rPr>
        <w:t>3．在突出抓好创新平台建设上奋力攻坚。</w:t>
      </w:r>
      <w:r>
        <w:rPr>
          <w:rFonts w:hint="default" w:ascii="仿宋" w:hAnsi="仿宋" w:eastAsia="仿宋" w:cs="仿宋"/>
          <w:kern w:val="2"/>
          <w:sz w:val="32"/>
          <w:szCs w:val="32"/>
          <w:lang w:val="en-US" w:eastAsia="zh-CN" w:bidi="ar-SA"/>
        </w:rPr>
        <w:t>以创新设计战略联盟为载体，加强与区内重点科技企业、科研院所联系，鼓励科技创新平台创新机制，充分发挥创新设计战略联盟资源整合优势，全力支持企业争创国家级创新平台，加大科技成果转换，完成技术合同登记。</w:t>
      </w: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kern w:val="2"/>
          <w:sz w:val="32"/>
          <w:szCs w:val="32"/>
          <w:lang w:val="en-US" w:eastAsia="zh-CN" w:bidi="ar-SA"/>
        </w:rPr>
      </w:pPr>
      <w:r>
        <w:rPr>
          <w:rFonts w:hint="default" w:ascii="仿宋_GB2312" w:hAnsi="仿宋_GB2312" w:eastAsia="仿宋_GB2312" w:cs="仿宋_GB2312"/>
          <w:b/>
          <w:bCs w:val="0"/>
          <w:kern w:val="2"/>
          <w:sz w:val="32"/>
          <w:szCs w:val="32"/>
          <w:lang w:val="en-US" w:eastAsia="zh-CN" w:bidi="ar-SA"/>
        </w:rPr>
        <w:t>4．在营造科技创新营商环境上奋力攻坚。</w:t>
      </w:r>
      <w:r>
        <w:rPr>
          <w:rFonts w:hint="default" w:ascii="仿宋" w:hAnsi="仿宋" w:eastAsia="仿宋" w:cs="仿宋"/>
          <w:kern w:val="2"/>
          <w:sz w:val="32"/>
          <w:szCs w:val="32"/>
          <w:lang w:val="en-US" w:eastAsia="zh-CN" w:bidi="ar-SA"/>
        </w:rPr>
        <w:t>一是在优化服务上做</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加法</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。主动服务企业、政策宣讲企业、提供指导企业，</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一对一</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为企业提供科技指导服务，为创新主体提供全方位</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保姆式</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服务。二是在简化程序上做</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减法</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优化科技项目立项流程和评审论证环节，压缩申报立项时间，营造公平、公正、公开的科技项目发展环境。三是在监督管理上做“除法”。进一步加强和规范项目资金管理，对科技专项资金实行跟踪问效，规范科技专项资金的监督管理。</w:t>
      </w:r>
    </w:p>
    <w:p>
      <w:pPr>
        <w:keepNext w:val="0"/>
        <w:keepLines w:val="0"/>
        <w:pageBreakBefore w:val="0"/>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二、部门整体预算支出情况</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2020年，区科技局在区委、区政府的正确领导下，我局进一步强化支出责任，推进资金科学化精细化管理，提高财政资金使用效益，根据《中华人民共和国预算法》、《党政机关厉行节约反对浪费条例》、《关于推进雨花区预算绩效管理的意见》（雨政办发〔2013〕28号）等有关规定强化项目绩效考核，在重点产业科技创新、重点科技资源利用、科技创新体系重点环节上实现新发展，很好地完成了全年工作目标任务。</w:t>
      </w:r>
    </w:p>
    <w:p>
      <w:pPr>
        <w:pStyle w:val="19"/>
        <w:keepNext w:val="0"/>
        <w:keepLines w:val="0"/>
        <w:pageBreakBefore w:val="0"/>
        <w:widowControl/>
        <w:kinsoku/>
        <w:wordWrap/>
        <w:overflowPunct/>
        <w:topLinePunct w:val="0"/>
        <w:autoSpaceDE/>
        <w:autoSpaceDN/>
        <w:bidi w:val="0"/>
        <w:adjustRightInd/>
        <w:snapToGrid/>
        <w:spacing w:line="560" w:lineRule="exact"/>
        <w:ind w:left="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（一）基本支出情况</w:t>
      </w:r>
    </w:p>
    <w:p>
      <w:pPr>
        <w:keepNext w:val="0"/>
        <w:keepLines w:val="0"/>
        <w:pageBreakBefore w:val="0"/>
        <w:kinsoku/>
        <w:wordWrap/>
        <w:overflowPunct/>
        <w:topLinePunct w:val="0"/>
        <w:autoSpaceDE/>
        <w:autoSpaceDN/>
        <w:bidi w:val="0"/>
        <w:adjustRightInd/>
        <w:snapToGrid/>
        <w:spacing w:line="560" w:lineRule="exact"/>
        <w:ind w:left="0" w:firstLine="640" w:firstLineChars="200"/>
        <w:textAlignment w:val="auto"/>
        <w:rPr>
          <w:rFonts w:hint="eastAsia" w:ascii="仿宋" w:hAnsi="仿宋" w:eastAsia="仿宋" w:cs="仿宋"/>
          <w:color w:val="000000"/>
          <w:kern w:val="2"/>
          <w:sz w:val="32"/>
          <w:szCs w:val="32"/>
          <w:highlight w:val="yellow"/>
          <w:shd w:val="clear" w:color="auto" w:fill="auto"/>
          <w:lang w:val="en-US" w:eastAsia="zh-CN" w:bidi="ar"/>
        </w:rPr>
      </w:pPr>
      <w:r>
        <w:rPr>
          <w:rFonts w:hint="eastAsia" w:ascii="仿宋" w:hAnsi="仿宋" w:eastAsia="仿宋" w:cs="仿宋"/>
          <w:b w:val="0"/>
          <w:bCs/>
          <w:kern w:val="2"/>
          <w:sz w:val="32"/>
          <w:szCs w:val="32"/>
          <w:lang w:val="en-US" w:eastAsia="zh-CN" w:bidi="ar-SA"/>
        </w:rPr>
        <w:t>2020年区财政批复的基本支出年初预算为435.42万元，较上年增加109.76万元，主要原因是新增二级机构科技创新事务中心。年初预算中工资福利支出356.20万元、日常公用经费34万元、对个人和家庭补助45.22万元。调整后的基本支出预算为435.53万元，其中：工资福利性支出359.64万元、对个人和家庭的补助46.54万元、商品和服务支出29.35万元。主要用于2020年度人员工资福利支出、对个人和家庭补助的退休老干部支出以及办公经费、党建工作、学雷锋志愿者活动、联点社区群众工作慰问、精准扶贫浏阳社港新光村等工作支出。</w:t>
      </w:r>
    </w:p>
    <w:tbl>
      <w:tblPr>
        <w:tblStyle w:val="9"/>
        <w:tblW w:w="8760" w:type="dxa"/>
        <w:tblInd w:w="0" w:type="dxa"/>
        <w:shd w:val="clear" w:color="auto" w:fill="auto"/>
        <w:tblLayout w:type="autofit"/>
        <w:tblCellMar>
          <w:top w:w="0" w:type="dxa"/>
          <w:left w:w="0" w:type="dxa"/>
          <w:bottom w:w="0" w:type="dxa"/>
          <w:right w:w="0" w:type="dxa"/>
        </w:tblCellMar>
      </w:tblPr>
      <w:tblGrid>
        <w:gridCol w:w="1575"/>
        <w:gridCol w:w="1200"/>
        <w:gridCol w:w="1275"/>
        <w:gridCol w:w="1620"/>
        <w:gridCol w:w="3090"/>
      </w:tblGrid>
      <w:tr>
        <w:tblPrEx>
          <w:shd w:val="clear" w:color="auto" w:fill="auto"/>
          <w:tblCellMar>
            <w:top w:w="0" w:type="dxa"/>
            <w:left w:w="0" w:type="dxa"/>
            <w:bottom w:w="0" w:type="dxa"/>
            <w:right w:w="0" w:type="dxa"/>
          </w:tblCellMar>
        </w:tblPrEx>
        <w:trPr>
          <w:trHeight w:val="7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项目内容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预算金额</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决算金额</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预、决算差额    （超支为负）</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差异原因</w:t>
            </w:r>
          </w:p>
        </w:tc>
      </w:tr>
      <w:tr>
        <w:tblPrEx>
          <w:shd w:val="clear" w:color="auto" w:fill="auto"/>
          <w:tblCellMar>
            <w:top w:w="0" w:type="dxa"/>
            <w:left w:w="0" w:type="dxa"/>
            <w:bottom w:w="0" w:type="dxa"/>
            <w:right w:w="0" w:type="dxa"/>
          </w:tblCellMar>
        </w:tblPrEx>
        <w:trPr>
          <w:trHeight w:val="5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401.42</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406.18</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-4.76</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人员工资基数统一上调</w:t>
            </w:r>
            <w:r>
              <w:rPr>
                <w:rFonts w:hint="eastAsia" w:ascii="宋体" w:hAnsi="宋体" w:cs="宋体"/>
                <w:i w:val="0"/>
                <w:color w:val="000000"/>
                <w:kern w:val="0"/>
                <w:sz w:val="22"/>
                <w:szCs w:val="22"/>
                <w:u w:val="none"/>
                <w:lang w:val="en-US" w:eastAsia="zh-CN" w:bidi="ar"/>
              </w:rPr>
              <w:t>等</w:t>
            </w:r>
          </w:p>
        </w:tc>
      </w:tr>
      <w:tr>
        <w:tblPrEx>
          <w:shd w:val="clear" w:color="auto" w:fill="auto"/>
          <w:tblCellMar>
            <w:top w:w="0" w:type="dxa"/>
            <w:left w:w="0" w:type="dxa"/>
            <w:bottom w:w="0" w:type="dxa"/>
            <w:right w:w="0" w:type="dxa"/>
          </w:tblCellMar>
        </w:tblPrEx>
        <w:trPr>
          <w:trHeight w:val="108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日常公用经费</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34</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29.34</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highlight w:val="none"/>
                <w:u w:val="none"/>
                <w:lang w:val="en-US"/>
              </w:rPr>
            </w:pPr>
            <w:r>
              <w:rPr>
                <w:rFonts w:hint="eastAsia" w:ascii="宋体" w:hAnsi="宋体" w:eastAsia="宋体" w:cs="宋体"/>
                <w:i w:val="0"/>
                <w:color w:val="000000"/>
                <w:kern w:val="0"/>
                <w:sz w:val="22"/>
                <w:szCs w:val="22"/>
                <w:highlight w:val="none"/>
                <w:u w:val="none"/>
                <w:lang w:val="en-US" w:eastAsia="zh-CN" w:bidi="ar"/>
              </w:rPr>
              <w:t>4.66</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仿宋_GB2312" w:hAnsi="仿宋_GB2312" w:eastAsia="仿宋_GB2312" w:cs="仿宋_GB2312"/>
                <w:i w:val="0"/>
                <w:color w:val="000000"/>
                <w:kern w:val="0"/>
                <w:sz w:val="20"/>
                <w:szCs w:val="20"/>
                <w:u w:val="none"/>
                <w:lang w:val="en-US" w:eastAsia="zh-CN" w:bidi="ar"/>
              </w:rPr>
              <w:t>2020年1月省科技厅组织科技创新管理干部赴德国专题培训，因疫情未能出行经费上缴财政。</w:t>
            </w:r>
          </w:p>
        </w:tc>
      </w:tr>
      <w:tr>
        <w:tblPrEx>
          <w:shd w:val="clear" w:color="auto" w:fill="auto"/>
          <w:tblCellMar>
            <w:top w:w="0" w:type="dxa"/>
            <w:left w:w="0" w:type="dxa"/>
            <w:bottom w:w="0" w:type="dxa"/>
            <w:right w:w="0" w:type="dxa"/>
          </w:tblCellMar>
        </w:tblPrEx>
        <w:trPr>
          <w:trHeight w:val="500"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435.42</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435.52</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-0.10</w:t>
            </w:r>
          </w:p>
        </w:tc>
        <w:tc>
          <w:tcPr>
            <w:tcW w:w="3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outlineLvl w:val="9"/>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b/>
          <w:bCs/>
          <w:color w:val="000000"/>
          <w:sz w:val="28"/>
          <w:szCs w:val="28"/>
          <w:lang w:val="en-US" w:eastAsia="zh-CN"/>
        </w:rPr>
        <w:t>其中“三公”经费支出情况：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sz w:val="32"/>
          <w:szCs w:val="32"/>
        </w:rPr>
      </w:pPr>
      <w:r>
        <w:rPr>
          <w:rFonts w:hint="eastAsia" w:ascii="仿宋_GB2312" w:hAnsi="仿宋_GB2312" w:eastAsia="仿宋_GB2312" w:cs="仿宋_GB2312"/>
          <w:color w:val="000000"/>
          <w:sz w:val="32"/>
          <w:szCs w:val="32"/>
          <w:lang w:val="en-US" w:eastAsia="zh-CN"/>
        </w:rPr>
        <w:t>“三公”经费包括</w:t>
      </w:r>
      <w:r>
        <w:rPr>
          <w:rFonts w:hint="eastAsia" w:ascii="仿宋_GB2312" w:hAnsi="仿宋_GB2312" w:eastAsia="仿宋_GB2312" w:cs="仿宋_GB2312"/>
          <w:color w:val="000000"/>
          <w:sz w:val="32"/>
          <w:szCs w:val="32"/>
        </w:rPr>
        <w:t>公务用车运行费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因公出国（境）费、</w:t>
      </w:r>
      <w:r>
        <w:rPr>
          <w:rFonts w:hint="eastAsia" w:ascii="仿宋_GB2312" w:hAnsi="仿宋_GB2312" w:eastAsia="仿宋_GB2312" w:cs="仿宋_GB2312"/>
          <w:color w:val="000000"/>
          <w:sz w:val="32"/>
          <w:szCs w:val="32"/>
        </w:rPr>
        <w:t>公务接待费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2020年“三公经费”预算数4.30万元，</w:t>
      </w:r>
      <w:r>
        <w:rPr>
          <w:rFonts w:hint="eastAsia" w:ascii="仿宋_GB2312" w:hAnsi="仿宋_GB2312" w:eastAsia="仿宋_GB2312" w:cs="仿宋_GB2312"/>
          <w:color w:val="000000"/>
          <w:sz w:val="32"/>
          <w:szCs w:val="32"/>
        </w:rPr>
        <w:t>较</w:t>
      </w:r>
      <w:r>
        <w:rPr>
          <w:rFonts w:hint="eastAsia" w:ascii="仿宋_GB2312" w:hAnsi="仿宋_GB2312" w:eastAsia="仿宋_GB2312" w:cs="仿宋_GB2312"/>
          <w:color w:val="000000"/>
          <w:sz w:val="32"/>
          <w:szCs w:val="32"/>
          <w:lang w:eastAsia="zh-CN"/>
        </w:rPr>
        <w:t>上年增加</w:t>
      </w:r>
      <w:r>
        <w:rPr>
          <w:rFonts w:hint="eastAsia" w:ascii="仿宋_GB2312" w:hAnsi="仿宋_GB2312" w:eastAsia="仿宋_GB2312" w:cs="仿宋_GB2312"/>
          <w:color w:val="000000"/>
          <w:sz w:val="32"/>
          <w:szCs w:val="32"/>
          <w:lang w:val="en-US" w:eastAsia="zh-CN"/>
        </w:rPr>
        <w:t>0.70万元，</w:t>
      </w:r>
      <w:r>
        <w:rPr>
          <w:rFonts w:hint="eastAsia" w:ascii="仿宋_GB2312" w:hAnsi="仿宋_GB2312" w:eastAsia="仿宋_GB2312" w:cs="仿宋_GB2312"/>
          <w:color w:val="000000"/>
          <w:sz w:val="32"/>
          <w:szCs w:val="32"/>
          <w:lang w:eastAsia="zh-CN"/>
        </w:rPr>
        <w:t>其中</w:t>
      </w:r>
      <w:r>
        <w:rPr>
          <w:rFonts w:hint="eastAsia" w:ascii="仿宋_GB2312" w:hAnsi="仿宋_GB2312" w:eastAsia="仿宋_GB2312" w:cs="仿宋_GB2312"/>
          <w:color w:val="000000"/>
          <w:sz w:val="32"/>
          <w:szCs w:val="32"/>
        </w:rPr>
        <w:t>公务接待费</w:t>
      </w:r>
      <w:r>
        <w:rPr>
          <w:rFonts w:hint="eastAsia" w:ascii="仿宋_GB2312" w:hAnsi="仿宋_GB2312" w:eastAsia="仿宋_GB2312" w:cs="仿宋_GB2312"/>
          <w:color w:val="000000"/>
          <w:sz w:val="32"/>
          <w:szCs w:val="32"/>
          <w:lang w:val="en-US" w:eastAsia="zh-CN"/>
        </w:rPr>
        <w:t>0.30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因公出国出境4万元，</w:t>
      </w:r>
      <w:r>
        <w:rPr>
          <w:rFonts w:hint="eastAsia" w:ascii="仿宋_GB2312" w:hAnsi="仿宋_GB2312" w:eastAsia="仿宋_GB2312" w:cs="仿宋_GB2312"/>
          <w:color w:val="000000"/>
          <w:sz w:val="32"/>
          <w:szCs w:val="32"/>
        </w:rPr>
        <w:t>公务用车运行费</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年“三公经费”</w:t>
      </w:r>
      <w:r>
        <w:rPr>
          <w:rFonts w:hint="eastAsia" w:ascii="仿宋_GB2312" w:hAnsi="仿宋_GB2312" w:eastAsia="仿宋_GB2312" w:cs="仿宋_GB2312"/>
          <w:color w:val="000000"/>
          <w:sz w:val="32"/>
          <w:szCs w:val="32"/>
          <w:lang w:eastAsia="zh-CN"/>
        </w:rPr>
        <w:t>决算数</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，其中：</w:t>
      </w:r>
      <w:r>
        <w:rPr>
          <w:rFonts w:hint="eastAsia" w:ascii="仿宋_GB2312" w:hAnsi="仿宋_GB2312" w:eastAsia="仿宋_GB2312" w:cs="仿宋_GB2312"/>
          <w:color w:val="000000"/>
          <w:sz w:val="32"/>
          <w:szCs w:val="32"/>
        </w:rPr>
        <w:t>公务接待费</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因公出国出境0万元（</w:t>
      </w:r>
      <w:r>
        <w:rPr>
          <w:rFonts w:hint="eastAsia" w:ascii="仿宋_GB2312" w:hAnsi="仿宋_GB2312" w:eastAsia="仿宋_GB2312" w:cs="仿宋_GB2312"/>
          <w:color w:val="000000"/>
          <w:sz w:val="32"/>
          <w:szCs w:val="32"/>
        </w:rPr>
        <w:t>2020年省科技厅组织科技创新管理干部赴德国专题培训，费用3.72万元</w:t>
      </w:r>
      <w:r>
        <w:rPr>
          <w:rFonts w:hint="eastAsia" w:ascii="仿宋_GB2312" w:hAnsi="仿宋_GB2312" w:eastAsia="仿宋_GB2312" w:cs="仿宋_GB2312"/>
          <w:color w:val="000000"/>
          <w:sz w:val="32"/>
          <w:szCs w:val="32"/>
          <w:lang w:val="en-US" w:eastAsia="zh-CN"/>
        </w:rPr>
        <w:t>1月</w:t>
      </w:r>
      <w:r>
        <w:rPr>
          <w:rFonts w:hint="eastAsia" w:ascii="仿宋_GB2312" w:hAnsi="仿宋_GB2312" w:eastAsia="仿宋_GB2312" w:cs="仿宋_GB2312"/>
          <w:color w:val="000000"/>
          <w:sz w:val="32"/>
          <w:szCs w:val="32"/>
        </w:rPr>
        <w:t>已支付，</w:t>
      </w:r>
      <w:r>
        <w:rPr>
          <w:rFonts w:hint="eastAsia" w:ascii="仿宋_GB2312" w:hAnsi="仿宋_GB2312" w:eastAsia="仿宋_GB2312" w:cs="仿宋_GB2312"/>
          <w:color w:val="000000"/>
          <w:sz w:val="32"/>
          <w:szCs w:val="32"/>
          <w:lang w:eastAsia="zh-CN"/>
        </w:rPr>
        <w:t>但</w:t>
      </w:r>
      <w:r>
        <w:rPr>
          <w:rFonts w:hint="eastAsia" w:ascii="仿宋_GB2312" w:hAnsi="仿宋_GB2312" w:eastAsia="仿宋_GB2312" w:cs="仿宋_GB2312"/>
          <w:color w:val="000000"/>
          <w:sz w:val="32"/>
          <w:szCs w:val="32"/>
        </w:rPr>
        <w:t>因疫情</w:t>
      </w:r>
      <w:r>
        <w:rPr>
          <w:rFonts w:hint="eastAsia" w:ascii="仿宋_GB2312" w:hAnsi="仿宋_GB2312" w:eastAsia="仿宋_GB2312" w:cs="仿宋_GB2312"/>
          <w:color w:val="000000"/>
          <w:sz w:val="32"/>
          <w:szCs w:val="32"/>
          <w:lang w:eastAsia="zh-CN"/>
        </w:rPr>
        <w:t>于</w:t>
      </w:r>
      <w:r>
        <w:rPr>
          <w:rFonts w:hint="eastAsia" w:ascii="仿宋_GB2312" w:hAnsi="仿宋_GB2312" w:eastAsia="仿宋_GB2312" w:cs="仿宋_GB2312"/>
          <w:color w:val="000000"/>
          <w:sz w:val="32"/>
          <w:szCs w:val="32"/>
        </w:rPr>
        <w:t>12月退回</w:t>
      </w:r>
      <w:r>
        <w:rPr>
          <w:rFonts w:hint="eastAsia" w:ascii="仿宋_GB2312" w:hAnsi="仿宋_GB2312" w:eastAsia="仿宋_GB2312" w:cs="仿宋_GB2312"/>
          <w:color w:val="000000"/>
          <w:sz w:val="32"/>
          <w:szCs w:val="32"/>
          <w:lang w:eastAsia="zh-CN"/>
        </w:rPr>
        <w:t>并上缴财政</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公务用车运行费</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w:t>
      </w:r>
    </w:p>
    <w:tbl>
      <w:tblPr>
        <w:tblStyle w:val="9"/>
        <w:tblW w:w="8670" w:type="dxa"/>
        <w:tblInd w:w="0" w:type="dxa"/>
        <w:shd w:val="clear" w:color="auto" w:fill="auto"/>
        <w:tblLayout w:type="autofit"/>
        <w:tblCellMar>
          <w:top w:w="0" w:type="dxa"/>
          <w:left w:w="0" w:type="dxa"/>
          <w:bottom w:w="0" w:type="dxa"/>
          <w:right w:w="0" w:type="dxa"/>
        </w:tblCellMar>
      </w:tblPr>
      <w:tblGrid>
        <w:gridCol w:w="1680"/>
        <w:gridCol w:w="780"/>
        <w:gridCol w:w="975"/>
        <w:gridCol w:w="990"/>
        <w:gridCol w:w="1095"/>
        <w:gridCol w:w="3150"/>
      </w:tblGrid>
      <w:tr>
        <w:tblPrEx>
          <w:shd w:val="clear" w:color="auto" w:fill="auto"/>
          <w:tblCellMar>
            <w:top w:w="0" w:type="dxa"/>
            <w:left w:w="0" w:type="dxa"/>
            <w:bottom w:w="0" w:type="dxa"/>
            <w:right w:w="0" w:type="dxa"/>
          </w:tblCellMar>
        </w:tblPrEx>
        <w:trPr>
          <w:trHeight w:val="82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项目内容</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2019年      决算数</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2020年   预算金额</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2020年   决算金额</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与上年决算相比变动比例</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差异原因</w:t>
            </w:r>
          </w:p>
        </w:tc>
      </w:tr>
      <w:tr>
        <w:tblPrEx>
          <w:tblCellMar>
            <w:top w:w="0" w:type="dxa"/>
            <w:left w:w="0" w:type="dxa"/>
            <w:bottom w:w="0" w:type="dxa"/>
            <w:right w:w="0" w:type="dxa"/>
          </w:tblCellMar>
        </w:tblPrEx>
        <w:trPr>
          <w:trHeight w:val="74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公车运行维护费</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0.98</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知识产权行政执法公车一辆划拨至区市监局</w:t>
            </w:r>
            <w:r>
              <w:rPr>
                <w:rFonts w:hint="eastAsia" w:ascii="宋体" w:hAnsi="宋体" w:cs="宋体"/>
                <w:i w:val="0"/>
                <w:color w:val="000000"/>
                <w:kern w:val="0"/>
                <w:sz w:val="20"/>
                <w:szCs w:val="20"/>
                <w:u w:val="none"/>
                <w:lang w:val="en-US" w:eastAsia="zh-CN" w:bidi="ar"/>
              </w:rPr>
              <w:t>，2020年决算数为0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90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val="en-US" w:eastAsia="zh-CN"/>
              </w:rPr>
              <w:t>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2020年1月省科技厅组织科技创新管理干部赴德国专题培训，因疫情未能出行</w:t>
            </w:r>
            <w:r>
              <w:rPr>
                <w:rFonts w:hint="eastAsia" w:ascii="宋体" w:hAnsi="宋体" w:cs="宋体"/>
                <w:i w:val="0"/>
                <w:color w:val="000000"/>
                <w:kern w:val="0"/>
                <w:sz w:val="20"/>
                <w:szCs w:val="20"/>
                <w:u w:val="none"/>
                <w:lang w:val="en-US" w:eastAsia="zh-CN" w:bidi="ar"/>
              </w:rPr>
              <w:t>经费</w:t>
            </w:r>
            <w:r>
              <w:rPr>
                <w:rFonts w:hint="eastAsia" w:ascii="宋体" w:hAnsi="宋体" w:eastAsia="宋体" w:cs="宋体"/>
                <w:i w:val="0"/>
                <w:color w:val="000000"/>
                <w:kern w:val="0"/>
                <w:sz w:val="20"/>
                <w:szCs w:val="20"/>
                <w:u w:val="none"/>
                <w:lang w:val="en-US" w:eastAsia="zh-CN" w:bidi="ar"/>
              </w:rPr>
              <w:t>上缴财政</w:t>
            </w:r>
            <w:r>
              <w:rPr>
                <w:rFonts w:hint="eastAsia" w:ascii="宋体" w:hAnsi="宋体" w:cs="宋体"/>
                <w:i w:val="0"/>
                <w:color w:val="000000"/>
                <w:kern w:val="0"/>
                <w:sz w:val="20"/>
                <w:szCs w:val="20"/>
                <w:u w:val="none"/>
                <w:lang w:val="en-US" w:eastAsia="zh-CN" w:bidi="ar"/>
              </w:rPr>
              <w:t>，决算数为0</w:t>
            </w:r>
            <w:r>
              <w:rPr>
                <w:rFonts w:hint="eastAsia" w:ascii="宋体" w:hAnsi="宋体" w:eastAsia="宋体" w:cs="宋体"/>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62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0.30 </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0</w:t>
            </w:r>
            <w:r>
              <w:rPr>
                <w:rFonts w:hint="eastAsia" w:ascii="宋体" w:hAnsi="宋体" w:cs="宋体"/>
                <w:i w:val="0"/>
                <w:color w:val="000000"/>
                <w:kern w:val="0"/>
                <w:sz w:val="22"/>
                <w:szCs w:val="22"/>
                <w:u w:val="none"/>
                <w:lang w:val="en-US" w:eastAsia="zh-CN" w:bidi="ar"/>
              </w:rPr>
              <w:t>%</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640" w:hRule="atLeast"/>
        </w:trPr>
        <w:tc>
          <w:tcPr>
            <w:tcW w:w="16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0.98</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0%</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0"/>
                <w:szCs w:val="20"/>
                <w:u w:val="none"/>
                <w:lang w:val="en-US" w:eastAsia="zh-CN" w:bidi="ar"/>
              </w:rPr>
              <w:t>知识产权行政执法公车一辆划拨至区市监局</w:t>
            </w:r>
            <w:r>
              <w:rPr>
                <w:rFonts w:hint="eastAsia" w:ascii="宋体" w:hAnsi="宋体" w:cs="宋体"/>
                <w:i w:val="0"/>
                <w:color w:val="000000"/>
                <w:kern w:val="0"/>
                <w:sz w:val="20"/>
                <w:szCs w:val="20"/>
                <w:u w:val="none"/>
                <w:lang w:val="en-US" w:eastAsia="zh-CN" w:bidi="ar"/>
              </w:rPr>
              <w:t>，2020年决算数为0</w:t>
            </w:r>
            <w:r>
              <w:rPr>
                <w:rFonts w:hint="eastAsia" w:ascii="宋体" w:hAnsi="宋体" w:eastAsia="宋体" w:cs="宋体"/>
                <w:i w:val="0"/>
                <w:color w:val="000000"/>
                <w:kern w:val="0"/>
                <w:sz w:val="20"/>
                <w:szCs w:val="20"/>
                <w:u w:val="none"/>
                <w:lang w:val="en-US" w:eastAsia="zh-CN" w:bidi="ar"/>
              </w:rPr>
              <w:t>。</w:t>
            </w:r>
          </w:p>
        </w:tc>
      </w:tr>
    </w:tbl>
    <w:p>
      <w:pPr>
        <w:pStyle w:val="19"/>
        <w:keepNext w:val="0"/>
        <w:keepLines w:val="0"/>
        <w:pageBreakBefore w:val="0"/>
        <w:widowControl/>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（二）项目支出情况</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b/>
          <w:bCs/>
          <w:sz w:val="32"/>
          <w:szCs w:val="32"/>
        </w:rPr>
        <w:t>1</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项目资金（包括财政资金、自筹资金等）安排落实、总投入等情况分析。</w:t>
      </w:r>
      <w:r>
        <w:rPr>
          <w:rFonts w:hint="eastAsia" w:ascii="仿宋" w:hAnsi="仿宋" w:eastAsia="仿宋" w:cs="仿宋"/>
          <w:color w:val="000000"/>
          <w:sz w:val="32"/>
          <w:szCs w:val="32"/>
          <w:lang w:eastAsia="zh-CN"/>
        </w:rPr>
        <w:t>专项资金是在基本支出之外为完成特定的工作任务而发生的支出。20</w:t>
      </w:r>
      <w:r>
        <w:rPr>
          <w:rFonts w:hint="eastAsia" w:ascii="仿宋" w:hAnsi="仿宋" w:eastAsia="仿宋" w:cs="仿宋"/>
          <w:color w:val="000000"/>
          <w:sz w:val="32"/>
          <w:szCs w:val="32"/>
          <w:lang w:val="en-US" w:eastAsia="zh-CN"/>
        </w:rPr>
        <w:t>21</w:t>
      </w:r>
      <w:r>
        <w:rPr>
          <w:rFonts w:hint="eastAsia" w:ascii="仿宋" w:hAnsi="仿宋" w:eastAsia="仿宋" w:cs="仿宋"/>
          <w:color w:val="000000"/>
          <w:sz w:val="32"/>
          <w:szCs w:val="32"/>
          <w:lang w:eastAsia="zh-CN"/>
        </w:rPr>
        <w:t>项目支出年初预算为</w:t>
      </w:r>
      <w:r>
        <w:rPr>
          <w:rFonts w:hint="eastAsia" w:ascii="仿宋" w:hAnsi="仿宋" w:eastAsia="仿宋" w:cs="仿宋"/>
          <w:color w:val="000000"/>
          <w:sz w:val="32"/>
          <w:szCs w:val="32"/>
          <w:lang w:val="en-US" w:eastAsia="zh-CN"/>
        </w:rPr>
        <w:t>31</w:t>
      </w:r>
      <w:r>
        <w:rPr>
          <w:rFonts w:hint="eastAsia" w:ascii="仿宋" w:hAnsi="仿宋" w:eastAsia="仿宋" w:cs="仿宋"/>
          <w:color w:val="000000"/>
          <w:sz w:val="32"/>
          <w:szCs w:val="32"/>
          <w:lang w:eastAsia="zh-CN"/>
        </w:rPr>
        <w:t>万元，本着厉行节约较上年减少</w:t>
      </w:r>
      <w:r>
        <w:rPr>
          <w:rFonts w:hint="eastAsia" w:ascii="仿宋" w:hAnsi="仿宋" w:eastAsia="仿宋" w:cs="仿宋"/>
          <w:color w:val="000000"/>
          <w:sz w:val="32"/>
          <w:szCs w:val="32"/>
          <w:lang w:val="en-US" w:eastAsia="zh-CN"/>
        </w:rPr>
        <w:t>10万元，降低24.39%。2021年</w:t>
      </w:r>
      <w:r>
        <w:rPr>
          <w:rFonts w:hint="eastAsia" w:ascii="仿宋" w:hAnsi="仿宋" w:eastAsia="仿宋" w:cs="仿宋"/>
          <w:color w:val="000000"/>
          <w:sz w:val="32"/>
          <w:szCs w:val="32"/>
          <w:lang w:eastAsia="zh-CN"/>
        </w:rPr>
        <w:t>调整预算数</w:t>
      </w:r>
      <w:r>
        <w:rPr>
          <w:rFonts w:hint="eastAsia" w:ascii="仿宋" w:hAnsi="仿宋" w:eastAsia="仿宋" w:cs="仿宋"/>
          <w:color w:val="000000"/>
          <w:sz w:val="32"/>
          <w:szCs w:val="32"/>
          <w:lang w:val="en-US" w:eastAsia="zh-CN"/>
        </w:rPr>
        <w:t>8545.77万元，其中上级科技项目资金7023.13万元主要是</w:t>
      </w:r>
      <w:r>
        <w:rPr>
          <w:rFonts w:hint="eastAsia" w:ascii="仿宋" w:hAnsi="仿宋" w:eastAsia="仿宋" w:cs="仿宋"/>
          <w:color w:val="000000"/>
          <w:kern w:val="2"/>
          <w:sz w:val="32"/>
          <w:szCs w:val="32"/>
          <w:shd w:val="clear" w:color="auto" w:fill="auto"/>
          <w:lang w:val="en-US" w:eastAsia="zh-CN" w:bidi="ar"/>
        </w:rPr>
        <w:t>省市区级省科技创新平台补助经费、市2019年第二批重点研发、平台和人才科技计划项目经费等</w:t>
      </w:r>
      <w:r>
        <w:rPr>
          <w:rFonts w:hint="eastAsia" w:ascii="仿宋" w:hAnsi="仿宋" w:eastAsia="仿宋" w:cs="仿宋"/>
          <w:color w:val="000000"/>
          <w:sz w:val="32"/>
          <w:szCs w:val="32"/>
          <w:lang w:val="en-US" w:eastAsia="zh-CN"/>
        </w:rPr>
        <w:t>；区级资金1122.64万元，含科技活动周等系列工作、区级科技计划项目、高新技术产业产值增速、R&amp;D经费投入、乡村振兴、技术合同交易额、科技统计等工作32.64万元；区级科技计划项目资金1090万元。</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lang w:val="en-US" w:eastAsia="zh-CN"/>
        </w:rPr>
      </w:pPr>
      <w:r>
        <w:rPr>
          <w:rFonts w:hint="eastAsia" w:ascii="仿宋" w:hAnsi="仿宋" w:eastAsia="仿宋" w:cs="仿宋"/>
          <w:b/>
          <w:bCs/>
          <w:sz w:val="32"/>
          <w:szCs w:val="32"/>
        </w:rPr>
        <w:t>2</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项目资金（主要指财政资金）实际使用情况分析。</w:t>
      </w:r>
      <w:r>
        <w:rPr>
          <w:rFonts w:hint="eastAsia" w:ascii="仿宋" w:hAnsi="仿宋" w:eastAsia="仿宋" w:cs="仿宋"/>
          <w:color w:val="000000"/>
          <w:sz w:val="32"/>
          <w:szCs w:val="32"/>
          <w:lang w:eastAsia="zh-CN"/>
        </w:rPr>
        <w:t>项目</w:t>
      </w:r>
      <w:r>
        <w:rPr>
          <w:rFonts w:hint="eastAsia" w:ascii="仿宋" w:hAnsi="仿宋" w:eastAsia="仿宋" w:cs="仿宋"/>
          <w:color w:val="000000"/>
          <w:sz w:val="32"/>
          <w:szCs w:val="32"/>
        </w:rPr>
        <w:t>支出决算为</w:t>
      </w:r>
      <w:r>
        <w:rPr>
          <w:rFonts w:hint="eastAsia" w:ascii="仿宋" w:hAnsi="仿宋" w:eastAsia="仿宋" w:cs="仿宋"/>
          <w:color w:val="000000"/>
          <w:sz w:val="32"/>
          <w:szCs w:val="32"/>
          <w:lang w:val="en-US" w:eastAsia="zh-CN"/>
        </w:rPr>
        <w:t>8545.77</w:t>
      </w:r>
      <w:r>
        <w:rPr>
          <w:rFonts w:hint="eastAsia" w:ascii="仿宋" w:hAnsi="仿宋" w:eastAsia="仿宋" w:cs="仿宋"/>
          <w:color w:val="000000"/>
          <w:sz w:val="32"/>
          <w:szCs w:val="32"/>
        </w:rPr>
        <w:t>万元，</w:t>
      </w:r>
      <w:r>
        <w:rPr>
          <w:rFonts w:hint="eastAsia" w:ascii="仿宋" w:hAnsi="仿宋" w:eastAsia="仿宋" w:cs="仿宋"/>
          <w:color w:val="000000"/>
          <w:kern w:val="2"/>
          <w:sz w:val="32"/>
          <w:szCs w:val="32"/>
          <w:shd w:val="clear" w:color="auto" w:fill="auto"/>
          <w:lang w:val="en-US" w:eastAsia="zh-CN" w:bidi="ar"/>
        </w:rPr>
        <w:t>占支出总额的95.15%。</w:t>
      </w:r>
      <w:r>
        <w:rPr>
          <w:rFonts w:hint="eastAsia" w:ascii="仿宋" w:hAnsi="仿宋" w:eastAsia="仿宋" w:cs="仿宋"/>
          <w:color w:val="000000"/>
          <w:sz w:val="32"/>
          <w:szCs w:val="32"/>
        </w:rPr>
        <w:t>上年结转</w:t>
      </w:r>
      <w:r>
        <w:rPr>
          <w:rFonts w:hint="eastAsia" w:ascii="仿宋" w:hAnsi="仿宋" w:eastAsia="仿宋" w:cs="仿宋"/>
          <w:color w:val="000000"/>
          <w:sz w:val="32"/>
          <w:szCs w:val="32"/>
          <w:lang w:val="en-US" w:eastAsia="zh-CN"/>
        </w:rPr>
        <w:t>8827.87</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区财政局国库科调整收回以前年度预算内结余指标</w:t>
      </w:r>
      <w:r>
        <w:rPr>
          <w:rFonts w:hint="eastAsia" w:ascii="仿宋" w:hAnsi="仿宋" w:eastAsia="仿宋" w:cs="仿宋"/>
          <w:color w:val="000000"/>
          <w:sz w:val="32"/>
          <w:szCs w:val="32"/>
          <w:lang w:val="en-US" w:eastAsia="zh-CN"/>
        </w:rPr>
        <w:t>122万元，</w:t>
      </w:r>
      <w:r>
        <w:rPr>
          <w:rFonts w:hint="eastAsia" w:ascii="仿宋" w:hAnsi="仿宋" w:eastAsia="仿宋" w:cs="仿宋"/>
          <w:color w:val="000000"/>
          <w:sz w:val="32"/>
          <w:szCs w:val="32"/>
        </w:rPr>
        <w:t>上年结转</w:t>
      </w:r>
      <w:r>
        <w:rPr>
          <w:rFonts w:hint="eastAsia" w:ascii="仿宋" w:hAnsi="仿宋" w:eastAsia="仿宋" w:cs="仿宋"/>
          <w:color w:val="000000"/>
          <w:sz w:val="32"/>
          <w:szCs w:val="32"/>
          <w:lang w:val="en-US" w:eastAsia="zh-CN"/>
        </w:rPr>
        <w:t>实际为8705.87</w:t>
      </w:r>
      <w:r>
        <w:rPr>
          <w:rFonts w:hint="eastAsia" w:ascii="仿宋" w:hAnsi="仿宋" w:eastAsia="仿宋" w:cs="仿宋"/>
          <w:color w:val="000000"/>
          <w:sz w:val="32"/>
          <w:szCs w:val="32"/>
        </w:rPr>
        <w:t>万元，期末项目结余</w:t>
      </w:r>
      <w:r>
        <w:rPr>
          <w:rFonts w:hint="eastAsia" w:ascii="仿宋" w:hAnsi="仿宋" w:eastAsia="仿宋" w:cs="仿宋"/>
          <w:color w:val="000000"/>
          <w:sz w:val="32"/>
          <w:szCs w:val="32"/>
          <w:lang w:val="en-US" w:eastAsia="zh-CN"/>
        </w:rPr>
        <w:t>1700.59</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经费既</w:t>
      </w:r>
      <w:r>
        <w:rPr>
          <w:rFonts w:hint="eastAsia" w:ascii="仿宋" w:hAnsi="仿宋" w:eastAsia="仿宋" w:cs="仿宋"/>
          <w:color w:val="000000"/>
          <w:kern w:val="2"/>
          <w:sz w:val="32"/>
          <w:szCs w:val="32"/>
          <w:shd w:val="clear" w:color="auto" w:fill="auto"/>
          <w:lang w:val="en-US" w:eastAsia="zh-CN" w:bidi="ar"/>
        </w:rPr>
        <w:t>包括区科技活动周等系列工作、区级科技计划项目、高新技术产业产值增速、R&amp;D经费投入、“小巨人企业”、技术合同交易额、科技统计等工作32.64万元；也包括省市区级省科技创新平台补助经费、市2019年第二批重点研发、平台和人才科技计划项目经费、市2019年度重大专项资金经费补贴、市2018年认定高新技术企业研发经费补贴、2019年第六批创新型省份建设专项资金、市2019年度重大专项资金经费补贴、2017年度市省级科技创新平台补助经费、科技投入“双百企业”奖励资金</w:t>
      </w:r>
      <w:r>
        <w:rPr>
          <w:rFonts w:hint="eastAsia" w:ascii="仿宋" w:hAnsi="仿宋" w:eastAsia="仿宋" w:cs="仿宋"/>
          <w:color w:val="000000"/>
          <w:kern w:val="0"/>
          <w:sz w:val="32"/>
          <w:szCs w:val="32"/>
          <w:shd w:val="clear" w:color="auto" w:fill="FFFFFF"/>
          <w:lang w:val="en-US" w:eastAsia="zh-CN" w:bidi="ar"/>
        </w:rPr>
        <w:t>，2018年、2019年区级科技计划项目经费拨付等1090万元。</w:t>
      </w:r>
      <w:r>
        <w:rPr>
          <w:rFonts w:hint="eastAsia" w:ascii="仿宋" w:hAnsi="仿宋" w:eastAsia="仿宋" w:cs="仿宋"/>
          <w:color w:val="000000"/>
          <w:kern w:val="2"/>
          <w:sz w:val="32"/>
          <w:szCs w:val="32"/>
          <w:shd w:val="clear" w:color="auto" w:fill="auto"/>
          <w:lang w:val="en-US" w:eastAsia="zh-CN" w:bidi="ar"/>
        </w:rPr>
        <w:t>项目支出预决</w:t>
      </w:r>
      <w:r>
        <w:rPr>
          <w:rFonts w:hint="eastAsia" w:ascii="仿宋" w:hAnsi="仿宋" w:eastAsia="仿宋" w:cs="仿宋"/>
          <w:color w:val="000000"/>
          <w:kern w:val="2"/>
          <w:sz w:val="32"/>
          <w:szCs w:val="32"/>
          <w:highlight w:val="none"/>
          <w:shd w:val="clear" w:color="auto" w:fill="auto"/>
          <w:lang w:val="en-US" w:eastAsia="zh-CN" w:bidi="ar"/>
        </w:rPr>
        <w:t>算对比情况及情况差异原因详见下表：</w:t>
      </w:r>
    </w:p>
    <w:tbl>
      <w:tblPr>
        <w:tblStyle w:val="9"/>
        <w:tblW w:w="8355" w:type="dxa"/>
        <w:tblInd w:w="0" w:type="dxa"/>
        <w:shd w:val="clear" w:color="auto" w:fill="auto"/>
        <w:tblLayout w:type="autofit"/>
        <w:tblCellMar>
          <w:top w:w="0" w:type="dxa"/>
          <w:left w:w="0" w:type="dxa"/>
          <w:bottom w:w="0" w:type="dxa"/>
          <w:right w:w="0" w:type="dxa"/>
        </w:tblCellMar>
      </w:tblPr>
      <w:tblGrid>
        <w:gridCol w:w="900"/>
        <w:gridCol w:w="1350"/>
        <w:gridCol w:w="990"/>
        <w:gridCol w:w="855"/>
        <w:gridCol w:w="885"/>
        <w:gridCol w:w="3375"/>
      </w:tblGrid>
      <w:tr>
        <w:tblPrEx>
          <w:shd w:val="clear" w:color="auto" w:fill="auto"/>
          <w:tblCellMar>
            <w:top w:w="0" w:type="dxa"/>
            <w:left w:w="0" w:type="dxa"/>
            <w:bottom w:w="0" w:type="dxa"/>
            <w:right w:w="0" w:type="dxa"/>
          </w:tblCellMar>
        </w:tblPrEx>
        <w:trPr>
          <w:trHeight w:val="56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  编号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支出调整预算数</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差额</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差异原因</w:t>
            </w:r>
          </w:p>
        </w:tc>
      </w:tr>
      <w:tr>
        <w:tblPrEx>
          <w:shd w:val="clear" w:color="auto" w:fill="auto"/>
          <w:tblCellMar>
            <w:top w:w="0" w:type="dxa"/>
            <w:left w:w="0" w:type="dxa"/>
            <w:bottom w:w="0" w:type="dxa"/>
            <w:right w:w="0" w:type="dxa"/>
          </w:tblCellMar>
        </w:tblPrEx>
        <w:trPr>
          <w:trHeight w:val="5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2060102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一般行政管理事务</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2060199</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其他科学技术管理事务支出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2060203</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自然科学基金</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因资金问题将于2021年支付。</w:t>
            </w:r>
          </w:p>
        </w:tc>
      </w:tr>
      <w:tr>
        <w:tblPrEx>
          <w:shd w:val="clear" w:color="auto" w:fill="auto"/>
          <w:tblCellMar>
            <w:top w:w="0" w:type="dxa"/>
            <w:left w:w="0" w:type="dxa"/>
            <w:bottom w:w="0" w:type="dxa"/>
            <w:right w:w="0" w:type="dxa"/>
          </w:tblCellMar>
        </w:tblPrEx>
        <w:trPr>
          <w:trHeight w:val="5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2060204</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重点实验室及相关设施</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2060302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社会公益研究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2060303</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高技术研究</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资金于2020年12月底到位，拨付需走流程。</w:t>
            </w:r>
          </w:p>
        </w:tc>
      </w:tr>
      <w:tr>
        <w:tblPrEx>
          <w:shd w:val="clear" w:color="auto" w:fill="auto"/>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2060404</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科技成果转化与扩散</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930.66</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630.06</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300.6</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资金于2020年12月底到位，拨付需走流程。</w:t>
            </w:r>
          </w:p>
        </w:tc>
      </w:tr>
      <w:tr>
        <w:tblPrEx>
          <w:shd w:val="clear" w:color="auto" w:fill="auto"/>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2060499</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其他技术研究与开发支出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3040.31</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2739.32</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300.99 </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2018年后资助项目严格按政策将于2021年支付</w:t>
            </w:r>
          </w:p>
        </w:tc>
      </w:tr>
      <w:tr>
        <w:tblPrEx>
          <w:shd w:val="clear" w:color="auto" w:fill="auto"/>
          <w:tblCellMar>
            <w:top w:w="0" w:type="dxa"/>
            <w:left w:w="0" w:type="dxa"/>
            <w:bottom w:w="0" w:type="dxa"/>
            <w:right w:w="0" w:type="dxa"/>
          </w:tblCellMar>
        </w:tblPrEx>
        <w:trPr>
          <w:trHeight w:val="5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2060503</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科技条件专项</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8.63</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7.19</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企业未办理拨付相关手续。</w:t>
            </w:r>
          </w:p>
        </w:tc>
      </w:tr>
      <w:tr>
        <w:tblPrEx>
          <w:shd w:val="clear" w:color="auto" w:fill="auto"/>
          <w:tblCellMar>
            <w:top w:w="0" w:type="dxa"/>
            <w:left w:w="0" w:type="dxa"/>
            <w:bottom w:w="0" w:type="dxa"/>
            <w:right w:w="0" w:type="dxa"/>
          </w:tblCellMar>
        </w:tblPrEx>
        <w:trPr>
          <w:trHeight w:val="6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2060599</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其他科技条件与服务支出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资金于2020年12月底到位，拨付需走流程。</w:t>
            </w:r>
          </w:p>
        </w:tc>
      </w:tr>
      <w:tr>
        <w:tblPrEx>
          <w:shd w:val="clear" w:color="auto" w:fill="auto"/>
          <w:tblCellMar>
            <w:top w:w="0" w:type="dxa"/>
            <w:left w:w="0" w:type="dxa"/>
            <w:bottom w:w="0" w:type="dxa"/>
            <w:right w:w="0" w:type="dxa"/>
          </w:tblCellMar>
        </w:tblPrEx>
        <w:trPr>
          <w:trHeight w:val="56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2060702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科普活动</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21.25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21.25</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资金于2020年12月底到位，拨付需走流程。</w:t>
            </w:r>
          </w:p>
        </w:tc>
      </w:tr>
      <w:tr>
        <w:tblPrEx>
          <w:shd w:val="clear" w:color="auto" w:fill="auto"/>
          <w:tblCellMar>
            <w:top w:w="0" w:type="dxa"/>
            <w:left w:w="0" w:type="dxa"/>
            <w:bottom w:w="0" w:type="dxa"/>
            <w:right w:w="0" w:type="dxa"/>
          </w:tblCellMar>
        </w:tblPrEx>
        <w:trPr>
          <w:trHeight w:val="5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2060901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科技重大专项</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2060902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重点研发计划</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0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2069901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科技奖励</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资金于2020年12月底到位，拨付需走流程。</w:t>
            </w:r>
          </w:p>
        </w:tc>
      </w:tr>
      <w:tr>
        <w:tblPrEx>
          <w:tblCellMar>
            <w:top w:w="0" w:type="dxa"/>
            <w:left w:w="0" w:type="dxa"/>
            <w:bottom w:w="0" w:type="dxa"/>
            <w:right w:w="0" w:type="dxa"/>
          </w:tblCellMar>
        </w:tblPrEx>
        <w:trPr>
          <w:trHeight w:val="688"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2069999</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其他科学技术支出</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4993.95</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4143.95</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因资金问题将于2021年支付。</w:t>
            </w:r>
          </w:p>
        </w:tc>
      </w:tr>
      <w:tr>
        <w:tblPrEx>
          <w:tblCellMar>
            <w:top w:w="0" w:type="dxa"/>
            <w:left w:w="0" w:type="dxa"/>
            <w:bottom w:w="0" w:type="dxa"/>
            <w:right w:w="0" w:type="dxa"/>
          </w:tblCellMar>
        </w:tblPrEx>
        <w:trPr>
          <w:trHeight w:val="798"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2089901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其他社会保障和就业支出</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5"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10205.8</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8545.77</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1660.03</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cs="宋体"/>
                <w:i w:val="0"/>
                <w:color w:val="000000"/>
                <w:sz w:val="22"/>
                <w:szCs w:val="22"/>
                <w:u w:val="none"/>
                <w:lang w:eastAsia="zh-CN"/>
              </w:rPr>
              <w:t>上年结余</w:t>
            </w:r>
            <w:r>
              <w:rPr>
                <w:rFonts w:hint="eastAsia" w:ascii="宋体" w:hAnsi="宋体" w:cs="宋体"/>
                <w:i w:val="0"/>
                <w:color w:val="000000"/>
                <w:sz w:val="22"/>
                <w:szCs w:val="22"/>
                <w:u w:val="none"/>
                <w:lang w:val="en-US" w:eastAsia="zh-CN"/>
              </w:rPr>
              <w:t>8665.30万元，预算数1540.50万元，决算数8545.77万元，结余省市区级1660.03万元。</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hAnsi="仿宋_GB2312" w:eastAsia="仿宋_GB2312" w:cs="仿宋_GB2312"/>
          <w:bCs/>
          <w:color w:val="auto"/>
          <w:sz w:val="28"/>
          <w:szCs w:val="28"/>
          <w:lang w:val="zh-CN" w:eastAsia="zh-CN"/>
        </w:rPr>
      </w:pPr>
      <w:r>
        <w:rPr>
          <w:rFonts w:hint="eastAsia" w:ascii="仿宋" w:hAnsi="仿宋" w:eastAsia="仿宋" w:cs="仿宋"/>
          <w:b/>
          <w:bCs/>
          <w:sz w:val="32"/>
          <w:szCs w:val="32"/>
        </w:rPr>
        <w:t>3</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项目资金管理情况分析，主要包括管理制度、办法的制订及执行情况。</w:t>
      </w:r>
      <w:r>
        <w:rPr>
          <w:rFonts w:hint="eastAsia" w:ascii="仿宋" w:hAnsi="仿宋" w:eastAsia="仿宋" w:cs="仿宋"/>
          <w:bCs/>
          <w:color w:val="auto"/>
          <w:sz w:val="32"/>
          <w:szCs w:val="32"/>
          <w:lang w:val="en-US" w:eastAsia="zh-CN"/>
        </w:rPr>
        <w:t>局机关本着厉行节约的原则，始终坚持科学战略谋划，落实奖补政策，优化发展环境，走访重点科技企业，落实项目资金管理办法。</w:t>
      </w:r>
      <w:r>
        <w:rPr>
          <w:rFonts w:hint="eastAsia" w:ascii="仿宋" w:hAnsi="仿宋" w:eastAsia="仿宋" w:cs="仿宋"/>
          <w:bCs/>
          <w:color w:val="auto"/>
          <w:sz w:val="32"/>
          <w:szCs w:val="32"/>
          <w:lang w:val="zh-CN" w:eastAsia="zh-CN"/>
        </w:rPr>
        <w:t>一</w:t>
      </w:r>
      <w:r>
        <w:rPr>
          <w:rFonts w:hint="eastAsia" w:ascii="仿宋" w:hAnsi="仿宋" w:eastAsia="仿宋" w:cs="仿宋"/>
          <w:b/>
          <w:bCs/>
          <w:sz w:val="32"/>
          <w:szCs w:val="32"/>
          <w:lang w:val="zh-CN"/>
        </w:rPr>
        <w:t>是切实加强组织领导，实行项目管理行政领导责任制。</w:t>
      </w:r>
      <w:r>
        <w:rPr>
          <w:rFonts w:hint="eastAsia" w:ascii="仿宋" w:hAnsi="仿宋" w:eastAsia="仿宋" w:cs="仿宋"/>
          <w:bCs/>
          <w:color w:val="auto"/>
          <w:sz w:val="32"/>
          <w:szCs w:val="32"/>
          <w:lang w:val="en-US" w:eastAsia="zh-CN"/>
        </w:rPr>
        <w:t>局机关财务制度健全、会计核算规范、项目资金管理严格，资金拨付有完整的审批程序和手续，重大开支党组会集体研究，资金使用无截留、挤占、挪用、虚列支出等情况，同时</w:t>
      </w:r>
      <w:r>
        <w:rPr>
          <w:rFonts w:hint="eastAsia" w:ascii="仿宋" w:hAnsi="仿宋" w:eastAsia="仿宋" w:cs="仿宋"/>
          <w:bCs/>
          <w:color w:val="auto"/>
          <w:sz w:val="32"/>
          <w:szCs w:val="32"/>
          <w:lang w:val="zh-CN" w:eastAsia="zh-CN"/>
        </w:rPr>
        <w:t>把项目资金的规范使用提高到反腐倡廉的高度加以认识。</w:t>
      </w:r>
      <w:r>
        <w:rPr>
          <w:rFonts w:hint="eastAsia" w:ascii="仿宋" w:hAnsi="仿宋" w:eastAsia="仿宋" w:cs="仿宋"/>
          <w:b/>
          <w:bCs/>
          <w:sz w:val="32"/>
          <w:szCs w:val="32"/>
          <w:lang w:val="zh-CN"/>
        </w:rPr>
        <w:t>二是建立健全各项制度，科学管理项目资金。</w:t>
      </w:r>
      <w:r>
        <w:rPr>
          <w:rFonts w:hint="eastAsia" w:ascii="仿宋" w:hAnsi="仿宋" w:eastAsia="仿宋" w:cs="仿宋"/>
          <w:bCs/>
          <w:color w:val="auto"/>
          <w:sz w:val="32"/>
          <w:szCs w:val="32"/>
          <w:lang w:val="en-US" w:eastAsia="zh-CN"/>
        </w:rPr>
        <w:t>根据《长沙市科技计划项目管理办法》（长政办发〔2016〕46号）、《长沙市科技发展专项资金管理办法》（长政办发〔2016〕47号）等有关规定，制定《长沙市雨花区科技计划项目及科技发展专项资金管理办法》（雨政办发[2017]84号）。遵循权责明确、科学公正、公开透明、绩效导向、宽容失败的原则，严格按照办法进行区科技计划项目的申报、受理、评审、立项、实施管理、验收、终止、绩效评价、资金管理等工作，采取前资助、事后补助（包括事前立项事后补助、事后立项事后补助）等资金支持方式，并根据支持方式的不同进行分类管理。落实《雨花区促进区域产业发展扶植奖励办法》等奖补政策，进一步严格项目资金管理，加大企业扶植力度，对辖区内符合条件的科技企业和科技项目予以奖励。</w:t>
      </w:r>
      <w:r>
        <w:rPr>
          <w:rFonts w:hint="eastAsia" w:ascii="仿宋" w:hAnsi="仿宋" w:eastAsia="仿宋" w:cs="仿宋"/>
          <w:b/>
          <w:bCs/>
          <w:sz w:val="32"/>
          <w:szCs w:val="32"/>
          <w:lang w:val="zh-CN"/>
        </w:rPr>
        <w:t>三</w:t>
      </w:r>
      <w:r>
        <w:rPr>
          <w:rFonts w:hint="eastAsia" w:ascii="仿宋" w:hAnsi="仿宋" w:eastAsia="仿宋" w:cs="仿宋"/>
          <w:b/>
          <w:bCs w:val="0"/>
          <w:color w:val="auto"/>
          <w:sz w:val="32"/>
          <w:szCs w:val="32"/>
          <w:lang w:val="zh-CN"/>
        </w:rPr>
        <w:t>是开展监督检查，确保项目建设进度和质量。</w:t>
      </w:r>
      <w:r>
        <w:rPr>
          <w:rFonts w:hint="eastAsia" w:ascii="仿宋" w:hAnsi="仿宋" w:eastAsia="仿宋" w:cs="仿宋"/>
          <w:bCs/>
          <w:color w:val="auto"/>
          <w:sz w:val="32"/>
          <w:szCs w:val="32"/>
          <w:lang w:val="en-US" w:eastAsia="zh-CN"/>
        </w:rPr>
        <w:t>《长沙市雨花区科技计划项目及科技发展专项资金管理办法》（雨政办发[2017]84号）等</w:t>
      </w:r>
      <w:r>
        <w:rPr>
          <w:rFonts w:hint="eastAsia" w:ascii="仿宋" w:hAnsi="仿宋" w:eastAsia="仿宋" w:cs="仿宋"/>
          <w:bCs/>
          <w:color w:val="auto"/>
          <w:sz w:val="32"/>
          <w:szCs w:val="32"/>
          <w:lang w:val="zh-CN" w:eastAsia="zh-CN"/>
        </w:rPr>
        <w:t>制度较为全面规范项目前期申报、项目实施要求、项目日常监督和项目验收等程序，使得项目过程中能得到有效的监督。同时项目的日常检查监督管理配备专人，建立监督机制，推进科研诚信制度建设，形成相应的检查监督材料，对项目的进度及时跟进采取了对应的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color w:val="auto"/>
          <w:sz w:val="32"/>
          <w:szCs w:val="32"/>
          <w:lang w:eastAsia="zh-CN"/>
        </w:rPr>
      </w:pPr>
      <w:r>
        <w:rPr>
          <w:rFonts w:hint="eastAsia" w:ascii="仿宋" w:hAnsi="仿宋" w:eastAsia="仿宋" w:cs="仿宋"/>
          <w:b/>
          <w:bCs w:val="0"/>
          <w:color w:val="auto"/>
          <w:sz w:val="32"/>
          <w:szCs w:val="32"/>
          <w:lang w:eastAsia="zh-CN"/>
        </w:rPr>
        <w:t>三、部门整体支出绩效情况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Cs/>
          <w:color w:val="auto"/>
          <w:sz w:val="32"/>
          <w:szCs w:val="32"/>
          <w:lang w:val="zh-CN" w:eastAsia="zh-CN"/>
        </w:rPr>
      </w:pPr>
      <w:r>
        <w:rPr>
          <w:rFonts w:hint="eastAsia" w:ascii="仿宋" w:hAnsi="仿宋" w:eastAsia="仿宋" w:cs="仿宋"/>
          <w:bCs/>
          <w:color w:val="auto"/>
          <w:sz w:val="32"/>
          <w:szCs w:val="32"/>
          <w:lang w:val="zh-CN" w:eastAsia="zh-CN"/>
        </w:rPr>
        <w:t>围绕部门职责、发展规划，以预算资金管理为主线，总结归纳本部门绩效目标完成情况</w:t>
      </w:r>
      <w:r>
        <w:rPr>
          <w:rFonts w:hint="eastAsia" w:ascii="仿宋" w:hAnsi="仿宋" w:eastAsia="仿宋" w:cs="仿宋"/>
          <w:bCs/>
          <w:color w:val="auto"/>
          <w:sz w:val="32"/>
          <w:szCs w:val="32"/>
          <w:lang w:val="en-US" w:eastAsia="zh-CN"/>
        </w:rPr>
        <w:t>,</w:t>
      </w:r>
      <w:r>
        <w:rPr>
          <w:rFonts w:hint="eastAsia" w:ascii="仿宋" w:hAnsi="仿宋" w:eastAsia="仿宋" w:cs="仿宋"/>
          <w:bCs/>
          <w:color w:val="auto"/>
          <w:sz w:val="32"/>
          <w:szCs w:val="32"/>
          <w:lang w:val="zh-CN" w:eastAsia="zh-CN"/>
        </w:rPr>
        <w:t>总结部门资产管理和开展业务情况，从运行成本、管理效率、社会效应、可持续发展能力和服务对象满意度等方面，衡量部门整体及核心业务实施效果。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（一）培育创新主体，激发创新发展新活力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Cs/>
          <w:color w:val="auto"/>
          <w:sz w:val="32"/>
          <w:szCs w:val="32"/>
          <w:lang w:val="zh-CN" w:eastAsia="zh-CN"/>
        </w:rPr>
      </w:pPr>
      <w:r>
        <w:rPr>
          <w:rFonts w:hint="eastAsia" w:ascii="仿宋" w:hAnsi="仿宋" w:eastAsia="仿宋" w:cs="仿宋"/>
          <w:b/>
          <w:bCs w:val="0"/>
          <w:color w:val="auto"/>
          <w:sz w:val="32"/>
          <w:szCs w:val="32"/>
          <w:lang w:val="en-US" w:eastAsia="zh-CN"/>
        </w:rPr>
        <w:t>1.</w:t>
      </w:r>
      <w:r>
        <w:rPr>
          <w:rFonts w:hint="eastAsia" w:ascii="仿宋" w:hAnsi="仿宋" w:eastAsia="仿宋" w:cs="仿宋"/>
          <w:b/>
          <w:bCs w:val="0"/>
          <w:color w:val="auto"/>
          <w:sz w:val="32"/>
          <w:szCs w:val="32"/>
          <w:lang w:eastAsia="zh-CN"/>
        </w:rPr>
        <w:t>全社会R&amp;D</w:t>
      </w:r>
      <w:r>
        <w:rPr>
          <w:rFonts w:hint="eastAsia" w:ascii="仿宋" w:hAnsi="仿宋" w:eastAsia="仿宋" w:cs="仿宋"/>
          <w:b/>
          <w:bCs w:val="0"/>
          <w:color w:val="auto"/>
          <w:sz w:val="32"/>
          <w:szCs w:val="32"/>
          <w:lang w:val="en-US" w:eastAsia="zh-CN"/>
        </w:rPr>
        <w:t>经费</w:t>
      </w:r>
      <w:r>
        <w:rPr>
          <w:rFonts w:hint="eastAsia" w:ascii="仿宋" w:hAnsi="仿宋" w:eastAsia="仿宋" w:cs="仿宋"/>
          <w:b/>
          <w:bCs w:val="0"/>
          <w:color w:val="auto"/>
          <w:sz w:val="32"/>
          <w:szCs w:val="32"/>
          <w:lang w:eastAsia="zh-CN"/>
        </w:rPr>
        <w:t>投入</w:t>
      </w:r>
      <w:r>
        <w:rPr>
          <w:rFonts w:hint="eastAsia" w:ascii="仿宋" w:hAnsi="仿宋" w:eastAsia="仿宋" w:cs="仿宋"/>
          <w:b/>
          <w:bCs w:val="0"/>
          <w:color w:val="auto"/>
          <w:sz w:val="32"/>
          <w:szCs w:val="32"/>
          <w:lang w:val="en-US" w:eastAsia="zh-CN"/>
        </w:rPr>
        <w:t>不断加大</w:t>
      </w:r>
      <w:r>
        <w:rPr>
          <w:rFonts w:hint="eastAsia" w:ascii="仿宋" w:hAnsi="仿宋" w:eastAsia="仿宋" w:cs="仿宋"/>
          <w:b/>
          <w:bCs w:val="0"/>
          <w:color w:val="auto"/>
          <w:sz w:val="32"/>
          <w:szCs w:val="32"/>
          <w:lang w:eastAsia="zh-CN"/>
        </w:rPr>
        <w:t>。</w:t>
      </w:r>
      <w:r>
        <w:rPr>
          <w:rFonts w:hint="eastAsia" w:ascii="仿宋" w:hAnsi="仿宋" w:eastAsia="仿宋" w:cs="仿宋"/>
          <w:bCs/>
          <w:color w:val="auto"/>
          <w:sz w:val="32"/>
          <w:szCs w:val="32"/>
          <w:lang w:val="zh-CN" w:eastAsia="zh-CN"/>
        </w:rPr>
        <w:t>开展了重点企业走访调研，加强了与上级科技部门的协调对接。组织街镇科技专干、统计专干开展全社会R&amp;D经费投入工作和企业R&amp;D归集填报统计人员业务培训，培训人次达480余人次。2019年度“四上”企业R&amp;D经费投入33.62亿元，同比增长33.41%，全社会R&amp;D经费投入39.33亿元，同比增长31.85%，预计增长贡献绝对值在内城区排名第一。2020年全年雨花区规上工业企业研发经费完成6.94亿元，目前全年任务完成率达170.94%。</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
          <w:bCs w:val="0"/>
          <w:color w:val="auto"/>
          <w:sz w:val="32"/>
          <w:szCs w:val="32"/>
          <w:lang w:val="en-US" w:eastAsia="zh-CN"/>
        </w:rPr>
        <w:t>2.“升高”步伐不断加快。</w:t>
      </w:r>
      <w:r>
        <w:rPr>
          <w:rFonts w:hint="eastAsia" w:ascii="仿宋" w:hAnsi="仿宋" w:eastAsia="仿宋" w:cs="仿宋"/>
          <w:bCs/>
          <w:color w:val="auto"/>
          <w:sz w:val="32"/>
          <w:szCs w:val="32"/>
          <w:lang w:val="zh-CN" w:eastAsia="zh-CN"/>
        </w:rPr>
        <w:t>面对考核基数大、绿心退出等多方面的困难，加强了与上级科技部门、绩效办的协调对接，组织了街道分管领导、科技专干召开绩效考核工作调度会。同时加强了对街道及企业业务指导，组织企业参加了市局组织的长沙市经理培训班。高质量完成高企申报工作，实现了高基数上的高增长。我区今年高企认定目标任务83家，全年高企分两批共认定17</w:t>
      </w: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lang w:val="zh-CN" w:eastAsia="zh-CN"/>
        </w:rPr>
        <w:t>家，有效高企数</w:t>
      </w:r>
      <w:r>
        <w:rPr>
          <w:rFonts w:hint="eastAsia" w:ascii="仿宋" w:hAnsi="仿宋" w:eastAsia="仿宋" w:cs="仿宋"/>
          <w:bCs/>
          <w:color w:val="auto"/>
          <w:sz w:val="32"/>
          <w:szCs w:val="32"/>
          <w:highlight w:val="none"/>
          <w:lang w:val="en-US" w:eastAsia="zh-CN"/>
        </w:rPr>
        <w:t>391</w:t>
      </w:r>
      <w:r>
        <w:rPr>
          <w:rFonts w:hint="eastAsia" w:ascii="仿宋" w:hAnsi="仿宋" w:eastAsia="仿宋" w:cs="仿宋"/>
          <w:bCs/>
          <w:color w:val="auto"/>
          <w:sz w:val="32"/>
          <w:szCs w:val="32"/>
          <w:lang w:val="zh-CN" w:eastAsia="zh-CN"/>
        </w:rPr>
        <w:t>家，已超额完成市考既定目标值，认定数和总数计居内五区第一</w:t>
      </w:r>
      <w:r>
        <w:rPr>
          <w:rFonts w:hint="eastAsia" w:ascii="仿宋" w:hAnsi="仿宋" w:eastAsia="仿宋" w:cs="仿宋"/>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
          <w:bCs w:val="0"/>
          <w:color w:val="auto"/>
          <w:sz w:val="32"/>
          <w:szCs w:val="32"/>
          <w:lang w:val="en-US" w:eastAsia="zh-CN"/>
        </w:rPr>
        <w:t>3.科技计划项目有序推进。</w:t>
      </w:r>
      <w:r>
        <w:rPr>
          <w:rFonts w:hint="eastAsia" w:ascii="仿宋" w:hAnsi="仿宋" w:eastAsia="仿宋" w:cs="仿宋"/>
          <w:bCs/>
          <w:color w:val="auto"/>
          <w:sz w:val="32"/>
          <w:szCs w:val="32"/>
          <w:lang w:val="zh-CN" w:eastAsia="zh-CN"/>
        </w:rPr>
        <w:t>通过升级科技计划管理系统、深化科技项目资金管理改革等方式，推动区级科技计划项目实施，认真做好区级科技计划项目评审立项工作。2020年雨花区科技项目申报62家，通过初审、专家评审和区直部门联审等严格程序，44个项目成功立项。完成了2020年省、市科技项目的走访推荐工作，共走访推荐51家长沙市科技项目、2个重大专项、5家众创空间、10家企业申报湖南省“科技助力经济2020”重点专项等项目</w:t>
      </w:r>
      <w:r>
        <w:rPr>
          <w:rFonts w:hint="eastAsia" w:ascii="仿宋" w:hAnsi="仿宋" w:eastAsia="仿宋" w:cs="仿宋"/>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（二）转化创新成果，释放创新驱动新效能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
          <w:bCs w:val="0"/>
          <w:color w:val="auto"/>
          <w:sz w:val="32"/>
          <w:szCs w:val="32"/>
          <w:lang w:val="en-US" w:eastAsia="zh-CN"/>
        </w:rPr>
        <w:t>1.科技成果不断转化。</w:t>
      </w:r>
      <w:r>
        <w:rPr>
          <w:rFonts w:hint="eastAsia" w:ascii="仿宋" w:hAnsi="仿宋" w:eastAsia="仿宋" w:cs="仿宋"/>
          <w:bCs/>
          <w:color w:val="auto"/>
          <w:sz w:val="32"/>
          <w:szCs w:val="32"/>
          <w:lang w:val="zh-CN" w:eastAsia="zh-CN"/>
        </w:rPr>
        <w:t>在中机国际工程设计研究院有限责任公司设立了全省首家区、县一级技术合同认定登记点。该登记点的成立创新了湖南省技术合同认定登记管理的新模式，是省市科技部门优化营商环境的重要举措，极大方便河东地区企业技术合同认定登记。我区今年技术贸易合同登记额目标值为50亿元，截至12月底我区已完成技术贸易合同成交额6</w:t>
      </w:r>
      <w:r>
        <w:rPr>
          <w:rFonts w:hint="eastAsia" w:ascii="仿宋" w:hAnsi="仿宋" w:eastAsia="仿宋" w:cs="仿宋"/>
          <w:bCs/>
          <w:color w:val="auto"/>
          <w:sz w:val="32"/>
          <w:szCs w:val="32"/>
          <w:lang w:val="en-US" w:eastAsia="zh-CN"/>
        </w:rPr>
        <w:t>2.37</w:t>
      </w:r>
      <w:r>
        <w:rPr>
          <w:rFonts w:hint="eastAsia" w:ascii="仿宋" w:hAnsi="仿宋" w:eastAsia="仿宋" w:cs="仿宋"/>
          <w:bCs/>
          <w:color w:val="auto"/>
          <w:sz w:val="32"/>
          <w:szCs w:val="32"/>
          <w:lang w:val="zh-CN" w:eastAsia="zh-CN"/>
        </w:rPr>
        <w:t>亿元，已超额完成满分目标值，居内五区第一</w:t>
      </w:r>
      <w:r>
        <w:rPr>
          <w:rFonts w:hint="eastAsia" w:ascii="仿宋" w:hAnsi="仿宋" w:eastAsia="仿宋" w:cs="仿宋"/>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
          <w:bCs w:val="0"/>
          <w:color w:val="auto"/>
          <w:sz w:val="32"/>
          <w:szCs w:val="32"/>
          <w:lang w:val="en-US" w:eastAsia="zh-CN"/>
        </w:rPr>
        <w:t>2.载体建设不断加强。</w:t>
      </w:r>
      <w:r>
        <w:rPr>
          <w:rFonts w:hint="eastAsia" w:ascii="仿宋" w:hAnsi="仿宋" w:eastAsia="仿宋" w:cs="仿宋"/>
          <w:bCs/>
          <w:color w:val="auto"/>
          <w:sz w:val="32"/>
          <w:szCs w:val="32"/>
          <w:lang w:val="zh-CN" w:eastAsia="zh-CN"/>
        </w:rPr>
        <w:t>围绕重点产业和领域聚集创新要素，建设</w:t>
      </w:r>
      <w:r>
        <w:rPr>
          <w:rFonts w:hint="eastAsia" w:ascii="仿宋" w:hAnsi="仿宋" w:eastAsia="仿宋" w:cs="仿宋"/>
          <w:bCs/>
          <w:color w:val="auto"/>
          <w:sz w:val="32"/>
          <w:szCs w:val="32"/>
          <w:lang w:val="en-US" w:eastAsia="zh-CN"/>
        </w:rPr>
        <w:t>了</w:t>
      </w:r>
      <w:r>
        <w:rPr>
          <w:rFonts w:hint="eastAsia" w:ascii="仿宋" w:hAnsi="仿宋" w:eastAsia="仿宋" w:cs="仿宋"/>
          <w:bCs/>
          <w:color w:val="auto"/>
          <w:sz w:val="32"/>
          <w:szCs w:val="32"/>
          <w:lang w:val="zh-CN" w:eastAsia="zh-CN"/>
        </w:rPr>
        <w:t>一批重点实验室、工程技术研究中心等创新平台。</w:t>
      </w:r>
      <w:r>
        <w:rPr>
          <w:rFonts w:hint="eastAsia" w:ascii="仿宋" w:hAnsi="仿宋" w:eastAsia="仿宋" w:cs="仿宋"/>
          <w:bCs/>
          <w:color w:val="auto"/>
          <w:sz w:val="32"/>
          <w:szCs w:val="32"/>
          <w:lang w:val="en-US" w:eastAsia="zh-CN"/>
        </w:rPr>
        <w:t>培育引进了阿里云创业孵化基地、文化产业示范基地等一批国家、省市科技创新平台。着眼高技术服务业发展，以中国(雨花)创新设计战略联盟为载体，重点发展工程设计、工业设计、文创设计等设计服务产业，构建“一核、四区、多点”产业格局。同时，我区组织发动27家企业报名参加2020年湖南省第7届创新创业大赛，3个项目进入初赛，2个项目获得优胜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color w:val="auto"/>
          <w:sz w:val="32"/>
          <w:szCs w:val="32"/>
          <w:lang w:val="zh-CN" w:eastAsia="zh-CN"/>
        </w:rPr>
      </w:pPr>
      <w:r>
        <w:rPr>
          <w:rFonts w:hint="eastAsia" w:ascii="仿宋" w:hAnsi="仿宋" w:eastAsia="仿宋" w:cs="仿宋"/>
          <w:b/>
          <w:bCs w:val="0"/>
          <w:color w:val="auto"/>
          <w:sz w:val="32"/>
          <w:szCs w:val="32"/>
          <w:lang w:val="en-US" w:eastAsia="zh-CN"/>
        </w:rPr>
        <w:t>（三）优化创新服务，营造</w:t>
      </w:r>
      <w:r>
        <w:rPr>
          <w:rFonts w:hint="eastAsia" w:ascii="仿宋" w:hAnsi="仿宋" w:eastAsia="仿宋" w:cs="仿宋"/>
          <w:b/>
          <w:bCs w:val="0"/>
          <w:color w:val="auto"/>
          <w:sz w:val="32"/>
          <w:szCs w:val="32"/>
          <w:lang w:val="zh-CN" w:eastAsia="zh-CN"/>
        </w:rPr>
        <w:t>创新创业</w:t>
      </w:r>
      <w:r>
        <w:rPr>
          <w:rFonts w:hint="eastAsia" w:ascii="仿宋" w:hAnsi="仿宋" w:eastAsia="仿宋" w:cs="仿宋"/>
          <w:b/>
          <w:bCs w:val="0"/>
          <w:color w:val="auto"/>
          <w:sz w:val="32"/>
          <w:szCs w:val="32"/>
          <w:lang w:val="en-US" w:eastAsia="zh-CN"/>
        </w:rPr>
        <w:t>新</w:t>
      </w:r>
      <w:r>
        <w:rPr>
          <w:rFonts w:hint="eastAsia" w:ascii="仿宋" w:hAnsi="仿宋" w:eastAsia="仿宋" w:cs="仿宋"/>
          <w:b/>
          <w:bCs w:val="0"/>
          <w:color w:val="auto"/>
          <w:sz w:val="32"/>
          <w:szCs w:val="32"/>
          <w:lang w:val="zh-CN" w:eastAsia="zh-CN"/>
        </w:rPr>
        <w:t>生态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
          <w:bCs w:val="0"/>
          <w:color w:val="auto"/>
          <w:sz w:val="32"/>
          <w:szCs w:val="32"/>
          <w:lang w:val="en-US" w:eastAsia="zh-CN"/>
        </w:rPr>
        <w:t>1.科技服务民生。</w:t>
      </w:r>
      <w:r>
        <w:rPr>
          <w:rFonts w:hint="eastAsia" w:ascii="仿宋" w:hAnsi="仿宋" w:eastAsia="仿宋" w:cs="仿宋"/>
          <w:bCs/>
          <w:color w:val="auto"/>
          <w:sz w:val="32"/>
          <w:szCs w:val="32"/>
          <w:lang w:val="en-US" w:eastAsia="zh-CN"/>
        </w:rPr>
        <w:t>为充分发挥科技资源优势，深化农村科技知识普及，提高农业科技水平，进一步促进农业增产、农民增收，组织了农业专家服务团送农业“科技下乡”活动，指导农业企业、个体户10余家，并且认真组织了农业专家服务团项目验收工作，并且在省、市、区三级科技计划项目中，重点支持民生类科技项目申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
          <w:bCs w:val="0"/>
          <w:color w:val="auto"/>
          <w:sz w:val="32"/>
          <w:szCs w:val="32"/>
          <w:lang w:val="en-US" w:eastAsia="zh-CN"/>
        </w:rPr>
        <w:t>2.创新创业环境不断优化。</w:t>
      </w:r>
      <w:r>
        <w:rPr>
          <w:rFonts w:hint="eastAsia" w:ascii="仿宋" w:hAnsi="仿宋" w:eastAsia="仿宋" w:cs="仿宋"/>
          <w:bCs/>
          <w:color w:val="auto"/>
          <w:sz w:val="32"/>
          <w:szCs w:val="32"/>
          <w:lang w:val="en-US" w:eastAsia="zh-CN"/>
        </w:rPr>
        <w:t>全力配合做好全区营商环境测评工作，通过召开科技工作推进会、业务培训等方式，做好政策宣传和解读，为辖区内科技企业争取政策红利，提升企业自主创新积极性。按照区委第一巡察组提出的巡察整改反馈意见，提高了专家评审分值比重，优化了科技项目立项管理流程和评审论证环节，压缩申报立项时间，提升管理效率，营造公平、公正、公开的科技项目发展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
          <w:bCs w:val="0"/>
          <w:color w:val="auto"/>
          <w:sz w:val="32"/>
          <w:szCs w:val="32"/>
          <w:lang w:val="en-US" w:eastAsia="zh-CN"/>
        </w:rPr>
        <w:t>3.奖补落实力度不断加大。</w:t>
      </w:r>
      <w:r>
        <w:rPr>
          <w:rFonts w:hint="eastAsia" w:ascii="仿宋" w:hAnsi="仿宋" w:eastAsia="仿宋" w:cs="仿宋"/>
          <w:bCs/>
          <w:color w:val="auto"/>
          <w:sz w:val="32"/>
          <w:szCs w:val="32"/>
          <w:lang w:val="en-US" w:eastAsia="zh-CN"/>
        </w:rPr>
        <w:t>认真落实省市研发奖补政策，推荐2020年省级企业研发财政奖补企业96家，奖补经费 2375.67万元，2019年高新技术研发费补贴93家，奖补经费1267万元，落实了2019年17家科学小巨人研发经费奖补政策，推荐规模工业企业申报市级研发经费补贴14家。兑现2019年企业科技项目资金5641.68万元。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（四）助力科技战“疫”，彰显勇于担当新作为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自新冠肺炎疫情防控工作启动以来，区科技局按照疫情就是命令、防控就是职责的要求，坚决把疫情防控工作作为当前压倒一切的政治任务。</w:t>
      </w:r>
      <w:r>
        <w:rPr>
          <w:rFonts w:hint="eastAsia" w:ascii="仿宋" w:hAnsi="仿宋" w:eastAsia="仿宋" w:cs="仿宋"/>
          <w:b/>
          <w:bCs w:val="0"/>
          <w:color w:val="auto"/>
          <w:sz w:val="32"/>
          <w:szCs w:val="32"/>
          <w:lang w:val="en-US" w:eastAsia="zh-CN"/>
        </w:rPr>
        <w:t>一是强化组织领导，做到疫情防控“一盘棋”。</w:t>
      </w:r>
      <w:r>
        <w:rPr>
          <w:rFonts w:hint="eastAsia" w:ascii="仿宋" w:hAnsi="仿宋" w:eastAsia="仿宋" w:cs="仿宋"/>
          <w:bCs/>
          <w:color w:val="auto"/>
          <w:sz w:val="32"/>
          <w:szCs w:val="32"/>
          <w:lang w:val="en-US" w:eastAsia="zh-CN"/>
        </w:rPr>
        <w:t>区科技局第一时间响应区委、政府的统一安排部署，全局动员，迅速投入到疫情防控工作中。春节期间提前返岗安排工作人员至高速路口疫情防控点进行测温防控工作，遵从组织安排抽调一名办公室同志至疫情防控指挥部协助工作。</w:t>
      </w:r>
      <w:r>
        <w:rPr>
          <w:rFonts w:hint="eastAsia" w:ascii="仿宋" w:hAnsi="仿宋" w:eastAsia="仿宋" w:cs="仿宋"/>
          <w:b/>
          <w:bCs w:val="0"/>
          <w:color w:val="auto"/>
          <w:sz w:val="32"/>
          <w:szCs w:val="32"/>
          <w:lang w:val="en-US" w:eastAsia="zh-CN"/>
        </w:rPr>
        <w:t>二是筑牢基层防线，织密联防联控“一张网”。</w:t>
      </w:r>
      <w:r>
        <w:rPr>
          <w:rFonts w:hint="eastAsia" w:ascii="仿宋" w:hAnsi="仿宋" w:eastAsia="仿宋" w:cs="仿宋"/>
          <w:bCs/>
          <w:color w:val="auto"/>
          <w:sz w:val="32"/>
          <w:szCs w:val="32"/>
          <w:lang w:val="en-US" w:eastAsia="zh-CN"/>
        </w:rPr>
        <w:t>为配合所联点的同升街道辖区企业全力打好疫情防控阻击战和复工复产攻坚战，局班子成员分成4个派驻企业防疫联络小组深入街道辖区“四上”企业开展帮扶工作。把省市政策宣传到每家企业，确保不因疫情影响企业政策享受。同时，联点同升街道辖区内复工复产科技企业向区慈善会捐款捐物2万元，助力雨花疫情防控。</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坚持党建引领，展现科技服务新风貌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
          <w:bCs w:val="0"/>
          <w:color w:val="auto"/>
          <w:sz w:val="32"/>
          <w:szCs w:val="32"/>
          <w:lang w:val="en-US" w:eastAsia="zh-CN"/>
        </w:rPr>
        <w:t>一是以学习促党建</w:t>
      </w:r>
      <w:r>
        <w:rPr>
          <w:rFonts w:hint="eastAsia" w:ascii="仿宋" w:hAnsi="仿宋" w:eastAsia="仿宋" w:cs="仿宋"/>
          <w:bCs/>
          <w:color w:val="auto"/>
          <w:sz w:val="32"/>
          <w:szCs w:val="32"/>
          <w:lang w:val="en-US" w:eastAsia="zh-CN"/>
        </w:rPr>
        <w:t>。</w:t>
      </w:r>
      <w:r>
        <w:rPr>
          <w:rFonts w:hint="eastAsia" w:ascii="仿宋" w:hAnsi="仿宋" w:eastAsia="仿宋" w:cs="仿宋"/>
          <w:bCs/>
          <w:color w:val="auto"/>
          <w:sz w:val="32"/>
          <w:szCs w:val="32"/>
          <w:lang w:val="zh-CN" w:eastAsia="zh-CN"/>
        </w:rPr>
        <w:t>组织全体党员干部深入学习新党章、《中国共产党纪律处分条例》等党内法规制度，利用“两微一端”、学习强国等媒体平台，不断增强意识形态工作责任意识，全面加强网络舆情办理工作，加大对局政务网站、微信等网络舆情跟踪监督</w:t>
      </w:r>
      <w:r>
        <w:rPr>
          <w:rFonts w:hint="eastAsia" w:ascii="仿宋" w:hAnsi="仿宋" w:eastAsia="仿宋" w:cs="仿宋"/>
          <w:bCs/>
          <w:color w:val="auto"/>
          <w:sz w:val="32"/>
          <w:szCs w:val="32"/>
          <w:lang w:val="en-US" w:eastAsia="zh-CN"/>
        </w:rPr>
        <w:t>。</w:t>
      </w:r>
      <w:r>
        <w:rPr>
          <w:rFonts w:hint="eastAsia" w:ascii="仿宋" w:hAnsi="仿宋" w:eastAsia="仿宋" w:cs="仿宋"/>
          <w:b/>
          <w:bCs w:val="0"/>
          <w:color w:val="auto"/>
          <w:sz w:val="32"/>
          <w:szCs w:val="32"/>
          <w:lang w:val="en-US" w:eastAsia="zh-CN"/>
        </w:rPr>
        <w:t>二是以巡察促党建。</w:t>
      </w:r>
      <w:r>
        <w:rPr>
          <w:rFonts w:hint="eastAsia" w:ascii="仿宋" w:hAnsi="仿宋" w:eastAsia="仿宋" w:cs="仿宋"/>
          <w:bCs/>
          <w:color w:val="auto"/>
          <w:sz w:val="32"/>
          <w:szCs w:val="32"/>
          <w:lang w:val="zh-CN" w:eastAsia="zh-CN"/>
        </w:rPr>
        <w:t>针对巡察反馈党建问题，局党组完善了《党组议事规则》，对支部“三会一课”、组织生活会、民主评议党员、主题党日等党内组织生活制度进一步规范落实，促进了党建工作规范化制度化</w:t>
      </w:r>
      <w:r>
        <w:rPr>
          <w:rFonts w:hint="eastAsia" w:ascii="仿宋" w:hAnsi="仿宋" w:eastAsia="仿宋" w:cs="仿宋"/>
          <w:bCs/>
          <w:color w:val="auto"/>
          <w:sz w:val="32"/>
          <w:szCs w:val="32"/>
          <w:lang w:val="en-US" w:eastAsia="zh-CN"/>
        </w:rPr>
        <w:t>。</w:t>
      </w:r>
      <w:r>
        <w:rPr>
          <w:rFonts w:hint="eastAsia" w:ascii="仿宋" w:hAnsi="仿宋" w:eastAsia="仿宋" w:cs="仿宋"/>
          <w:b/>
          <w:bCs w:val="0"/>
          <w:color w:val="auto"/>
          <w:sz w:val="32"/>
          <w:szCs w:val="32"/>
          <w:lang w:val="en-US" w:eastAsia="zh-CN"/>
        </w:rPr>
        <w:t>三是以活动促党建。</w:t>
      </w:r>
      <w:r>
        <w:rPr>
          <w:rFonts w:hint="eastAsia" w:ascii="仿宋" w:hAnsi="仿宋" w:eastAsia="仿宋" w:cs="仿宋"/>
          <w:bCs/>
          <w:color w:val="auto"/>
          <w:sz w:val="32"/>
          <w:szCs w:val="32"/>
          <w:lang w:val="zh-CN" w:eastAsia="zh-CN"/>
        </w:rPr>
        <w:t>先后开展了“寻初心、守初心、践初心”、“中华优秀传统文化的传承与创新”等主题党日活动，开展了“弘扬中国传统文化·领悟初心使命”宣讲活动，组织观看《半条棉被》等多场爱国影片，以党员先锋模范作用，带动干部职工干事积极性</w:t>
      </w:r>
      <w:r>
        <w:rPr>
          <w:rFonts w:hint="eastAsia" w:ascii="仿宋" w:hAnsi="仿宋" w:eastAsia="仿宋" w:cs="仿宋"/>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四、存在的问题及原因分析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2020年度局机关各项工作有序开展，但仍存在以下问题：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
          <w:bCs w:val="0"/>
          <w:color w:val="auto"/>
          <w:sz w:val="32"/>
          <w:szCs w:val="32"/>
          <w:lang w:val="en-US" w:eastAsia="zh-CN"/>
        </w:rPr>
        <w:t>1.部分专项资金拨付不及时。</w:t>
      </w:r>
      <w:r>
        <w:rPr>
          <w:rFonts w:hint="eastAsia" w:ascii="仿宋" w:hAnsi="仿宋" w:eastAsia="仿宋" w:cs="仿宋"/>
          <w:bCs/>
          <w:color w:val="auto"/>
          <w:sz w:val="32"/>
          <w:szCs w:val="32"/>
          <w:lang w:val="en-US" w:eastAsia="zh-CN"/>
        </w:rPr>
        <w:t>按照专项资金拨付管理办法规定，专项资金实行国库集中支付，要求专款专用、专项核账。一是2020年部分上级科技资金年底才到账，企业需要递交财政拨款收款收据和财政专项资金拨付审批表，由区科技局和区财政局出具意见后方能拨付资金，以致后续专项资金拨付不及时。二是区级科技计划项目立项进度有待加快进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598" w:leftChars="0" w:right="0" w:rightChars="0"/>
        <w:textAlignment w:val="auto"/>
        <w:rPr>
          <w:rFonts w:ascii="楷体_GB2312" w:eastAsia="楷体_GB2312"/>
          <w:b/>
          <w:w w:val="95"/>
          <w:sz w:val="32"/>
        </w:rPr>
      </w:pPr>
      <w:r>
        <w:rPr>
          <w:rFonts w:hint="eastAsia" w:ascii="仿宋" w:hAnsi="仿宋" w:eastAsia="仿宋" w:cs="仿宋"/>
          <w:b/>
          <w:bCs w:val="0"/>
          <w:color w:val="auto"/>
          <w:sz w:val="32"/>
          <w:szCs w:val="32"/>
          <w:lang w:val="en-US" w:eastAsia="zh-CN"/>
        </w:rPr>
        <w:t>2.</w:t>
      </w:r>
      <w:r>
        <w:rPr>
          <w:rFonts w:hint="eastAsia" w:ascii="楷体_GB2312" w:eastAsia="楷体_GB2312"/>
          <w:b/>
          <w:w w:val="95"/>
          <w:sz w:val="32"/>
        </w:rPr>
        <w:t>存在项目合同中所设置的效益目标不合理的情况。</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08" w:firstLineChars="200"/>
        <w:textAlignment w:val="auto"/>
        <w:rPr>
          <w:rFonts w:eastAsia="仿宋_GB2312"/>
          <w:sz w:val="32"/>
        </w:rPr>
      </w:pPr>
      <w:r>
        <w:rPr>
          <w:rFonts w:eastAsia="仿宋_GB2312"/>
          <w:w w:val="95"/>
          <w:sz w:val="32"/>
        </w:rPr>
        <w:t>个</w:t>
      </w:r>
      <w:r>
        <w:rPr>
          <w:rFonts w:eastAsia="仿宋_GB2312"/>
          <w:sz w:val="32"/>
        </w:rPr>
        <w:t>别单位按照自身公司整体情况，非项目情况进行申报经济、社会等效益和成果，造成实际产生的效益和成果严重脱离项目实际情况，绩效目标无法实现。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五、下一步改进措施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1.科学编制科技专项资金项目支出预算，严格按照预算规定的费用项目和用途进行资金使用审核，确保及时、足额拨付专项资金，发挥财政资金最大效益；同时进一步加快区级科技计划项目立项进度，提高专家评审分值比重，优化科技项目立项管理流程和评审论证环节，压缩申报立项时间，提升管理效率，营造公平、公正、公开的科技项目发展环境。</w:t>
      </w:r>
    </w:p>
    <w:p>
      <w:pPr>
        <w:pStyle w:val="2"/>
        <w:keepNext w:val="0"/>
        <w:keepLines w:val="0"/>
        <w:pageBreakBefore w:val="0"/>
        <w:widowControl w:val="0"/>
        <w:kinsoku/>
        <w:wordWrap/>
        <w:overflowPunct/>
        <w:topLinePunct w:val="0"/>
        <w:autoSpaceDE/>
        <w:autoSpaceDN/>
        <w:bidi w:val="0"/>
        <w:adjustRightInd/>
        <w:snapToGrid/>
        <w:spacing w:before="0" w:line="600" w:lineRule="exact"/>
        <w:ind w:left="0" w:leftChars="0" w:right="0" w:firstLine="640" w:firstLineChars="200"/>
        <w:textAlignment w:val="auto"/>
      </w:pPr>
      <w:r>
        <w:rPr>
          <w:rFonts w:hint="eastAsia" w:ascii="仿宋" w:hAnsi="仿宋" w:eastAsia="仿宋" w:cs="仿宋"/>
          <w:bCs/>
          <w:color w:val="auto"/>
          <w:sz w:val="32"/>
          <w:szCs w:val="32"/>
          <w:lang w:val="en-US" w:eastAsia="zh-CN"/>
        </w:rPr>
        <w:t>2.</w:t>
      </w:r>
      <w:r>
        <w:t>加强分管业务</w:t>
      </w:r>
      <w:r>
        <w:rPr>
          <w:rFonts w:hint="eastAsia"/>
        </w:rPr>
        <w:t>科</w:t>
      </w:r>
      <w:r>
        <w:t>室对项目申报单位的业务指导， 在项目申报时必须依据项目实施情况分阶段设置明确、量化、可考核的效益目标申报。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val="en-US" w:eastAsia="zh-CN"/>
        </w:rPr>
        <w:t>六、绩效自评结果拟应用和公开情况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高度重视绩效评价结果的应用工作，积极探索和建立一套与预算管理相结合、多渠道应用评价结果的有效机制，着力提高绩效意识和财政资金使用效益。本次项目评价结果有利于下一年年度预算安排中借鉴，评价结果可自行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outlineLvl w:val="9"/>
        <w:sectPr>
          <w:footerReference r:id="rId3" w:type="default"/>
          <w:pgSz w:w="11910" w:h="16840"/>
          <w:pgMar w:top="1701" w:right="1587" w:bottom="1701" w:left="1587" w:header="0" w:footer="1150" w:gutter="0"/>
          <w:cols w:space="720" w:num="1"/>
        </w:sectPr>
      </w:pPr>
      <w:r>
        <w:rPr>
          <w:rFonts w:hint="eastAsia" w:ascii="仿宋" w:hAnsi="仿宋" w:eastAsia="仿宋" w:cs="仿宋"/>
          <w:b/>
          <w:bCs w:val="0"/>
          <w:color w:val="auto"/>
          <w:sz w:val="32"/>
          <w:szCs w:val="32"/>
          <w:lang w:val="en-US" w:eastAsia="zh-CN"/>
        </w:rPr>
        <w:t>七、其他需要说明的情况 （无）</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4791"/>
          <w:tab w:val="left" w:pos="7071"/>
          <w:tab w:val="left" w:pos="7573"/>
          <w:tab w:val="left" w:pos="9311"/>
        </w:tabs>
        <w:kinsoku/>
        <w:wordWrap/>
        <w:overflowPunct/>
        <w:topLinePunct w:val="0"/>
        <w:autoSpaceDE/>
        <w:autoSpaceDN/>
        <w:bidi w:val="0"/>
        <w:adjustRightInd/>
        <w:snapToGrid/>
        <w:spacing w:line="240" w:lineRule="auto"/>
        <w:ind w:left="91"/>
        <w:jc w:val="left"/>
        <w:textAlignment w:val="auto"/>
        <w:rPr>
          <w:rFonts w:hint="default" w:ascii="Times New Roman" w:hAnsi="Times New Roman" w:eastAsia="楷体_GB2312" w:cs="Times New Roman"/>
          <w:b/>
          <w:bCs/>
          <w:kern w:val="0"/>
          <w:sz w:val="24"/>
          <w:lang w:val="en-US" w:eastAsia="zh-CN"/>
        </w:rPr>
      </w:pPr>
      <w:r>
        <w:rPr>
          <w:rFonts w:hint="default" w:ascii="Times New Roman" w:hAnsi="Times New Roman" w:eastAsia="楷体_GB2312" w:cs="Times New Roman"/>
          <w:b/>
          <w:bCs/>
          <w:kern w:val="0"/>
          <w:sz w:val="24"/>
        </w:rPr>
        <w:t>单位</w:t>
      </w:r>
      <w:r>
        <w:rPr>
          <w:rFonts w:hint="eastAsia" w:eastAsia="楷体_GB2312" w:cs="Times New Roman"/>
          <w:b/>
          <w:bCs/>
          <w:kern w:val="0"/>
          <w:sz w:val="24"/>
          <w:lang w:eastAsia="zh-CN"/>
        </w:rPr>
        <w:t>名称</w:t>
      </w:r>
      <w:r>
        <w:rPr>
          <w:rFonts w:hint="default" w:ascii="Times New Roman" w:hAnsi="Times New Roman" w:eastAsia="楷体_GB2312" w:cs="Times New Roman"/>
          <w:b/>
          <w:bCs/>
          <w:kern w:val="0"/>
          <w:sz w:val="24"/>
        </w:rPr>
        <w:t>：</w:t>
      </w:r>
      <w:r>
        <w:rPr>
          <w:rFonts w:hint="eastAsia" w:eastAsia="楷体_GB2312" w:cs="Times New Roman"/>
          <w:b/>
          <w:bCs/>
          <w:kern w:val="0"/>
          <w:sz w:val="24"/>
          <w:lang w:eastAsia="zh-CN"/>
        </w:rPr>
        <w:t>雨花区科学技术局</w:t>
      </w:r>
      <w:r>
        <w:rPr>
          <w:rFonts w:hint="eastAsia" w:eastAsia="楷体_GB2312" w:cs="Times New Roman"/>
          <w:b/>
          <w:bCs/>
          <w:kern w:val="0"/>
          <w:sz w:val="24"/>
          <w:lang w:eastAsia="zh-CN"/>
        </w:rPr>
        <w:tab/>
      </w:r>
      <w:r>
        <w:rPr>
          <w:rFonts w:hint="eastAsia" w:eastAsia="楷体_GB2312" w:cs="Times New Roman"/>
          <w:b/>
          <w:bCs/>
          <w:kern w:val="0"/>
          <w:sz w:val="24"/>
          <w:lang w:eastAsia="zh-CN"/>
        </w:rPr>
        <w:tab/>
      </w:r>
      <w:r>
        <w:rPr>
          <w:rFonts w:hint="eastAsia" w:eastAsia="楷体_GB2312" w:cs="Times New Roman"/>
          <w:b/>
          <w:bCs/>
          <w:kern w:val="0"/>
          <w:sz w:val="24"/>
          <w:lang w:eastAsia="zh-CN"/>
        </w:rPr>
        <w:tab/>
      </w:r>
      <w:r>
        <w:rPr>
          <w:rFonts w:hint="eastAsia" w:eastAsia="楷体_GB2312" w:cs="Times New Roman"/>
          <w:b/>
          <w:bCs/>
          <w:kern w:val="0"/>
          <w:sz w:val="24"/>
          <w:lang w:eastAsia="zh-CN"/>
        </w:rPr>
        <w:t>单位：万元</w:t>
      </w:r>
    </w:p>
    <w:tbl>
      <w:tblPr>
        <w:tblStyle w:val="9"/>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387"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9</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10</w:t>
            </w:r>
            <w:r>
              <w:rPr>
                <w:rFonts w:hint="eastAsia" w:ascii="宋体" w:hAnsi="宋体" w:cs="宋体"/>
                <w:kern w:val="0"/>
                <w:sz w:val="24"/>
              </w:rPr>
              <w:t>　</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111%</w:t>
            </w:r>
            <w:r>
              <w:rPr>
                <w:rFonts w:hint="eastAsia" w:ascii="宋体" w:hAnsi="宋体" w:cs="宋体"/>
                <w:kern w:val="0"/>
                <w:sz w:val="24"/>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r>
      <w:tr>
        <w:tblPrEx>
          <w:tblCellMar>
            <w:top w:w="0" w:type="dxa"/>
            <w:left w:w="57" w:type="dxa"/>
            <w:bottom w:w="0" w:type="dxa"/>
            <w:right w:w="57" w:type="dxa"/>
          </w:tblCellMar>
        </w:tblPrEx>
        <w:trPr>
          <w:trHeight w:val="367"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0.98</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4.30</w:t>
            </w:r>
            <w:r>
              <w:rPr>
                <w:rFonts w:hint="eastAsia"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0</w:t>
            </w:r>
          </w:p>
        </w:tc>
      </w:tr>
      <w:tr>
        <w:tblPrEx>
          <w:tblCellMar>
            <w:top w:w="0" w:type="dxa"/>
            <w:left w:w="57" w:type="dxa"/>
            <w:bottom w:w="0" w:type="dxa"/>
            <w:right w:w="57" w:type="dxa"/>
          </w:tblCellMar>
        </w:tblPrEx>
        <w:trPr>
          <w:trHeight w:val="397"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0.98</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0</w:t>
            </w:r>
          </w:p>
        </w:tc>
      </w:tr>
      <w:tr>
        <w:tblPrEx>
          <w:tblCellMar>
            <w:top w:w="0" w:type="dxa"/>
            <w:left w:w="57" w:type="dxa"/>
            <w:bottom w:w="0" w:type="dxa"/>
            <w:right w:w="57" w:type="dxa"/>
          </w:tblCellMar>
        </w:tblPrEx>
        <w:trPr>
          <w:trHeight w:val="367"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0.00</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0</w:t>
            </w:r>
          </w:p>
        </w:tc>
      </w:tr>
      <w:tr>
        <w:tblPrEx>
          <w:tblCellMar>
            <w:top w:w="0" w:type="dxa"/>
            <w:left w:w="57" w:type="dxa"/>
            <w:bottom w:w="0" w:type="dxa"/>
            <w:right w:w="57" w:type="dxa"/>
          </w:tblCellMar>
        </w:tblPrEx>
        <w:trPr>
          <w:trHeight w:val="35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0.98</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0</w:t>
            </w:r>
          </w:p>
        </w:tc>
      </w:tr>
      <w:tr>
        <w:tblPrEx>
          <w:tblCellMar>
            <w:top w:w="0" w:type="dxa"/>
            <w:left w:w="57" w:type="dxa"/>
            <w:bottom w:w="0" w:type="dxa"/>
            <w:right w:w="57" w:type="dxa"/>
          </w:tblCellMar>
        </w:tblPrEx>
        <w:trPr>
          <w:trHeight w:val="367"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4</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35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0.30</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35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6253.27</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41.00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8545.77</w:t>
            </w:r>
          </w:p>
        </w:tc>
      </w:tr>
      <w:tr>
        <w:tblPrEx>
          <w:tblCellMar>
            <w:top w:w="0" w:type="dxa"/>
            <w:left w:w="57" w:type="dxa"/>
            <w:bottom w:w="0" w:type="dxa"/>
            <w:right w:w="57" w:type="dxa"/>
          </w:tblCellMar>
        </w:tblPrEx>
        <w:trPr>
          <w:trHeight w:val="38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ind w:firstLine="180" w:firstLineChars="100"/>
              <w:jc w:val="left"/>
              <w:rPr>
                <w:rFonts w:hint="default" w:ascii="Times New Roman" w:hAnsi="Times New Roman" w:eastAsia="宋体" w:cs="Times New Roman"/>
                <w:b w:val="0"/>
                <w:bCs w:val="0"/>
                <w:kern w:val="0"/>
                <w:sz w:val="18"/>
                <w:szCs w:val="18"/>
              </w:rPr>
            </w:pPr>
            <w:r>
              <w:rPr>
                <w:rFonts w:hint="eastAsia" w:ascii="宋体" w:hAnsi="宋体" w:cs="宋体"/>
                <w:kern w:val="0"/>
                <w:sz w:val="18"/>
                <w:szCs w:val="18"/>
                <w:lang w:eastAsia="zh-CN"/>
              </w:rPr>
              <w:t>1、科技活动周</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5.38</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6.00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6.00</w:t>
            </w:r>
            <w:r>
              <w:rPr>
                <w:rFonts w:hint="eastAsia" w:ascii="宋体" w:hAnsi="宋体" w:cs="宋体"/>
                <w:kern w:val="0"/>
                <w:sz w:val="24"/>
              </w:rPr>
              <w:t>　</w:t>
            </w:r>
          </w:p>
        </w:tc>
      </w:tr>
      <w:tr>
        <w:tblPrEx>
          <w:tblCellMar>
            <w:top w:w="0" w:type="dxa"/>
            <w:left w:w="57" w:type="dxa"/>
            <w:bottom w:w="0" w:type="dxa"/>
            <w:right w:w="57" w:type="dxa"/>
          </w:tblCellMar>
        </w:tblPrEx>
        <w:trPr>
          <w:trHeight w:val="367"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18"/>
                <w:szCs w:val="18"/>
              </w:rPr>
            </w:pPr>
            <w:r>
              <w:rPr>
                <w:rFonts w:hint="eastAsia" w:ascii="宋体" w:hAnsi="宋体" w:cs="宋体"/>
                <w:kern w:val="0"/>
                <w:sz w:val="18"/>
                <w:szCs w:val="18"/>
              </w:rPr>
              <w:t xml:space="preserve">  2、</w:t>
            </w:r>
            <w:r>
              <w:rPr>
                <w:rFonts w:hint="eastAsia" w:ascii="宋体" w:hAnsi="宋体" w:cs="宋体"/>
                <w:kern w:val="0"/>
                <w:sz w:val="18"/>
                <w:szCs w:val="18"/>
                <w:lang w:eastAsia="zh-CN"/>
              </w:rPr>
              <w:t>科技计划项目工作</w:t>
            </w:r>
            <w:r>
              <w:rPr>
                <w:rFonts w:hint="eastAsia" w:ascii="宋体" w:hAnsi="宋体" w:cs="宋体"/>
                <w:kern w:val="0"/>
                <w:sz w:val="18"/>
                <w:szCs w:val="18"/>
              </w:rPr>
              <w:t>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14.00</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15.00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15.00</w:t>
            </w:r>
            <w:r>
              <w:rPr>
                <w:rFonts w:hint="eastAsia" w:ascii="宋体" w:hAnsi="宋体" w:cs="宋体"/>
                <w:kern w:val="0"/>
                <w:sz w:val="24"/>
              </w:rPr>
              <w:t>　</w:t>
            </w:r>
          </w:p>
        </w:tc>
      </w:tr>
      <w:tr>
        <w:tblPrEx>
          <w:tblCellMar>
            <w:top w:w="0" w:type="dxa"/>
            <w:left w:w="57" w:type="dxa"/>
            <w:bottom w:w="0" w:type="dxa"/>
            <w:right w:w="57" w:type="dxa"/>
          </w:tblCellMar>
        </w:tblPrEx>
        <w:trPr>
          <w:trHeight w:val="41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18"/>
                <w:szCs w:val="18"/>
              </w:rPr>
            </w:pPr>
            <w:r>
              <w:rPr>
                <w:rFonts w:hint="eastAsia" w:ascii="宋体" w:hAnsi="宋体" w:cs="宋体"/>
                <w:kern w:val="0"/>
                <w:sz w:val="18"/>
                <w:szCs w:val="18"/>
              </w:rPr>
              <w:t xml:space="preserve">  </w:t>
            </w:r>
            <w:r>
              <w:rPr>
                <w:rFonts w:hint="eastAsia" w:ascii="宋体" w:hAnsi="宋体" w:cs="宋体"/>
                <w:kern w:val="0"/>
                <w:sz w:val="18"/>
                <w:szCs w:val="18"/>
                <w:lang w:val="en-US" w:eastAsia="zh-CN"/>
              </w:rPr>
              <w:t>3、高企认定、R&amp;D研发经费等</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13.36</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20.00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11.65</w:t>
            </w:r>
            <w:r>
              <w:rPr>
                <w:rFonts w:hint="eastAsia" w:ascii="宋体" w:hAnsi="宋体" w:cs="宋体"/>
                <w:kern w:val="0"/>
                <w:sz w:val="24"/>
              </w:rPr>
              <w:t>　</w:t>
            </w:r>
          </w:p>
        </w:tc>
      </w:tr>
      <w:tr>
        <w:tblPrEx>
          <w:tblCellMar>
            <w:top w:w="0" w:type="dxa"/>
            <w:left w:w="57" w:type="dxa"/>
            <w:bottom w:w="0" w:type="dxa"/>
            <w:right w:w="57" w:type="dxa"/>
          </w:tblCellMar>
        </w:tblPrEx>
        <w:trPr>
          <w:trHeight w:val="35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18"/>
                <w:szCs w:val="18"/>
              </w:rPr>
            </w:pPr>
            <w:r>
              <w:rPr>
                <w:rFonts w:hint="eastAsia" w:ascii="宋体" w:hAnsi="宋体" w:cs="宋体"/>
                <w:kern w:val="0"/>
                <w:sz w:val="18"/>
                <w:szCs w:val="18"/>
                <w:lang w:val="en-US" w:eastAsia="zh-CN"/>
              </w:rPr>
              <w:t xml:space="preserve">  3、省市区级科技项目资金</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6220.53</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lang w:val="en-US" w:eastAsia="zh-CN"/>
              </w:rPr>
              <w:t>0.00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8513.12</w:t>
            </w:r>
          </w:p>
        </w:tc>
      </w:tr>
      <w:tr>
        <w:tblPrEx>
          <w:tblCellMar>
            <w:top w:w="0" w:type="dxa"/>
            <w:left w:w="57" w:type="dxa"/>
            <w:bottom w:w="0" w:type="dxa"/>
            <w:right w:w="57" w:type="dxa"/>
          </w:tblCellMar>
        </w:tblPrEx>
        <w:trPr>
          <w:trHeight w:val="38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29.72</w:t>
            </w:r>
            <w:r>
              <w:rPr>
                <w:rFonts w:hint="eastAsia" w:ascii="宋体" w:hAnsi="宋体" w:cs="宋体"/>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34.47</w:t>
            </w:r>
            <w:r>
              <w:rPr>
                <w:rFonts w:hint="eastAsia"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29.72</w:t>
            </w:r>
            <w:r>
              <w:rPr>
                <w:rFonts w:hint="eastAsia" w:ascii="宋体" w:hAnsi="宋体" w:cs="宋体"/>
                <w:kern w:val="0"/>
                <w:sz w:val="24"/>
              </w:rPr>
              <w:t>　</w:t>
            </w:r>
          </w:p>
        </w:tc>
      </w:tr>
      <w:tr>
        <w:tblPrEx>
          <w:tblCellMar>
            <w:top w:w="0" w:type="dxa"/>
            <w:left w:w="57" w:type="dxa"/>
            <w:bottom w:w="0" w:type="dxa"/>
            <w:right w:w="57" w:type="dxa"/>
          </w:tblCellMar>
        </w:tblPrEx>
        <w:trPr>
          <w:trHeight w:val="367"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FF0000"/>
                <w:kern w:val="0"/>
                <w:sz w:val="24"/>
                <w:szCs w:val="24"/>
                <w:lang w:val="en-US" w:eastAsia="zh-CN" w:bidi="ar-SA"/>
              </w:rPr>
            </w:pPr>
            <w:r>
              <w:rPr>
                <w:rFonts w:hint="eastAsia" w:ascii="宋体" w:hAnsi="宋体" w:cs="宋体"/>
                <w:kern w:val="0"/>
                <w:sz w:val="24"/>
                <w:lang w:val="en-US" w:eastAsia="zh-CN"/>
              </w:rPr>
              <w:t>28.65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34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29.35　</w:t>
            </w:r>
          </w:p>
        </w:tc>
      </w:tr>
      <w:tr>
        <w:tblPrEx>
          <w:tblCellMar>
            <w:top w:w="0" w:type="dxa"/>
            <w:left w:w="57" w:type="dxa"/>
            <w:bottom w:w="0" w:type="dxa"/>
            <w:right w:w="57" w:type="dxa"/>
          </w:tblCellMar>
        </w:tblPrEx>
        <w:trPr>
          <w:trHeight w:val="367"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FF0000"/>
                <w:kern w:val="0"/>
                <w:sz w:val="24"/>
                <w:szCs w:val="24"/>
                <w:lang w:val="en-US" w:eastAsia="zh-CN" w:bidi="ar-SA"/>
              </w:rPr>
            </w:pPr>
            <w:r>
              <w:rPr>
                <w:rFonts w:hint="eastAsia" w:ascii="宋体" w:hAnsi="宋体" w:cs="宋体"/>
                <w:kern w:val="0"/>
                <w:sz w:val="24"/>
                <w:lang w:val="en-US" w:eastAsia="zh-CN"/>
              </w:rPr>
              <w:t>1.03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0　</w:t>
            </w:r>
          </w:p>
        </w:tc>
      </w:tr>
      <w:tr>
        <w:tblPrEx>
          <w:tblCellMar>
            <w:top w:w="0" w:type="dxa"/>
            <w:left w:w="57" w:type="dxa"/>
            <w:bottom w:w="0" w:type="dxa"/>
            <w:right w:w="57" w:type="dxa"/>
          </w:tblCellMar>
        </w:tblPrEx>
        <w:trPr>
          <w:trHeight w:val="35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color w:val="FF0000"/>
                <w:kern w:val="0"/>
                <w:sz w:val="24"/>
                <w:szCs w:val="24"/>
                <w:lang w:val="en-US" w:eastAsia="zh-CN" w:bidi="ar-SA"/>
              </w:rPr>
            </w:pPr>
            <w:r>
              <w:rPr>
                <w:rFonts w:hint="eastAsia" w:ascii="宋体" w:hAnsi="宋体" w:cs="宋体"/>
                <w:kern w:val="0"/>
                <w:sz w:val="24"/>
                <w:lang w:val="en-US" w:eastAsia="zh-CN"/>
              </w:rPr>
              <w:t>0.04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0.60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0.05　</w:t>
            </w:r>
          </w:p>
        </w:tc>
      </w:tr>
      <w:tr>
        <w:tblPrEx>
          <w:tblCellMar>
            <w:top w:w="0" w:type="dxa"/>
            <w:left w:w="57" w:type="dxa"/>
            <w:bottom w:w="0" w:type="dxa"/>
            <w:right w:w="57" w:type="dxa"/>
          </w:tblCellMar>
        </w:tblPrEx>
        <w:trPr>
          <w:trHeight w:val="367"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4.69</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2.86</w:t>
            </w:r>
          </w:p>
        </w:tc>
      </w:tr>
      <w:tr>
        <w:tblPrEx>
          <w:tblCellMar>
            <w:top w:w="0" w:type="dxa"/>
            <w:left w:w="57" w:type="dxa"/>
            <w:bottom w:w="0" w:type="dxa"/>
            <w:right w:w="57" w:type="dxa"/>
          </w:tblCellMar>
        </w:tblPrEx>
        <w:trPr>
          <w:trHeight w:val="32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1976.02</w:t>
            </w:r>
            <w:r>
              <w:rPr>
                <w:rFonts w:hint="eastAsia" w:ascii="宋体" w:hAnsi="宋体" w:cs="宋体"/>
                <w:kern w:val="0"/>
                <w:sz w:val="24"/>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宋体" w:hAnsi="宋体" w:eastAsia="宋体" w:cs="宋体"/>
                <w:kern w:val="0"/>
                <w:sz w:val="24"/>
                <w:szCs w:val="24"/>
                <w:lang w:val="en-US" w:eastAsia="zh-CN" w:bidi="ar-SA"/>
              </w:rPr>
            </w:pPr>
            <w:r>
              <w:rPr>
                <w:rFonts w:hint="eastAsia" w:ascii="宋体" w:hAnsi="宋体" w:cs="宋体"/>
                <w:kern w:val="0"/>
                <w:sz w:val="24"/>
                <w:lang w:val="en-US" w:eastAsia="zh-CN"/>
              </w:rPr>
              <w:t>8981.30</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楼堂馆所控制情况</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01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批复规模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预算投资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592" w:hRule="atLeast"/>
          <w:jc w:val="center"/>
        </w:trPr>
        <w:tc>
          <w:tcPr>
            <w:tcW w:w="2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p>
        </w:tc>
        <w:tc>
          <w:tcPr>
            <w:tcW w:w="805"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296"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08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94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97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76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eastAsia" w:ascii="仿宋" w:hAnsi="仿宋" w:eastAsia="仿宋" w:cs="仿宋"/>
                <w:color w:val="000000"/>
                <w:sz w:val="24"/>
                <w:szCs w:val="24"/>
                <w:lang w:val="en-US" w:eastAsia="zh-CN"/>
              </w:rPr>
              <w:t>加强日常管理，建立健全各项制度，严控“三公”经费支出，加强政府采购管理，全面实施绩效评价；加强培训，增强节约意识，严格控制办公费用，严禁购置高档办公用品，及时更新年限仍能继续使用的固定资产不得报废处置；认真做好节能降耗工作。</w:t>
            </w:r>
            <w:r>
              <w:rPr>
                <w:rFonts w:hint="default" w:ascii="Times New Roman" w:hAnsi="Times New Roman" w:eastAsia="宋体" w:cs="Times New Roman"/>
                <w:b w:val="0"/>
                <w:bCs w:val="0"/>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小标宋_GBK" w:cs="Times New Roman"/>
          <w:kern w:val="0"/>
          <w:sz w:val="36"/>
          <w:szCs w:val="36"/>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9"/>
        <w:tblW w:w="57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69"/>
        <w:gridCol w:w="628"/>
        <w:gridCol w:w="867"/>
        <w:gridCol w:w="425"/>
        <w:gridCol w:w="3027"/>
        <w:gridCol w:w="3356"/>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31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（10分）</w:t>
            </w:r>
          </w:p>
        </w:tc>
        <w:tc>
          <w:tcPr>
            <w:tcW w:w="31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设定</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w:t>
            </w:r>
            <w:r>
              <w:rPr>
                <w:rStyle w:val="16"/>
                <w:rFonts w:hint="default" w:ascii="Times New Roman" w:hAnsi="Times New Roman" w:eastAsia="宋体" w:cs="Times New Roman"/>
                <w:sz w:val="20"/>
                <w:szCs w:val="20"/>
                <w:lang w:val="en-US" w:eastAsia="zh-CN" w:bidi="ar"/>
              </w:rPr>
              <w:t>6</w:t>
            </w:r>
            <w:r>
              <w:rPr>
                <w:rStyle w:val="15"/>
                <w:rFonts w:hint="default" w:ascii="Times New Roman" w:hAnsi="Times New Roman" w:cs="Times New Roman"/>
                <w:sz w:val="20"/>
                <w:szCs w:val="20"/>
                <w:lang w:val="en-US" w:eastAsia="zh-CN" w:bidi="ar"/>
              </w:rPr>
              <w:t>分）</w:t>
            </w: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绩效目标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合理性</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①是否符合国家法律法规、国民经济和社会发展总体规划；</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②是否符合部门</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三定</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方案确定的职责；</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③是否符合部门制定的发展实施规划。</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①符合国家相关法律法规，本</w:t>
            </w:r>
            <w:r>
              <w:rPr>
                <w:rStyle w:val="15"/>
                <w:rFonts w:hint="eastAsia" w:cs="Times New Roman"/>
                <w:sz w:val="20"/>
                <w:szCs w:val="20"/>
                <w:lang w:val="en-US" w:eastAsia="zh-CN" w:bidi="ar"/>
              </w:rPr>
              <w:t>区</w:t>
            </w:r>
            <w:r>
              <w:rPr>
                <w:rStyle w:val="15"/>
                <w:rFonts w:hint="default" w:ascii="Times New Roman" w:hAnsi="Times New Roman" w:cs="Times New Roman"/>
                <w:sz w:val="20"/>
                <w:szCs w:val="20"/>
                <w:lang w:val="en-US" w:eastAsia="zh-CN" w:bidi="ar"/>
              </w:rPr>
              <w:t>国民经济和社会发展规划，计</w:t>
            </w:r>
            <w:r>
              <w:rPr>
                <w:rStyle w:val="16"/>
                <w:rFonts w:hint="default" w:ascii="Times New Roman" w:hAnsi="Times New Roman" w:eastAsia="宋体" w:cs="Times New Roman"/>
                <w:sz w:val="20"/>
                <w:szCs w:val="20"/>
                <w:lang w:val="en-US" w:eastAsia="zh-CN" w:bidi="ar"/>
              </w:rPr>
              <w:t>0.5</w:t>
            </w:r>
            <w:r>
              <w:rPr>
                <w:rStyle w:val="15"/>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②与部门（单位）职责密切相关，计</w:t>
            </w:r>
            <w:r>
              <w:rPr>
                <w:rStyle w:val="16"/>
                <w:rFonts w:hint="default" w:ascii="Times New Roman" w:hAnsi="Times New Roman" w:eastAsia="宋体" w:cs="Times New Roman"/>
                <w:sz w:val="20"/>
                <w:szCs w:val="20"/>
                <w:lang w:val="en-US" w:eastAsia="zh-CN" w:bidi="ar"/>
              </w:rPr>
              <w:t>0.5</w:t>
            </w:r>
            <w:r>
              <w:rPr>
                <w:rStyle w:val="15"/>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③符合部门制定的发展实施规划，计</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5"/>
                <w:rFonts w:hint="default" w:ascii="Times New Roman" w:hAnsi="Times New Roman" w:cs="Times New Roman"/>
                <w:sz w:val="20"/>
                <w:szCs w:val="20"/>
                <w:lang w:val="en-US" w:eastAsia="zh-CN" w:bidi="ar"/>
              </w:rPr>
            </w:pPr>
            <w:r>
              <w:rPr>
                <w:rStyle w:val="15"/>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1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绩效指标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明确性</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①是否将部门整体的绩效目标细化分解为具体的工作任务；</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②是否通过清晰、可衡量的指标值予以体现。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③是否与部门年度的任务数或计划数相对应；</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④是否与本年度部门预算资金相匹配。</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①有目标，计1分，否则不得分；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②目标明确，细化量化良好，个性指标中量化指标超过</w:t>
            </w:r>
            <w:r>
              <w:rPr>
                <w:rStyle w:val="16"/>
                <w:rFonts w:hint="default" w:ascii="Times New Roman" w:hAnsi="Times New Roman" w:eastAsia="宋体" w:cs="Times New Roman"/>
                <w:sz w:val="20"/>
                <w:szCs w:val="20"/>
                <w:lang w:val="en-US" w:eastAsia="zh-CN" w:bidi="ar"/>
              </w:rPr>
              <w:t>3</w:t>
            </w:r>
            <w:r>
              <w:rPr>
                <w:rStyle w:val="15"/>
                <w:rFonts w:hint="default" w:ascii="Times New Roman" w:hAnsi="Times New Roman" w:cs="Times New Roman"/>
                <w:sz w:val="20"/>
                <w:szCs w:val="20"/>
                <w:lang w:val="en-US" w:eastAsia="zh-CN" w:bidi="ar"/>
              </w:rPr>
              <w:t>个，计1分，量化指标为</w:t>
            </w:r>
            <w:r>
              <w:rPr>
                <w:rStyle w:val="16"/>
                <w:rFonts w:hint="default" w:ascii="Times New Roman" w:hAnsi="Times New Roman" w:eastAsia="宋体" w:cs="Times New Roman"/>
                <w:sz w:val="20"/>
                <w:szCs w:val="20"/>
                <w:lang w:val="en-US" w:eastAsia="zh-CN" w:bidi="ar"/>
              </w:rPr>
              <w:t>2</w:t>
            </w:r>
            <w:r>
              <w:rPr>
                <w:rStyle w:val="15"/>
                <w:rFonts w:hint="default" w:ascii="Times New Roman" w:hAnsi="Times New Roman" w:cs="Times New Roman"/>
                <w:sz w:val="20"/>
                <w:szCs w:val="20"/>
                <w:lang w:val="en-US" w:eastAsia="zh-CN" w:bidi="ar"/>
              </w:rPr>
              <w:t>个，计</w:t>
            </w:r>
            <w:r>
              <w:rPr>
                <w:rStyle w:val="16"/>
                <w:rFonts w:hint="default" w:ascii="Times New Roman" w:hAnsi="Times New Roman" w:eastAsia="宋体" w:cs="Times New Roman"/>
                <w:sz w:val="20"/>
                <w:szCs w:val="20"/>
                <w:lang w:val="en-US" w:eastAsia="zh-CN" w:bidi="ar"/>
              </w:rPr>
              <w:t>0.5</w:t>
            </w:r>
            <w:r>
              <w:rPr>
                <w:rStyle w:val="15"/>
                <w:rFonts w:hint="default" w:ascii="Times New Roman" w:hAnsi="Times New Roman" w:cs="Times New Roman"/>
                <w:sz w:val="20"/>
                <w:szCs w:val="20"/>
                <w:lang w:val="en-US" w:eastAsia="zh-CN" w:bidi="ar"/>
              </w:rPr>
              <w:t>分，</w:t>
            </w:r>
            <w:r>
              <w:rPr>
                <w:rStyle w:val="16"/>
                <w:rFonts w:hint="default" w:ascii="Times New Roman" w:hAnsi="Times New Roman" w:eastAsia="宋体" w:cs="Times New Roman"/>
                <w:sz w:val="20"/>
                <w:szCs w:val="20"/>
                <w:lang w:val="en-US" w:eastAsia="zh-CN" w:bidi="ar"/>
              </w:rPr>
              <w:t>2</w:t>
            </w:r>
            <w:r>
              <w:rPr>
                <w:rStyle w:val="15"/>
                <w:rFonts w:hint="default" w:ascii="Times New Roman" w:hAnsi="Times New Roman" w:cs="Times New Roman"/>
                <w:sz w:val="20"/>
                <w:szCs w:val="20"/>
                <w:lang w:val="en-US" w:eastAsia="zh-CN" w:bidi="ar"/>
              </w:rPr>
              <w:t>个以下不得分；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③与年度任务数或计划数相对应，计1分，低于</w:t>
            </w:r>
            <w:r>
              <w:rPr>
                <w:rStyle w:val="16"/>
                <w:rFonts w:hint="default" w:ascii="Times New Roman" w:hAnsi="Times New Roman" w:eastAsia="宋体" w:cs="Times New Roman"/>
                <w:sz w:val="20"/>
                <w:szCs w:val="20"/>
                <w:lang w:val="en-US" w:eastAsia="zh-CN" w:bidi="ar"/>
              </w:rPr>
              <w:t>2</w:t>
            </w:r>
            <w:r>
              <w:rPr>
                <w:rStyle w:val="15"/>
                <w:rFonts w:hint="default" w:ascii="Times New Roman" w:hAnsi="Times New Roman" w:cs="Times New Roman"/>
                <w:sz w:val="20"/>
                <w:szCs w:val="20"/>
                <w:lang w:val="en-US" w:eastAsia="zh-CN" w:bidi="ar"/>
              </w:rPr>
              <w:t>个，计0.5分，低于</w:t>
            </w:r>
            <w:r>
              <w:rPr>
                <w:rStyle w:val="16"/>
                <w:rFonts w:hint="default" w:ascii="Times New Roman" w:hAnsi="Times New Roman" w:eastAsia="宋体" w:cs="Times New Roman"/>
                <w:sz w:val="20"/>
                <w:szCs w:val="20"/>
                <w:lang w:val="en-US" w:eastAsia="zh-CN" w:bidi="ar"/>
              </w:rPr>
              <w:t>4</w:t>
            </w:r>
            <w:r>
              <w:rPr>
                <w:rStyle w:val="15"/>
                <w:rFonts w:hint="default" w:ascii="Times New Roman" w:hAnsi="Times New Roman" w:cs="Times New Roman"/>
                <w:sz w:val="20"/>
                <w:szCs w:val="20"/>
                <w:lang w:val="en-US" w:eastAsia="zh-CN" w:bidi="ar"/>
              </w:rPr>
              <w:t>个不得分；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④目标与资金匹配良好，逻辑关系明确，计1分，否则不得分。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5"/>
                <w:rFonts w:hint="default" w:ascii="Times New Roman" w:hAnsi="Times New Roman" w:cs="Times New Roman"/>
                <w:sz w:val="20"/>
                <w:szCs w:val="20"/>
                <w:lang w:val="en-US" w:eastAsia="zh-CN" w:bidi="ar"/>
              </w:rPr>
            </w:pPr>
            <w:r>
              <w:rPr>
                <w:rStyle w:val="15"/>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1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配置</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w:t>
            </w:r>
            <w:r>
              <w:rPr>
                <w:rStyle w:val="16"/>
                <w:rFonts w:hint="default" w:ascii="Times New Roman" w:hAnsi="Times New Roman" w:eastAsia="宋体" w:cs="Times New Roman"/>
                <w:sz w:val="20"/>
                <w:szCs w:val="20"/>
                <w:lang w:val="en-US" w:eastAsia="zh-CN" w:bidi="ar"/>
              </w:rPr>
              <w:t>4</w:t>
            </w:r>
            <w:r>
              <w:rPr>
                <w:rStyle w:val="15"/>
                <w:rFonts w:hint="default" w:ascii="Times New Roman" w:hAnsi="Times New Roman" w:cs="Times New Roman"/>
                <w:sz w:val="20"/>
                <w:szCs w:val="20"/>
                <w:lang w:val="en-US" w:eastAsia="zh-CN" w:bidi="ar"/>
              </w:rPr>
              <w:t>分）</w:t>
            </w: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控制率</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在职人员控制率</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（在职人员数</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编制数）</w:t>
            </w:r>
            <w:r>
              <w:rPr>
                <w:rStyle w:val="16"/>
                <w:rFonts w:hint="default" w:ascii="Times New Roman" w:hAnsi="Times New Roman" w:eastAsia="宋体" w:cs="Times New Roman"/>
                <w:sz w:val="20"/>
                <w:szCs w:val="20"/>
                <w:lang w:val="en-US" w:eastAsia="zh-CN" w:bidi="ar"/>
              </w:rPr>
              <w:t>×100%</w:t>
            </w:r>
            <w:r>
              <w:rPr>
                <w:rStyle w:val="15"/>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聘用人员控制率≦人社和编办共同批复的人数；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在职人员数：部门（单位）实际在职人数</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以财政部门确定的部门决算编制口径为准。</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编制数：机构编制部门核定批复的部门（单位）的人员编制数。</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在职人员控制率≦</w:t>
            </w:r>
            <w:r>
              <w:rPr>
                <w:rStyle w:val="16"/>
                <w:rFonts w:hint="default" w:ascii="Times New Roman" w:hAnsi="Times New Roman" w:eastAsia="宋体" w:cs="Times New Roman"/>
                <w:sz w:val="20"/>
                <w:szCs w:val="20"/>
                <w:lang w:val="en-US" w:eastAsia="zh-CN" w:bidi="ar"/>
              </w:rPr>
              <w:t>100%</w:t>
            </w:r>
            <w:r>
              <w:rPr>
                <w:rStyle w:val="15"/>
                <w:rFonts w:hint="default" w:ascii="Times New Roman" w:hAnsi="Times New Roman" w:cs="Times New Roman"/>
                <w:sz w:val="20"/>
                <w:szCs w:val="20"/>
                <w:lang w:val="en-US" w:eastAsia="zh-CN" w:bidi="ar"/>
              </w:rPr>
              <w:t>计</w:t>
            </w:r>
            <w:r>
              <w:rPr>
                <w:rStyle w:val="16"/>
                <w:rFonts w:hint="default" w:ascii="Times New Roman" w:hAnsi="Times New Roman" w:eastAsia="宋体" w:cs="Times New Roman"/>
                <w:sz w:val="20"/>
                <w:szCs w:val="20"/>
                <w:lang w:val="en-US" w:eastAsia="zh-CN" w:bidi="ar"/>
              </w:rPr>
              <w:t>2</w:t>
            </w:r>
            <w:r>
              <w:rPr>
                <w:rStyle w:val="15"/>
                <w:rFonts w:hint="default" w:ascii="Times New Roman" w:hAnsi="Times New Roman" w:cs="Times New Roman"/>
                <w:sz w:val="20"/>
                <w:szCs w:val="20"/>
                <w:lang w:val="en-US" w:eastAsia="zh-CN" w:bidi="ar"/>
              </w:rPr>
              <w:t>分，每超出</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扣</w:t>
            </w:r>
            <w:r>
              <w:rPr>
                <w:rStyle w:val="16"/>
                <w:rFonts w:hint="default" w:ascii="Times New Roman" w:hAnsi="Times New Roman" w:eastAsia="宋体" w:cs="Times New Roman"/>
                <w:sz w:val="20"/>
                <w:szCs w:val="20"/>
                <w:lang w:val="en-US" w:eastAsia="zh-CN" w:bidi="ar"/>
              </w:rPr>
              <w:t>0.2</w:t>
            </w:r>
            <w:r>
              <w:rPr>
                <w:rStyle w:val="15"/>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17"/>
                <w:rFonts w:hint="default" w:ascii="Times New Roman" w:hAnsi="Times New Roman" w:cs="Times New Roman"/>
                <w:color w:val="auto"/>
                <w:sz w:val="20"/>
                <w:szCs w:val="20"/>
                <w:lang w:val="en-US" w:eastAsia="zh-CN" w:bidi="ar"/>
              </w:rPr>
              <w:t>聘用人员实际使用数小于等于编办人社部门批复数，计</w:t>
            </w:r>
            <w:r>
              <w:rPr>
                <w:rStyle w:val="18"/>
                <w:rFonts w:hint="default" w:ascii="Times New Roman" w:hAnsi="Times New Roman" w:eastAsia="宋体" w:cs="Times New Roman"/>
                <w:color w:val="auto"/>
                <w:sz w:val="20"/>
                <w:szCs w:val="20"/>
                <w:lang w:val="en-US" w:eastAsia="zh-CN" w:bidi="ar"/>
              </w:rPr>
              <w:t>2</w:t>
            </w:r>
            <w:r>
              <w:rPr>
                <w:rStyle w:val="17"/>
                <w:rFonts w:hint="default" w:ascii="Times New Roman" w:hAnsi="Times New Roman" w:cs="Times New Roman"/>
                <w:color w:val="auto"/>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5"/>
                <w:rFonts w:hint="default" w:ascii="Times New Roman" w:hAnsi="Times New Roman" w:cs="Times New Roman"/>
                <w:sz w:val="20"/>
                <w:szCs w:val="20"/>
                <w:lang w:val="en-US" w:eastAsia="zh-CN" w:bidi="ar"/>
              </w:rPr>
            </w:pPr>
            <w:r>
              <w:rPr>
                <w:rStyle w:val="15"/>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w:t>
            </w:r>
            <w:r>
              <w:rPr>
                <w:rStyle w:val="16"/>
                <w:rFonts w:hint="default" w:ascii="Times New Roman" w:hAnsi="Times New Roman" w:eastAsia="宋体" w:cs="Times New Roman"/>
                <w:sz w:val="20"/>
                <w:szCs w:val="20"/>
                <w:lang w:val="en-US" w:eastAsia="zh-CN" w:bidi="ar"/>
              </w:rPr>
              <w:t>40</w:t>
            </w:r>
            <w:r>
              <w:rPr>
                <w:rStyle w:val="15"/>
                <w:rFonts w:hint="default" w:ascii="Times New Roman" w:hAnsi="Times New Roman" w:cs="Times New Roman"/>
                <w:sz w:val="20"/>
                <w:szCs w:val="20"/>
                <w:lang w:val="en-US" w:eastAsia="zh-CN" w:bidi="ar"/>
              </w:rPr>
              <w:t>分）</w:t>
            </w:r>
          </w:p>
        </w:tc>
        <w:tc>
          <w:tcPr>
            <w:tcW w:w="31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执行率</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①预算完成率</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（预算完成数</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预算数）</w:t>
            </w:r>
            <w:r>
              <w:rPr>
                <w:rStyle w:val="16"/>
                <w:rFonts w:hint="default" w:ascii="Times New Roman" w:hAnsi="Times New Roman" w:eastAsia="宋体" w:cs="Times New Roman"/>
                <w:sz w:val="20"/>
                <w:szCs w:val="20"/>
                <w:lang w:val="en-US" w:eastAsia="zh-CN" w:bidi="ar"/>
              </w:rPr>
              <w:t>×100%</w:t>
            </w:r>
            <w:r>
              <w:rPr>
                <w:rStyle w:val="15"/>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预算完成数：部门（单位）本年度实际完成的预算数。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预算数：财政部门批复的本年度部门（单位）预算数及追加的项目预算数。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②支付序时进度</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（序时执行数</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序时指标下达数）</w:t>
            </w:r>
            <w:r>
              <w:rPr>
                <w:rStyle w:val="16"/>
                <w:rFonts w:hint="default" w:ascii="Times New Roman" w:hAnsi="Times New Roman" w:eastAsia="宋体" w:cs="Times New Roman"/>
                <w:sz w:val="20"/>
                <w:szCs w:val="20"/>
                <w:lang w:val="en-US" w:eastAsia="zh-CN" w:bidi="ar"/>
              </w:rPr>
              <w:t>×100%</w:t>
            </w:r>
            <w:r>
              <w:rPr>
                <w:rStyle w:val="15"/>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序时执行数：指按时间节点部门预算项目实际支出数。序时指标下达数：按时间节点给部门预算下达的项目支出和追加的项目支出指标数之和。</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③部门预算项目支出调剂到</w:t>
            </w:r>
            <w:r>
              <w:rPr>
                <w:rStyle w:val="15"/>
                <w:rFonts w:hint="eastAsia" w:ascii="Times New Roman" w:hAnsi="Times New Roman" w:cs="Times New Roman"/>
                <w:sz w:val="20"/>
                <w:szCs w:val="20"/>
                <w:lang w:val="en-US" w:eastAsia="zh-CN" w:bidi="ar"/>
              </w:rPr>
              <w:t>单位</w:t>
            </w:r>
            <w:r>
              <w:rPr>
                <w:rStyle w:val="15"/>
                <w:rFonts w:hint="default" w:ascii="Times New Roman" w:hAnsi="Times New Roman" w:cs="Times New Roman"/>
                <w:sz w:val="20"/>
                <w:szCs w:val="20"/>
                <w:lang w:val="en-US" w:eastAsia="zh-CN" w:bidi="ar"/>
              </w:rPr>
              <w:t>。</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①全年预算完成率</w:t>
            </w:r>
            <w:r>
              <w:rPr>
                <w:rStyle w:val="16"/>
                <w:rFonts w:hint="default" w:ascii="Times New Roman" w:hAnsi="Times New Roman" w:eastAsia="宋体" w:cs="Times New Roman"/>
                <w:sz w:val="20"/>
                <w:szCs w:val="20"/>
                <w:lang w:val="en-US" w:eastAsia="zh-CN" w:bidi="ar"/>
              </w:rPr>
              <w:t>95%</w:t>
            </w:r>
            <w:r>
              <w:rPr>
                <w:rStyle w:val="15"/>
                <w:rFonts w:hint="default" w:ascii="Times New Roman" w:hAnsi="Times New Roman" w:cs="Times New Roman"/>
                <w:sz w:val="20"/>
                <w:szCs w:val="20"/>
                <w:lang w:val="en-US" w:eastAsia="zh-CN" w:bidi="ar"/>
              </w:rPr>
              <w:t>以上计</w:t>
            </w:r>
            <w:r>
              <w:rPr>
                <w:rStyle w:val="16"/>
                <w:rFonts w:hint="default" w:ascii="Times New Roman" w:hAnsi="Times New Roman" w:eastAsia="宋体" w:cs="Times New Roman"/>
                <w:sz w:val="20"/>
                <w:szCs w:val="20"/>
                <w:lang w:val="en-US" w:eastAsia="zh-CN" w:bidi="ar"/>
              </w:rPr>
              <w:t>2</w:t>
            </w:r>
            <w:r>
              <w:rPr>
                <w:rStyle w:val="15"/>
                <w:rFonts w:hint="default" w:ascii="Times New Roman" w:hAnsi="Times New Roman" w:cs="Times New Roman"/>
                <w:sz w:val="20"/>
                <w:szCs w:val="20"/>
                <w:lang w:val="en-US" w:eastAsia="zh-CN" w:bidi="ar"/>
              </w:rPr>
              <w:t>分，</w:t>
            </w:r>
            <w:r>
              <w:rPr>
                <w:rStyle w:val="16"/>
                <w:rFonts w:hint="default" w:ascii="Times New Roman" w:hAnsi="Times New Roman" w:eastAsia="宋体" w:cs="Times New Roman"/>
                <w:sz w:val="20"/>
                <w:szCs w:val="20"/>
                <w:lang w:val="en-US" w:eastAsia="zh-CN" w:bidi="ar"/>
              </w:rPr>
              <w:t>95-90%</w:t>
            </w:r>
            <w:r>
              <w:rPr>
                <w:rStyle w:val="15"/>
                <w:rFonts w:hint="default" w:ascii="Times New Roman" w:hAnsi="Times New Roman" w:cs="Times New Roman"/>
                <w:sz w:val="20"/>
                <w:szCs w:val="20"/>
                <w:lang w:val="en-US" w:eastAsia="zh-CN" w:bidi="ar"/>
              </w:rPr>
              <w:t>（含），计</w:t>
            </w:r>
            <w:r>
              <w:rPr>
                <w:rStyle w:val="16"/>
                <w:rFonts w:hint="default" w:ascii="Times New Roman" w:hAnsi="Times New Roman" w:eastAsia="宋体" w:cs="Times New Roman"/>
                <w:sz w:val="20"/>
                <w:szCs w:val="20"/>
                <w:lang w:val="en-US" w:eastAsia="zh-CN" w:bidi="ar"/>
              </w:rPr>
              <w:t>1.5</w:t>
            </w:r>
            <w:r>
              <w:rPr>
                <w:rStyle w:val="15"/>
                <w:rFonts w:hint="default" w:ascii="Times New Roman" w:hAnsi="Times New Roman" w:cs="Times New Roman"/>
                <w:sz w:val="20"/>
                <w:szCs w:val="20"/>
                <w:lang w:val="en-US" w:eastAsia="zh-CN" w:bidi="ar"/>
              </w:rPr>
              <w:t>分，</w:t>
            </w:r>
            <w:r>
              <w:rPr>
                <w:rStyle w:val="16"/>
                <w:rFonts w:hint="default" w:ascii="Times New Roman" w:hAnsi="Times New Roman" w:eastAsia="宋体" w:cs="Times New Roman"/>
                <w:sz w:val="20"/>
                <w:szCs w:val="20"/>
                <w:lang w:val="en-US" w:eastAsia="zh-CN" w:bidi="ar"/>
              </w:rPr>
              <w:t>90-80%</w:t>
            </w:r>
            <w:r>
              <w:rPr>
                <w:rStyle w:val="15"/>
                <w:rFonts w:hint="default" w:ascii="Times New Roman" w:hAnsi="Times New Roman" w:cs="Times New Roman"/>
                <w:sz w:val="20"/>
                <w:szCs w:val="20"/>
                <w:lang w:val="en-US" w:eastAsia="zh-CN" w:bidi="ar"/>
              </w:rPr>
              <w:t>（含），计</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分，小于</w:t>
            </w:r>
            <w:r>
              <w:rPr>
                <w:rStyle w:val="16"/>
                <w:rFonts w:hint="default" w:ascii="Times New Roman" w:hAnsi="Times New Roman" w:eastAsia="宋体" w:cs="Times New Roman"/>
                <w:sz w:val="20"/>
                <w:szCs w:val="20"/>
                <w:lang w:val="en-US" w:eastAsia="zh-CN" w:bidi="ar"/>
              </w:rPr>
              <w:t>80%</w:t>
            </w:r>
            <w:r>
              <w:rPr>
                <w:rStyle w:val="15"/>
                <w:rFonts w:hint="default" w:ascii="Times New Roman" w:hAnsi="Times New Roman" w:cs="Times New Roman"/>
                <w:sz w:val="20"/>
                <w:szCs w:val="20"/>
                <w:lang w:val="en-US" w:eastAsia="zh-CN" w:bidi="ar"/>
              </w:rPr>
              <w:t>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②一、二、三季度末支付序时进度分别达到</w:t>
            </w:r>
            <w:r>
              <w:rPr>
                <w:rStyle w:val="16"/>
                <w:rFonts w:hint="default" w:ascii="Times New Roman" w:hAnsi="Times New Roman" w:eastAsia="宋体" w:cs="Times New Roman"/>
                <w:sz w:val="20"/>
                <w:szCs w:val="20"/>
                <w:lang w:val="en-US" w:eastAsia="zh-CN" w:bidi="ar"/>
              </w:rPr>
              <w:t>20%</w:t>
            </w:r>
            <w:r>
              <w:rPr>
                <w:rStyle w:val="15"/>
                <w:rFonts w:hint="default" w:ascii="Times New Roman" w:hAnsi="Times New Roman" w:cs="Times New Roman"/>
                <w:sz w:val="20"/>
                <w:szCs w:val="20"/>
                <w:lang w:val="en-US" w:eastAsia="zh-CN" w:bidi="ar"/>
              </w:rPr>
              <w:t>、</w:t>
            </w:r>
            <w:r>
              <w:rPr>
                <w:rStyle w:val="16"/>
                <w:rFonts w:hint="default" w:ascii="Times New Roman" w:hAnsi="Times New Roman" w:eastAsia="宋体" w:cs="Times New Roman"/>
                <w:sz w:val="20"/>
                <w:szCs w:val="20"/>
                <w:lang w:val="en-US" w:eastAsia="zh-CN" w:bidi="ar"/>
              </w:rPr>
              <w:t>50%</w:t>
            </w:r>
            <w:r>
              <w:rPr>
                <w:rStyle w:val="15"/>
                <w:rFonts w:hint="default" w:ascii="Times New Roman" w:hAnsi="Times New Roman" w:cs="Times New Roman"/>
                <w:sz w:val="20"/>
                <w:szCs w:val="20"/>
                <w:lang w:val="en-US" w:eastAsia="zh-CN" w:bidi="ar"/>
              </w:rPr>
              <w:t>、</w:t>
            </w:r>
            <w:r>
              <w:rPr>
                <w:rStyle w:val="16"/>
                <w:rFonts w:hint="default" w:ascii="Times New Roman" w:hAnsi="Times New Roman" w:eastAsia="宋体" w:cs="Times New Roman"/>
                <w:sz w:val="20"/>
                <w:szCs w:val="20"/>
                <w:lang w:val="en-US" w:eastAsia="zh-CN" w:bidi="ar"/>
              </w:rPr>
              <w:t>80%</w:t>
            </w:r>
            <w:r>
              <w:rPr>
                <w:rStyle w:val="15"/>
                <w:rFonts w:hint="default" w:ascii="Times New Roman" w:hAnsi="Times New Roman" w:cs="Times New Roman"/>
                <w:sz w:val="20"/>
                <w:szCs w:val="20"/>
                <w:lang w:val="en-US" w:eastAsia="zh-CN" w:bidi="ar"/>
              </w:rPr>
              <w:t>（含）以上计</w:t>
            </w:r>
            <w:r>
              <w:rPr>
                <w:rStyle w:val="16"/>
                <w:rFonts w:hint="default" w:ascii="Times New Roman" w:hAnsi="Times New Roman" w:eastAsia="宋体" w:cs="Times New Roman"/>
                <w:sz w:val="20"/>
                <w:szCs w:val="20"/>
                <w:lang w:val="en-US" w:eastAsia="zh-CN" w:bidi="ar"/>
              </w:rPr>
              <w:t>2</w:t>
            </w:r>
            <w:r>
              <w:rPr>
                <w:rStyle w:val="15"/>
                <w:rFonts w:hint="default" w:ascii="Times New Roman" w:hAnsi="Times New Roman" w:cs="Times New Roman"/>
                <w:sz w:val="20"/>
                <w:szCs w:val="20"/>
                <w:lang w:val="en-US" w:eastAsia="zh-CN" w:bidi="ar"/>
              </w:rPr>
              <w:t>分，每低</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个百分点扣</w:t>
            </w:r>
            <w:r>
              <w:rPr>
                <w:rStyle w:val="16"/>
                <w:rFonts w:hint="default" w:ascii="Times New Roman" w:hAnsi="Times New Roman" w:eastAsia="宋体" w:cs="Times New Roman"/>
                <w:sz w:val="20"/>
                <w:szCs w:val="20"/>
                <w:lang w:val="en-US" w:eastAsia="zh-CN" w:bidi="ar"/>
              </w:rPr>
              <w:t>0.2</w:t>
            </w:r>
            <w:r>
              <w:rPr>
                <w:rStyle w:val="15"/>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③部门预算项目支出调剂到</w:t>
            </w:r>
            <w:r>
              <w:rPr>
                <w:rStyle w:val="15"/>
                <w:rFonts w:hint="eastAsia" w:ascii="Times New Roman" w:hAnsi="Times New Roman" w:cs="Times New Roman"/>
                <w:sz w:val="20"/>
                <w:szCs w:val="20"/>
                <w:lang w:val="en-US" w:eastAsia="zh-CN" w:bidi="ar"/>
              </w:rPr>
              <w:t>单位</w:t>
            </w:r>
            <w:r>
              <w:rPr>
                <w:rStyle w:val="15"/>
                <w:rFonts w:hint="default" w:ascii="Times New Roman" w:hAnsi="Times New Roman" w:cs="Times New Roman"/>
                <w:sz w:val="20"/>
                <w:szCs w:val="20"/>
                <w:lang w:val="en-US" w:eastAsia="zh-CN" w:bidi="ar"/>
              </w:rPr>
              <w:t>小于等于项目支出2%，计2分；大于2%，不计分；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15"/>
                <w:rFonts w:hint="default" w:ascii="Times New Roman" w:hAnsi="Times New Roman" w:cs="Times New Roman"/>
                <w:sz w:val="20"/>
                <w:szCs w:val="20"/>
                <w:lang w:val="en-US" w:eastAsia="zh-CN" w:bidi="ar"/>
              </w:rPr>
            </w:pPr>
            <w:r>
              <w:rPr>
                <w:rStyle w:val="15"/>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w:t>
            </w:r>
            <w:r>
              <w:rPr>
                <w:rStyle w:val="16"/>
                <w:rFonts w:hint="default" w:ascii="Times New Roman" w:hAnsi="Times New Roman" w:eastAsia="宋体" w:cs="Times New Roman"/>
                <w:sz w:val="20"/>
                <w:szCs w:val="20"/>
                <w:lang w:val="en-US" w:eastAsia="zh-CN" w:bidi="ar"/>
              </w:rPr>
              <w:t>40</w:t>
            </w:r>
            <w:r>
              <w:rPr>
                <w:rStyle w:val="15"/>
                <w:rFonts w:hint="default" w:ascii="Times New Roman" w:hAnsi="Times New Roman" w:cs="Times New Roman"/>
                <w:sz w:val="20"/>
                <w:szCs w:val="20"/>
                <w:lang w:val="en-US" w:eastAsia="zh-CN" w:bidi="ar"/>
              </w:rPr>
              <w:t>分）</w:t>
            </w:r>
          </w:p>
        </w:tc>
        <w:tc>
          <w:tcPr>
            <w:tcW w:w="31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调整率</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预算调整率=（预算调整数/预算数）×100%。</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预算调整率&lt;5%，计3分；5-10%（含），计1.5分；大于10%不得分。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5"/>
                <w:rFonts w:hint="default" w:ascii="Times New Roman" w:hAnsi="Times New Roman" w:cs="Times New Roman"/>
                <w:sz w:val="20"/>
                <w:szCs w:val="20"/>
                <w:lang w:val="en-US" w:eastAsia="zh-CN" w:bidi="ar"/>
              </w:rPr>
            </w:pPr>
            <w:r>
              <w:rPr>
                <w:rStyle w:val="15"/>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1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根据</w:t>
            </w:r>
            <w:r>
              <w:rPr>
                <w:rStyle w:val="15"/>
                <w:rFonts w:hint="eastAsia" w:ascii="Times New Roman" w:hAnsi="Times New Roman" w:cs="Times New Roman"/>
                <w:sz w:val="20"/>
                <w:szCs w:val="20"/>
                <w:lang w:val="en-US" w:eastAsia="zh-CN" w:bidi="ar"/>
              </w:rPr>
              <w:t>区</w:t>
            </w:r>
            <w:r>
              <w:rPr>
                <w:rStyle w:val="15"/>
                <w:rFonts w:hint="default" w:ascii="Times New Roman" w:hAnsi="Times New Roman" w:cs="Times New Roman"/>
                <w:sz w:val="20"/>
                <w:szCs w:val="20"/>
                <w:lang w:val="en-US" w:eastAsia="zh-CN" w:bidi="ar"/>
              </w:rPr>
              <w:t>政府文件规定，预算单位年度安排的</w:t>
            </w:r>
            <w:r>
              <w:rPr>
                <w:rStyle w:val="15"/>
                <w:rFonts w:hint="eastAsia" w:ascii="Times New Roman" w:hAnsi="Times New Roman" w:cs="Times New Roman"/>
                <w:sz w:val="20"/>
                <w:szCs w:val="20"/>
                <w:lang w:val="en-US" w:eastAsia="zh-CN" w:bidi="ar"/>
              </w:rPr>
              <w:t>区</w:t>
            </w:r>
            <w:r>
              <w:rPr>
                <w:rStyle w:val="15"/>
                <w:rFonts w:hint="default" w:ascii="Times New Roman" w:hAnsi="Times New Roman" w:cs="Times New Roman"/>
                <w:sz w:val="20"/>
                <w:szCs w:val="20"/>
                <w:lang w:val="en-US" w:eastAsia="zh-CN" w:bidi="ar"/>
              </w:rPr>
              <w:t>级预算资金不能结转。</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15"/>
                <w:rFonts w:hint="default" w:ascii="Times New Roman" w:hAnsi="Times New Roman" w:cs="Times New Roman"/>
                <w:sz w:val="20"/>
                <w:szCs w:val="20"/>
                <w:lang w:val="en-US" w:eastAsia="zh-CN" w:bidi="ar"/>
              </w:rPr>
            </w:pPr>
            <w:r>
              <w:rPr>
                <w:rStyle w:val="15"/>
                <w:rFonts w:hint="eastAsia" w:ascii="Times New Roman" w:hAnsi="Times New Roman" w:cs="Times New Roman"/>
                <w:sz w:val="20"/>
                <w:szCs w:val="20"/>
                <w:lang w:val="en-US" w:eastAsia="zh-CN" w:bidi="ar"/>
              </w:rPr>
              <w:t>区</w:t>
            </w:r>
            <w:r>
              <w:rPr>
                <w:rStyle w:val="15"/>
                <w:rFonts w:hint="default" w:ascii="Times New Roman" w:hAnsi="Times New Roman" w:cs="Times New Roman"/>
                <w:sz w:val="20"/>
                <w:szCs w:val="20"/>
                <w:lang w:val="en-US" w:eastAsia="zh-CN" w:bidi="ar"/>
              </w:rPr>
              <w:t>本级资金无结转，计2分；有结转，不计分；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1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5"/>
                <w:rFonts w:hint="default" w:ascii="Times New Roman" w:hAnsi="Times New Roman" w:cs="Times New Roman"/>
                <w:sz w:val="20"/>
                <w:szCs w:val="20"/>
                <w:lang w:val="en-US" w:eastAsia="zh-CN" w:bidi="ar"/>
              </w:rPr>
            </w:pP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6"/>
                <w:rFonts w:hint="default" w:ascii="Times New Roman" w:hAnsi="Times New Roman" w:eastAsia="宋体" w:cs="Times New Roman"/>
                <w:sz w:val="20"/>
                <w:szCs w:val="20"/>
                <w:lang w:val="en-US" w:eastAsia="zh-CN" w:bidi="ar"/>
              </w:rPr>
            </w:pPr>
            <w:r>
              <w:rPr>
                <w:rStyle w:val="15"/>
                <w:rFonts w:hint="default" w:ascii="Times New Roman" w:hAnsi="Times New Roman" w:cs="Times New Roman"/>
                <w:sz w:val="20"/>
                <w:szCs w:val="20"/>
                <w:lang w:val="en-US" w:eastAsia="zh-CN" w:bidi="ar"/>
              </w:rPr>
              <w:t>经费</w:t>
            </w:r>
            <w:r>
              <w:rPr>
                <w:rStyle w:val="16"/>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控制率</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三公经费</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控制率</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三公经费</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实际支出数</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三公经费</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预算安排数）</w:t>
            </w:r>
            <w:r>
              <w:rPr>
                <w:rStyle w:val="16"/>
                <w:rFonts w:hint="default" w:ascii="Times New Roman" w:hAnsi="Times New Roman" w:eastAsia="宋体" w:cs="Times New Roman"/>
                <w:sz w:val="20"/>
                <w:szCs w:val="20"/>
                <w:lang w:val="en-US" w:eastAsia="zh-CN" w:bidi="ar"/>
              </w:rPr>
              <w:t>×100%</w:t>
            </w:r>
            <w:r>
              <w:rPr>
                <w:rStyle w:val="15"/>
                <w:rFonts w:hint="default" w:ascii="Times New Roman" w:hAnsi="Times New Roman" w:cs="Times New Roman"/>
                <w:sz w:val="20"/>
                <w:szCs w:val="20"/>
                <w:lang w:val="en-US" w:eastAsia="zh-CN" w:bidi="ar"/>
              </w:rPr>
              <w:t>。不超当年预算，不超上年决算。</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三公经费</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控制率</w:t>
            </w:r>
            <w:r>
              <w:rPr>
                <w:rStyle w:val="16"/>
                <w:rFonts w:hint="default" w:ascii="Times New Roman" w:hAnsi="Times New Roman" w:eastAsia="宋体" w:cs="Times New Roman"/>
                <w:sz w:val="20"/>
                <w:szCs w:val="20"/>
                <w:lang w:val="en-US" w:eastAsia="zh-CN" w:bidi="ar"/>
              </w:rPr>
              <w:t>100%</w:t>
            </w:r>
            <w:r>
              <w:rPr>
                <w:rStyle w:val="15"/>
                <w:rFonts w:hint="default" w:ascii="Times New Roman" w:hAnsi="Times New Roman" w:cs="Times New Roman"/>
                <w:sz w:val="20"/>
                <w:szCs w:val="20"/>
                <w:lang w:val="en-US" w:eastAsia="zh-CN" w:bidi="ar"/>
              </w:rPr>
              <w:t>以下（含）计</w:t>
            </w:r>
            <w:r>
              <w:rPr>
                <w:rStyle w:val="16"/>
                <w:rFonts w:hint="default" w:ascii="Times New Roman" w:hAnsi="Times New Roman" w:eastAsia="宋体" w:cs="Times New Roman"/>
                <w:sz w:val="20"/>
                <w:szCs w:val="20"/>
                <w:lang w:val="en-US" w:eastAsia="zh-CN" w:bidi="ar"/>
              </w:rPr>
              <w:t>2</w:t>
            </w:r>
            <w:r>
              <w:rPr>
                <w:rStyle w:val="15"/>
                <w:rFonts w:hint="default" w:ascii="Times New Roman" w:hAnsi="Times New Roman" w:cs="Times New Roman"/>
                <w:sz w:val="20"/>
                <w:szCs w:val="20"/>
                <w:lang w:val="en-US" w:eastAsia="zh-CN" w:bidi="ar"/>
              </w:rPr>
              <w:t>分，每超出</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扣</w:t>
            </w:r>
            <w:r>
              <w:rPr>
                <w:rStyle w:val="16"/>
                <w:rFonts w:hint="default" w:ascii="Times New Roman" w:hAnsi="Times New Roman" w:eastAsia="宋体" w:cs="Times New Roman"/>
                <w:sz w:val="20"/>
                <w:szCs w:val="20"/>
                <w:lang w:val="en-US" w:eastAsia="zh-CN" w:bidi="ar"/>
              </w:rPr>
              <w:t>0.15</w:t>
            </w:r>
            <w:r>
              <w:rPr>
                <w:rStyle w:val="15"/>
                <w:rFonts w:hint="default" w:ascii="Times New Roman" w:hAnsi="Times New Roman" w:cs="Times New Roman"/>
                <w:sz w:val="20"/>
                <w:szCs w:val="20"/>
                <w:lang w:val="en-US" w:eastAsia="zh-CN" w:bidi="ar"/>
              </w:rPr>
              <w:t>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6"/>
                <w:rFonts w:hint="default" w:ascii="Times New Roman" w:hAnsi="Times New Roman" w:eastAsia="宋体" w:cs="Times New Roman"/>
                <w:sz w:val="20"/>
                <w:szCs w:val="20"/>
                <w:lang w:val="en-US" w:eastAsia="zh-CN" w:bidi="ar"/>
              </w:rPr>
            </w:pPr>
            <w:r>
              <w:rPr>
                <w:rStyle w:val="16"/>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1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政府采购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执行率和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规范性</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政府采购执行率</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（实际政府采购金额</w:t>
            </w:r>
            <w:r>
              <w:rPr>
                <w:rStyle w:val="16"/>
                <w:rFonts w:hint="default" w:ascii="Times New Roman" w:hAnsi="Times New Roman" w:eastAsia="宋体" w:cs="Times New Roman"/>
                <w:sz w:val="20"/>
                <w:szCs w:val="20"/>
                <w:lang w:val="en-US" w:eastAsia="zh-CN" w:bidi="ar"/>
              </w:rPr>
              <w:t>/</w:t>
            </w:r>
            <w:r>
              <w:rPr>
                <w:rStyle w:val="15"/>
                <w:rFonts w:hint="default" w:ascii="Times New Roman" w:hAnsi="Times New Roman" w:cs="Times New Roman"/>
                <w:sz w:val="20"/>
                <w:szCs w:val="20"/>
                <w:lang w:val="en-US" w:eastAsia="zh-CN" w:bidi="ar"/>
              </w:rPr>
              <w:t>政府采购预算数）</w:t>
            </w:r>
            <w:r>
              <w:rPr>
                <w:rStyle w:val="16"/>
                <w:rFonts w:hint="default" w:ascii="Times New Roman" w:hAnsi="Times New Roman" w:eastAsia="宋体" w:cs="Times New Roman"/>
                <w:sz w:val="20"/>
                <w:szCs w:val="20"/>
                <w:lang w:val="en-US" w:eastAsia="zh-CN" w:bidi="ar"/>
              </w:rPr>
              <w:t>×100%</w:t>
            </w:r>
            <w:r>
              <w:rPr>
                <w:rStyle w:val="15"/>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15"/>
                <w:rFonts w:hint="default" w:ascii="Times New Roman" w:hAnsi="Times New Roman" w:cs="Times New Roman"/>
                <w:spacing w:val="-6"/>
                <w:sz w:val="20"/>
                <w:szCs w:val="20"/>
                <w:lang w:val="en-US" w:eastAsia="zh-CN" w:bidi="ar"/>
              </w:rPr>
            </w:pPr>
            <w:r>
              <w:rPr>
                <w:rStyle w:val="15"/>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预算单位严格执行</w:t>
            </w:r>
            <w:bookmarkStart w:id="0" w:name="_GoBack"/>
            <w:bookmarkEnd w:id="0"/>
            <w:r>
              <w:rPr>
                <w:rStyle w:val="15"/>
                <w:rFonts w:hint="eastAsia" w:cs="Times New Roman"/>
                <w:sz w:val="20"/>
                <w:szCs w:val="20"/>
                <w:lang w:val="en-US" w:eastAsia="zh-CN" w:bidi="ar"/>
              </w:rPr>
              <w:t>《中华人民共和国政府采购法》</w:t>
            </w:r>
            <w:r>
              <w:rPr>
                <w:rStyle w:val="15"/>
                <w:rFonts w:hint="default" w:ascii="Times New Roman" w:hAnsi="Times New Roman" w:cs="Times New Roman"/>
                <w:sz w:val="20"/>
                <w:szCs w:val="20"/>
                <w:lang w:val="en-US" w:eastAsia="zh-CN" w:bidi="ar"/>
              </w:rPr>
              <w:t>，无规避政府采购或化整为零进行政府采购的行为。所有项目必须依法采购，履行验收手续。</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政府采购执行率</w:t>
            </w:r>
            <w:r>
              <w:rPr>
                <w:rStyle w:val="16"/>
                <w:rFonts w:hint="default" w:ascii="Times New Roman" w:hAnsi="Times New Roman" w:eastAsia="宋体" w:cs="Times New Roman"/>
                <w:sz w:val="20"/>
                <w:szCs w:val="20"/>
                <w:lang w:val="en-US" w:eastAsia="zh-CN" w:bidi="ar"/>
              </w:rPr>
              <w:t>100%</w:t>
            </w:r>
            <w:r>
              <w:rPr>
                <w:rStyle w:val="15"/>
                <w:rFonts w:hint="default" w:ascii="Times New Roman" w:hAnsi="Times New Roman" w:cs="Times New Roman"/>
                <w:sz w:val="20"/>
                <w:szCs w:val="20"/>
                <w:lang w:val="en-US" w:eastAsia="zh-CN" w:bidi="ar"/>
              </w:rPr>
              <w:t>计</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分，每超过（降低）</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扣</w:t>
            </w:r>
            <w:r>
              <w:rPr>
                <w:rStyle w:val="16"/>
                <w:rFonts w:hint="default" w:ascii="Times New Roman" w:hAnsi="Times New Roman" w:eastAsia="宋体" w:cs="Times New Roman"/>
                <w:sz w:val="20"/>
                <w:szCs w:val="20"/>
                <w:lang w:val="en-US" w:eastAsia="zh-CN" w:bidi="ar"/>
              </w:rPr>
              <w:t>0.1</w:t>
            </w:r>
            <w:r>
              <w:rPr>
                <w:rStyle w:val="15"/>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5"/>
                <w:rFonts w:hint="default" w:ascii="Times New Roman" w:hAnsi="Times New Roman" w:cs="Times New Roman"/>
                <w:sz w:val="20"/>
                <w:szCs w:val="20"/>
                <w:lang w:val="en-US" w:eastAsia="zh-CN" w:bidi="ar"/>
              </w:rPr>
            </w:pPr>
            <w:r>
              <w:rPr>
                <w:rStyle w:val="15"/>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1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w:t>
            </w:r>
            <w:r>
              <w:rPr>
                <w:rStyle w:val="16"/>
                <w:rFonts w:hint="default" w:ascii="Times New Roman" w:hAnsi="Times New Roman" w:eastAsia="宋体" w:cs="Times New Roman"/>
                <w:sz w:val="20"/>
                <w:szCs w:val="20"/>
                <w:lang w:val="en-US" w:eastAsia="zh-CN" w:bidi="ar"/>
              </w:rPr>
              <w:t>20</w:t>
            </w:r>
            <w:r>
              <w:rPr>
                <w:rStyle w:val="15"/>
                <w:rFonts w:hint="default" w:ascii="Times New Roman" w:hAnsi="Times New Roman" w:cs="Times New Roman"/>
                <w:sz w:val="20"/>
                <w:szCs w:val="20"/>
                <w:lang w:val="en-US" w:eastAsia="zh-CN" w:bidi="ar"/>
              </w:rPr>
              <w:t>分）</w:t>
            </w: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管理制度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健全性</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①部门（单位）内控制度、内部财务管理制度和会计核算制度是否健全；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②相关管理制度是否合法、合规、完整；</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③相关管理制度是否得到有效执行。</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①部门（单位）内控制度、内部财务管理制度和会计核算制度健全，计</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②管理制度合法、合规、完整，计</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③管理制度得到有效执行，计</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分，</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例不符合扣</w:t>
            </w:r>
            <w:r>
              <w:rPr>
                <w:rStyle w:val="16"/>
                <w:rFonts w:hint="default" w:ascii="Times New Roman" w:hAnsi="Times New Roman" w:eastAsia="宋体" w:cs="Times New Roman"/>
                <w:sz w:val="20"/>
                <w:szCs w:val="20"/>
                <w:lang w:val="en-US" w:eastAsia="zh-CN" w:bidi="ar"/>
              </w:rPr>
              <w:t>0.2</w:t>
            </w:r>
            <w:r>
              <w:rPr>
                <w:rStyle w:val="15"/>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5"/>
                <w:rFonts w:hint="default" w:ascii="Times New Roman" w:hAnsi="Times New Roman" w:cs="Times New Roman"/>
                <w:sz w:val="20"/>
                <w:szCs w:val="20"/>
                <w:lang w:val="en-US" w:eastAsia="zh-CN" w:bidi="ar"/>
              </w:rPr>
            </w:pPr>
            <w:r>
              <w:rPr>
                <w:rStyle w:val="15"/>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1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资金使用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合规性</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①是否符合国家财经法规和财务管理制度以及有关专项资金管理办法的规定；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②资金的支付是否有完整的审批程序和手续；</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③重大项目开支和大额资金使用是否经单位党组集体研究决策；</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④是否符合项目预算批复或合同规定的用途；</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⑤是否存在截留、挤占、挪用、虚列支出等情况；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⑥是否存在重复申报项目、虚报冒领资金。</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①符合国家财经法规和财务管理制度以及有关专项资金管理办法的规定，计</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分，</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例不符合扣</w:t>
            </w:r>
            <w:r>
              <w:rPr>
                <w:rStyle w:val="16"/>
                <w:rFonts w:hint="default" w:ascii="Times New Roman" w:hAnsi="Times New Roman" w:eastAsia="宋体" w:cs="Times New Roman"/>
                <w:sz w:val="20"/>
                <w:szCs w:val="20"/>
                <w:lang w:val="en-US" w:eastAsia="zh-CN" w:bidi="ar"/>
              </w:rPr>
              <w:t>0.2</w:t>
            </w:r>
            <w:r>
              <w:rPr>
                <w:rStyle w:val="15"/>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②资金的支付有完整的审批程序和手续，计</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分，</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例不符合扣</w:t>
            </w:r>
            <w:r>
              <w:rPr>
                <w:rStyle w:val="16"/>
                <w:rFonts w:hint="default" w:ascii="Times New Roman" w:hAnsi="Times New Roman" w:eastAsia="宋体" w:cs="Times New Roman"/>
                <w:sz w:val="20"/>
                <w:szCs w:val="20"/>
                <w:lang w:val="en-US" w:eastAsia="zh-CN" w:bidi="ar"/>
              </w:rPr>
              <w:t>0.2</w:t>
            </w:r>
            <w:r>
              <w:rPr>
                <w:rStyle w:val="15"/>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③重大项目开支和大额资金使用经过单位党组集体研究决策，计</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分，</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例不符合扣</w:t>
            </w:r>
            <w:r>
              <w:rPr>
                <w:rStyle w:val="16"/>
                <w:rFonts w:hint="default" w:ascii="Times New Roman" w:hAnsi="Times New Roman" w:eastAsia="宋体" w:cs="Times New Roman"/>
                <w:sz w:val="20"/>
                <w:szCs w:val="20"/>
                <w:lang w:val="en-US" w:eastAsia="zh-CN" w:bidi="ar"/>
              </w:rPr>
              <w:t>0.2</w:t>
            </w:r>
            <w:r>
              <w:rPr>
                <w:rStyle w:val="15"/>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④符合项目预算批复或合同规定的用途，计</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分，</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例不符合扣</w:t>
            </w:r>
            <w:r>
              <w:rPr>
                <w:rStyle w:val="16"/>
                <w:rFonts w:hint="default" w:ascii="Times New Roman" w:hAnsi="Times New Roman" w:eastAsia="宋体" w:cs="Times New Roman"/>
                <w:sz w:val="20"/>
                <w:szCs w:val="20"/>
                <w:lang w:val="en-US" w:eastAsia="zh-CN" w:bidi="ar"/>
              </w:rPr>
              <w:t>0.2</w:t>
            </w:r>
            <w:r>
              <w:rPr>
                <w:rStyle w:val="15"/>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⑤不存在截留、挤占、挪用、虚列支出等情况，计</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分，</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例不符合本指标</w:t>
            </w:r>
            <w:r>
              <w:rPr>
                <w:rStyle w:val="16"/>
                <w:rFonts w:hint="default" w:ascii="Times New Roman" w:hAnsi="Times New Roman" w:eastAsia="宋体" w:cs="Times New Roman"/>
                <w:sz w:val="20"/>
                <w:szCs w:val="20"/>
                <w:lang w:val="en-US" w:eastAsia="zh-CN" w:bidi="ar"/>
              </w:rPr>
              <w:t>6</w:t>
            </w:r>
            <w:r>
              <w:rPr>
                <w:rStyle w:val="15"/>
                <w:rFonts w:hint="default" w:ascii="Times New Roman" w:hAnsi="Times New Roman" w:cs="Times New Roman"/>
                <w:sz w:val="20"/>
                <w:szCs w:val="20"/>
                <w:lang w:val="en-US" w:eastAsia="zh-CN" w:bidi="ar"/>
              </w:rPr>
              <w:t>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15"/>
                <w:rFonts w:hint="default" w:ascii="Times New Roman" w:hAnsi="Times New Roman" w:cs="Times New Roman"/>
                <w:spacing w:val="-6"/>
                <w:sz w:val="20"/>
                <w:szCs w:val="20"/>
                <w:lang w:val="en-US" w:eastAsia="zh-CN" w:bidi="ar"/>
              </w:rPr>
            </w:pPr>
            <w:r>
              <w:rPr>
                <w:rStyle w:val="15"/>
                <w:rFonts w:hint="default" w:ascii="Times New Roman" w:hAnsi="Times New Roman" w:cs="Times New Roman"/>
                <w:sz w:val="20"/>
                <w:szCs w:val="20"/>
                <w:lang w:val="en-US" w:eastAsia="zh-CN" w:bidi="ar"/>
              </w:rPr>
              <w:t>⑥</w:t>
            </w:r>
            <w:r>
              <w:rPr>
                <w:rStyle w:val="15"/>
                <w:rFonts w:hint="default" w:ascii="Times New Roman" w:hAnsi="Times New Roman" w:cs="Times New Roman"/>
                <w:spacing w:val="-6"/>
                <w:sz w:val="20"/>
                <w:szCs w:val="20"/>
                <w:lang w:val="en-US" w:eastAsia="zh-CN" w:bidi="ar"/>
              </w:rPr>
              <w:t>不存在重复申报项目、虚报冒领资金，计</w:t>
            </w:r>
            <w:r>
              <w:rPr>
                <w:rStyle w:val="16"/>
                <w:rFonts w:hint="default" w:ascii="Times New Roman" w:hAnsi="Times New Roman" w:eastAsia="宋体" w:cs="Times New Roman"/>
                <w:spacing w:val="-6"/>
                <w:sz w:val="20"/>
                <w:szCs w:val="20"/>
                <w:lang w:val="en-US" w:eastAsia="zh-CN" w:bidi="ar"/>
              </w:rPr>
              <w:t>1</w:t>
            </w:r>
            <w:r>
              <w:rPr>
                <w:rStyle w:val="15"/>
                <w:rFonts w:hint="default" w:ascii="Times New Roman" w:hAnsi="Times New Roman" w:cs="Times New Roman"/>
                <w:spacing w:val="-6"/>
                <w:sz w:val="20"/>
                <w:szCs w:val="20"/>
                <w:lang w:val="en-US" w:eastAsia="zh-CN" w:bidi="ar"/>
              </w:rPr>
              <w:t>分，</w:t>
            </w:r>
            <w:r>
              <w:rPr>
                <w:rStyle w:val="16"/>
                <w:rFonts w:hint="default" w:ascii="Times New Roman" w:hAnsi="Times New Roman" w:eastAsia="宋体" w:cs="Times New Roman"/>
                <w:spacing w:val="-6"/>
                <w:sz w:val="20"/>
                <w:szCs w:val="20"/>
                <w:lang w:val="en-US" w:eastAsia="zh-CN" w:bidi="ar"/>
              </w:rPr>
              <w:t>1</w:t>
            </w:r>
            <w:r>
              <w:rPr>
                <w:rStyle w:val="15"/>
                <w:rFonts w:hint="default" w:ascii="Times New Roman" w:hAnsi="Times New Roman" w:cs="Times New Roman"/>
                <w:spacing w:val="-6"/>
                <w:sz w:val="20"/>
                <w:szCs w:val="20"/>
                <w:lang w:val="en-US" w:eastAsia="zh-CN" w:bidi="ar"/>
              </w:rPr>
              <w:t>例不符合本指标6分全扣；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⑦违规情况特别严重的，重点绩效评价等级定为“差”。</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5"/>
                <w:rFonts w:hint="default" w:ascii="Times New Roman" w:hAnsi="Times New Roman" w:cs="Times New Roman"/>
                <w:sz w:val="20"/>
                <w:szCs w:val="20"/>
                <w:lang w:val="en-US" w:eastAsia="zh-CN" w:bidi="ar"/>
              </w:rPr>
            </w:pPr>
            <w:r>
              <w:rPr>
                <w:rStyle w:val="15"/>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w:t>
            </w:r>
            <w:r>
              <w:rPr>
                <w:rStyle w:val="16"/>
                <w:rFonts w:hint="default" w:ascii="Times New Roman" w:hAnsi="Times New Roman" w:eastAsia="宋体" w:cs="Times New Roman"/>
                <w:sz w:val="20"/>
                <w:szCs w:val="20"/>
                <w:lang w:val="en-US" w:eastAsia="zh-CN" w:bidi="ar"/>
              </w:rPr>
              <w:t>40</w:t>
            </w:r>
            <w:r>
              <w:rPr>
                <w:rStyle w:val="15"/>
                <w:rFonts w:hint="default" w:ascii="Times New Roman" w:hAnsi="Times New Roman" w:cs="Times New Roman"/>
                <w:sz w:val="20"/>
                <w:szCs w:val="20"/>
                <w:lang w:val="en-US" w:eastAsia="zh-CN" w:bidi="ar"/>
              </w:rPr>
              <w:t>分）</w:t>
            </w:r>
          </w:p>
        </w:tc>
        <w:tc>
          <w:tcPr>
            <w:tcW w:w="31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15"/>
                <w:rFonts w:hint="default" w:ascii="Times New Roman" w:hAnsi="Times New Roman" w:cs="Times New Roman"/>
                <w:sz w:val="20"/>
                <w:szCs w:val="20"/>
                <w:lang w:val="en-US" w:eastAsia="zh-CN" w:bidi="ar"/>
              </w:rPr>
              <w:t>（</w:t>
            </w:r>
            <w:r>
              <w:rPr>
                <w:rStyle w:val="16"/>
                <w:rFonts w:hint="default" w:ascii="Times New Roman" w:hAnsi="Times New Roman" w:eastAsia="宋体" w:cs="Times New Roman"/>
                <w:sz w:val="20"/>
                <w:szCs w:val="20"/>
                <w:lang w:val="en-US" w:eastAsia="zh-CN" w:bidi="ar"/>
              </w:rPr>
              <w:t>20</w:t>
            </w:r>
            <w:r>
              <w:rPr>
                <w:rStyle w:val="15"/>
                <w:rFonts w:hint="default" w:ascii="Times New Roman" w:hAnsi="Times New Roman" w:cs="Times New Roman"/>
                <w:sz w:val="20"/>
                <w:szCs w:val="20"/>
                <w:lang w:val="en-US" w:eastAsia="zh-CN" w:bidi="ar"/>
              </w:rPr>
              <w:t>分）</w:t>
            </w: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①预算单位按规定及时、准确、完整的公开预决算和绩效管理信息；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②基础数据信息和会计信息资料真实、准确、完整；</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①、②各计</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分，否则，酌情扣分；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1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绩效自评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管理情况</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根据</w:t>
            </w:r>
            <w:r>
              <w:rPr>
                <w:rStyle w:val="15"/>
                <w:rFonts w:hint="eastAsia" w:cs="Times New Roman"/>
                <w:sz w:val="20"/>
                <w:szCs w:val="20"/>
                <w:highlight w:val="none"/>
                <w:lang w:val="en-US" w:eastAsia="zh-CN" w:bidi="ar"/>
              </w:rPr>
              <w:t>区</w:t>
            </w:r>
            <w:r>
              <w:rPr>
                <w:rStyle w:val="15"/>
                <w:rFonts w:hint="default" w:ascii="Times New Roman" w:hAnsi="Times New Roman" w:cs="Times New Roman"/>
                <w:sz w:val="20"/>
                <w:szCs w:val="20"/>
                <w:highlight w:val="none"/>
                <w:lang w:val="en-US" w:eastAsia="zh-CN" w:bidi="ar"/>
              </w:rPr>
              <w:t>财政局2</w:t>
            </w:r>
            <w:r>
              <w:rPr>
                <w:rStyle w:val="15"/>
                <w:rFonts w:hint="default" w:ascii="Times New Roman" w:hAnsi="Times New Roman" w:cs="Times New Roman"/>
                <w:sz w:val="20"/>
                <w:szCs w:val="20"/>
                <w:lang w:val="en-US" w:eastAsia="zh-CN" w:bidi="ar"/>
              </w:rPr>
              <w:t>020年考核结果，评审为优，计</w:t>
            </w:r>
            <w:r>
              <w:rPr>
                <w:rStyle w:val="16"/>
                <w:rFonts w:hint="default" w:ascii="Times New Roman" w:hAnsi="Times New Roman" w:eastAsia="宋体" w:cs="Times New Roman"/>
                <w:sz w:val="20"/>
                <w:szCs w:val="20"/>
                <w:lang w:val="en-US" w:eastAsia="zh-CN" w:bidi="ar"/>
              </w:rPr>
              <w:t>4</w:t>
            </w:r>
            <w:r>
              <w:rPr>
                <w:rStyle w:val="15"/>
                <w:rFonts w:hint="default" w:ascii="Times New Roman" w:hAnsi="Times New Roman" w:cs="Times New Roman"/>
                <w:sz w:val="20"/>
                <w:szCs w:val="20"/>
                <w:lang w:val="en-US" w:eastAsia="zh-CN" w:bidi="ar"/>
              </w:rPr>
              <w:t>分；评审为良，计</w:t>
            </w:r>
            <w:r>
              <w:rPr>
                <w:rStyle w:val="16"/>
                <w:rFonts w:hint="default" w:ascii="Times New Roman" w:hAnsi="Times New Roman" w:eastAsia="宋体" w:cs="Times New Roman"/>
                <w:sz w:val="20"/>
                <w:szCs w:val="20"/>
                <w:lang w:val="en-US" w:eastAsia="zh-CN" w:bidi="ar"/>
              </w:rPr>
              <w:t>3</w:t>
            </w:r>
            <w:r>
              <w:rPr>
                <w:rStyle w:val="15"/>
                <w:rFonts w:hint="default" w:ascii="Times New Roman" w:hAnsi="Times New Roman" w:cs="Times New Roman"/>
                <w:sz w:val="20"/>
                <w:szCs w:val="20"/>
                <w:lang w:val="en-US" w:eastAsia="zh-CN" w:bidi="ar"/>
              </w:rPr>
              <w:t>分；评审为中，计</w:t>
            </w:r>
            <w:r>
              <w:rPr>
                <w:rStyle w:val="16"/>
                <w:rFonts w:hint="default" w:ascii="Times New Roman" w:hAnsi="Times New Roman" w:eastAsia="宋体" w:cs="Times New Roman"/>
                <w:sz w:val="20"/>
                <w:szCs w:val="20"/>
                <w:lang w:val="en-US" w:eastAsia="zh-CN" w:bidi="ar"/>
              </w:rPr>
              <w:t>2</w:t>
            </w:r>
            <w:r>
              <w:rPr>
                <w:rStyle w:val="15"/>
                <w:rFonts w:hint="default" w:ascii="Times New Roman" w:hAnsi="Times New Roman" w:cs="Times New Roman"/>
                <w:sz w:val="20"/>
                <w:szCs w:val="20"/>
                <w:lang w:val="en-US" w:eastAsia="zh-CN" w:bidi="ar"/>
              </w:rPr>
              <w:t>分；评审为低，计</w:t>
            </w:r>
            <w:r>
              <w:rPr>
                <w:rStyle w:val="16"/>
                <w:rFonts w:hint="default" w:ascii="Times New Roman" w:hAnsi="Times New Roman" w:eastAsia="宋体" w:cs="Times New Roman"/>
                <w:sz w:val="20"/>
                <w:szCs w:val="20"/>
                <w:lang w:val="en-US" w:eastAsia="zh-CN" w:bidi="ar"/>
              </w:rPr>
              <w:t>1</w:t>
            </w:r>
            <w:r>
              <w:rPr>
                <w:rStyle w:val="15"/>
                <w:rFonts w:hint="default" w:ascii="Times New Roman" w:hAnsi="Times New Roman" w:cs="Times New Roman"/>
                <w:sz w:val="20"/>
                <w:szCs w:val="20"/>
                <w:lang w:val="en-US" w:eastAsia="zh-CN" w:bidi="ar"/>
              </w:rPr>
              <w:t>分；评审为差，计</w:t>
            </w:r>
            <w:r>
              <w:rPr>
                <w:rStyle w:val="16"/>
                <w:rFonts w:hint="default" w:ascii="Times New Roman" w:hAnsi="Times New Roman" w:eastAsia="宋体" w:cs="Times New Roman"/>
                <w:sz w:val="20"/>
                <w:szCs w:val="20"/>
                <w:lang w:val="en-US" w:eastAsia="zh-CN" w:bidi="ar"/>
              </w:rPr>
              <w:t>0</w:t>
            </w:r>
            <w:r>
              <w:rPr>
                <w:rStyle w:val="15"/>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1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重点绩效评价整改情况</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对上年度财政重点评价中存在的问题是否进行整改。</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2019年重点评价问题全部整改，计</w:t>
            </w:r>
            <w:r>
              <w:rPr>
                <w:rStyle w:val="16"/>
                <w:rFonts w:hint="default" w:ascii="Times New Roman" w:hAnsi="Times New Roman" w:eastAsia="宋体" w:cs="Times New Roman"/>
                <w:sz w:val="20"/>
                <w:szCs w:val="20"/>
                <w:lang w:val="en-US" w:eastAsia="zh-CN" w:bidi="ar"/>
              </w:rPr>
              <w:t>5</w:t>
            </w:r>
            <w:r>
              <w:rPr>
                <w:rStyle w:val="15"/>
                <w:rFonts w:hint="default" w:ascii="Times New Roman" w:hAnsi="Times New Roman" w:cs="Times New Roman"/>
                <w:sz w:val="20"/>
                <w:szCs w:val="20"/>
                <w:lang w:val="en-US" w:eastAsia="zh-CN" w:bidi="ar"/>
              </w:rPr>
              <w:t>分；2019年重点评价问题部分整改，计</w:t>
            </w:r>
            <w:r>
              <w:rPr>
                <w:rStyle w:val="16"/>
                <w:rFonts w:hint="default" w:ascii="Times New Roman" w:hAnsi="Times New Roman" w:eastAsia="宋体" w:cs="Times New Roman"/>
                <w:sz w:val="20"/>
                <w:szCs w:val="20"/>
                <w:lang w:val="en-US" w:eastAsia="zh-CN" w:bidi="ar"/>
              </w:rPr>
              <w:t>3</w:t>
            </w:r>
            <w:r>
              <w:rPr>
                <w:rStyle w:val="15"/>
                <w:rFonts w:hint="default" w:ascii="Times New Roman" w:hAnsi="Times New Roman" w:cs="Times New Roman"/>
                <w:sz w:val="20"/>
                <w:szCs w:val="20"/>
                <w:lang w:val="en-US" w:eastAsia="zh-CN" w:bidi="ar"/>
              </w:rPr>
              <w:t>分；2019年重点评价问题未整改且无整改情况说明的不计分。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eastAsia" w:cs="Times New Roman"/>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31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w:t>
            </w:r>
            <w:r>
              <w:rPr>
                <w:rStyle w:val="16"/>
                <w:rFonts w:hint="default" w:ascii="Times New Roman" w:hAnsi="Times New Roman" w:eastAsia="宋体" w:cs="Times New Roman"/>
                <w:sz w:val="20"/>
                <w:szCs w:val="20"/>
                <w:lang w:val="en-US" w:eastAsia="zh-CN" w:bidi="ar"/>
              </w:rPr>
              <w:t>5</w:t>
            </w:r>
            <w:r>
              <w:rPr>
                <w:rStyle w:val="15"/>
                <w:rFonts w:hint="default" w:ascii="Times New Roman" w:hAnsi="Times New Roman" w:cs="Times New Roman"/>
                <w:sz w:val="20"/>
                <w:szCs w:val="20"/>
                <w:lang w:val="en-US" w:eastAsia="zh-CN" w:bidi="ar"/>
              </w:rPr>
              <w:t>分）</w:t>
            </w: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健全性</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①是否已制定合法、合规、完整的资产管理制度；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②相关资产管理制度是否得到有效执行；</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③资产配置是否编制年度预算；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④资产配置预算实际执行情况。</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①已制定合法、合规、完整的资产管理制度，计</w:t>
            </w:r>
            <w:r>
              <w:rPr>
                <w:rStyle w:val="16"/>
                <w:rFonts w:hint="default" w:ascii="Times New Roman" w:hAnsi="Times New Roman" w:eastAsia="宋体" w:cs="Times New Roman"/>
                <w:sz w:val="20"/>
                <w:szCs w:val="20"/>
                <w:lang w:val="en-US" w:eastAsia="zh-CN" w:bidi="ar"/>
              </w:rPr>
              <w:t>0.5</w:t>
            </w:r>
            <w:r>
              <w:rPr>
                <w:rStyle w:val="15"/>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②相关资产管理制度得到有效执行，计</w:t>
            </w:r>
            <w:r>
              <w:rPr>
                <w:rStyle w:val="16"/>
                <w:rFonts w:hint="default" w:ascii="Times New Roman" w:hAnsi="Times New Roman" w:eastAsia="宋体" w:cs="Times New Roman"/>
                <w:sz w:val="20"/>
                <w:szCs w:val="20"/>
                <w:lang w:val="en-US" w:eastAsia="zh-CN" w:bidi="ar"/>
              </w:rPr>
              <w:t>0.5</w:t>
            </w:r>
            <w:r>
              <w:rPr>
                <w:rStyle w:val="15"/>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③资产管理编制年度预算，计</w:t>
            </w:r>
            <w:r>
              <w:rPr>
                <w:rStyle w:val="16"/>
                <w:rFonts w:hint="default" w:ascii="Times New Roman" w:hAnsi="Times New Roman" w:eastAsia="宋体" w:cs="Times New Roman"/>
                <w:sz w:val="20"/>
                <w:szCs w:val="20"/>
                <w:lang w:val="en-US" w:eastAsia="zh-CN" w:bidi="ar"/>
              </w:rPr>
              <w:t>0.5</w:t>
            </w:r>
            <w:r>
              <w:rPr>
                <w:rStyle w:val="15"/>
                <w:rFonts w:hint="default" w:ascii="Times New Roman" w:hAnsi="Times New Roman" w:cs="Times New Roman"/>
                <w:sz w:val="20"/>
                <w:szCs w:val="20"/>
                <w:lang w:val="en-US" w:eastAsia="zh-CN" w:bidi="ar"/>
              </w:rPr>
              <w:t>分，未编制不得分。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④资产配置预算实际执行情况未超年度预算（按程序审批除外），计</w:t>
            </w:r>
            <w:r>
              <w:rPr>
                <w:rStyle w:val="16"/>
                <w:rFonts w:hint="default" w:ascii="Times New Roman" w:hAnsi="Times New Roman" w:eastAsia="宋体" w:cs="Times New Roman"/>
                <w:sz w:val="20"/>
                <w:szCs w:val="20"/>
                <w:lang w:val="en-US" w:eastAsia="zh-CN" w:bidi="ar"/>
              </w:rPr>
              <w:t>0.5</w:t>
            </w:r>
            <w:r>
              <w:rPr>
                <w:rStyle w:val="15"/>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1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资产管理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安全性</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①资产保存是否完整并有台账；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②资产配置是否合理；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③资产处置是否规范；</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④资产账务管理是否合规，是否</w:t>
            </w:r>
            <w:r>
              <w:rPr>
                <w:rStyle w:val="15"/>
                <w:rFonts w:hint="eastAsia" w:cs="Times New Roman"/>
                <w:sz w:val="20"/>
                <w:szCs w:val="20"/>
                <w:lang w:val="en-US" w:eastAsia="zh-CN" w:bidi="ar"/>
              </w:rPr>
              <w:t>账实相符</w:t>
            </w:r>
            <w:r>
              <w:rPr>
                <w:rStyle w:val="15"/>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⑤资产是否有偿使用或处置收入及时足额上缴；</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⑥相关资产购置是否履行政府采购手续；</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⑦资产是否定期进行盘点并有记录。</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16"/>
                <w:rFonts w:hint="default" w:ascii="Times New Roman" w:hAnsi="Times New Roman" w:eastAsia="宋体" w:cs="Times New Roman"/>
                <w:sz w:val="20"/>
                <w:szCs w:val="20"/>
                <w:lang w:val="en-US" w:eastAsia="zh-CN" w:bidi="ar"/>
              </w:rPr>
              <w:t>0.5</w:t>
            </w:r>
            <w:r>
              <w:rPr>
                <w:rStyle w:val="15"/>
                <w:rFonts w:hint="default" w:ascii="Times New Roman" w:hAnsi="Times New Roman" w:cs="Times New Roman"/>
                <w:sz w:val="20"/>
                <w:szCs w:val="20"/>
                <w:lang w:val="en-US" w:eastAsia="zh-CN" w:bidi="ar"/>
              </w:rPr>
              <w:t>分，发现一例不符，扣</w:t>
            </w:r>
            <w:r>
              <w:rPr>
                <w:rStyle w:val="16"/>
                <w:rFonts w:hint="default" w:ascii="Times New Roman" w:hAnsi="Times New Roman" w:eastAsia="宋体" w:cs="Times New Roman"/>
                <w:sz w:val="20"/>
                <w:szCs w:val="20"/>
                <w:lang w:val="en-US" w:eastAsia="zh-CN" w:bidi="ar"/>
              </w:rPr>
              <w:t>0.1</w:t>
            </w:r>
            <w:r>
              <w:rPr>
                <w:rStyle w:val="15"/>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②资产处置规范，计0.5分，发现一例不符，扣0.1分，扣完为止；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③资产有偿使用或处置收入及时足额上缴，计0.5分，发现未上缴，本项不得分；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④资产购置履行政府采购手续，计0.5分，发现一例不符，扣0.1分，扣完为止；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eastAsia" w:cs="Times New Roman"/>
                <w:sz w:val="20"/>
                <w:szCs w:val="20"/>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1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固定资产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15"/>
                <w:rFonts w:hint="default" w:ascii="Times New Roman" w:hAnsi="Times New Roman" w:cs="Times New Roman"/>
                <w:sz w:val="20"/>
                <w:szCs w:val="20"/>
                <w:lang w:val="en-US" w:eastAsia="zh-CN" w:bidi="ar"/>
              </w:rPr>
              <w:t>保管和使用情况</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1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完成率</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1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及时性</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1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达标率</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1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重点工作办结率</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1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经济效益</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1672"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1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社会效益</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1672"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1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生态效益</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1672"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1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r>
              <w:rPr>
                <w:rStyle w:val="15"/>
                <w:rFonts w:hint="default" w:ascii="Times New Roman" w:hAnsi="Times New Roman" w:cs="Times New Roman"/>
                <w:sz w:val="20"/>
                <w:szCs w:val="20"/>
                <w:lang w:val="en-US" w:eastAsia="zh-CN" w:bidi="ar"/>
              </w:rPr>
              <w:t>社会公众或服务对象满意度</w:t>
            </w: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jc w:val="center"/>
        </w:trPr>
        <w:tc>
          <w:tcPr>
            <w:tcW w:w="38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31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3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15"/>
                <w:rFonts w:hint="default" w:ascii="Times New Roman" w:hAnsi="Times New Roman" w:cs="Times New Roman"/>
                <w:sz w:val="20"/>
                <w:szCs w:val="20"/>
                <w:lang w:val="en-US" w:eastAsia="zh-CN" w:bidi="ar"/>
              </w:rPr>
            </w:pPr>
          </w:p>
        </w:tc>
        <w:tc>
          <w:tcPr>
            <w:tcW w:w="21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08"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2"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91</w:t>
            </w:r>
          </w:p>
        </w:tc>
      </w:tr>
    </w:tbl>
    <w:p/>
    <w:p>
      <w:pPr>
        <w:pStyle w:val="2"/>
        <w:rPr>
          <w:rFonts w:hint="default"/>
        </w:rPr>
      </w:pPr>
    </w:p>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C24C9E"/>
    <w:multiLevelType w:val="singleLevel"/>
    <w:tmpl w:val="64C24C9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2F7D712F"/>
    <w:rsid w:val="00302002"/>
    <w:rsid w:val="007C13BF"/>
    <w:rsid w:val="0087179B"/>
    <w:rsid w:val="012978B1"/>
    <w:rsid w:val="017743F7"/>
    <w:rsid w:val="018A3517"/>
    <w:rsid w:val="018E5712"/>
    <w:rsid w:val="01B116E1"/>
    <w:rsid w:val="01CC61DE"/>
    <w:rsid w:val="01D00C32"/>
    <w:rsid w:val="02652180"/>
    <w:rsid w:val="02D62BD8"/>
    <w:rsid w:val="03435D32"/>
    <w:rsid w:val="039977D9"/>
    <w:rsid w:val="040525F7"/>
    <w:rsid w:val="040D5886"/>
    <w:rsid w:val="04107BE5"/>
    <w:rsid w:val="042063FC"/>
    <w:rsid w:val="052C1395"/>
    <w:rsid w:val="057A7FDC"/>
    <w:rsid w:val="06736AEE"/>
    <w:rsid w:val="06A27FB7"/>
    <w:rsid w:val="06F1540C"/>
    <w:rsid w:val="07032AFE"/>
    <w:rsid w:val="071A12CF"/>
    <w:rsid w:val="075D1C87"/>
    <w:rsid w:val="076F3710"/>
    <w:rsid w:val="07740023"/>
    <w:rsid w:val="07DC23A2"/>
    <w:rsid w:val="08C65BE8"/>
    <w:rsid w:val="08DF7979"/>
    <w:rsid w:val="09025335"/>
    <w:rsid w:val="09152826"/>
    <w:rsid w:val="091C03E6"/>
    <w:rsid w:val="09271FB6"/>
    <w:rsid w:val="0956072B"/>
    <w:rsid w:val="097A33DA"/>
    <w:rsid w:val="09895DB1"/>
    <w:rsid w:val="09CE7D3A"/>
    <w:rsid w:val="0B5205C2"/>
    <w:rsid w:val="0BBC6B53"/>
    <w:rsid w:val="0C95113B"/>
    <w:rsid w:val="0D2F06EF"/>
    <w:rsid w:val="0DEC6B12"/>
    <w:rsid w:val="0F272CCB"/>
    <w:rsid w:val="0F3110D0"/>
    <w:rsid w:val="0FD2236E"/>
    <w:rsid w:val="0FE41F7B"/>
    <w:rsid w:val="10134439"/>
    <w:rsid w:val="10AF71ED"/>
    <w:rsid w:val="11950AD9"/>
    <w:rsid w:val="120F4D56"/>
    <w:rsid w:val="12CC57AD"/>
    <w:rsid w:val="13445DB5"/>
    <w:rsid w:val="134C2BF8"/>
    <w:rsid w:val="134F2181"/>
    <w:rsid w:val="13597252"/>
    <w:rsid w:val="138560CE"/>
    <w:rsid w:val="141460C1"/>
    <w:rsid w:val="1459274D"/>
    <w:rsid w:val="148E67BC"/>
    <w:rsid w:val="14E80F29"/>
    <w:rsid w:val="15D53161"/>
    <w:rsid w:val="15F0485F"/>
    <w:rsid w:val="15F8467E"/>
    <w:rsid w:val="1642123A"/>
    <w:rsid w:val="16F83B8A"/>
    <w:rsid w:val="17354617"/>
    <w:rsid w:val="18611F9C"/>
    <w:rsid w:val="18A250B7"/>
    <w:rsid w:val="190C3987"/>
    <w:rsid w:val="196A3A8E"/>
    <w:rsid w:val="1985457A"/>
    <w:rsid w:val="1A4C023C"/>
    <w:rsid w:val="1ABE24F2"/>
    <w:rsid w:val="1ACA423E"/>
    <w:rsid w:val="1BD84762"/>
    <w:rsid w:val="1C2432CC"/>
    <w:rsid w:val="1D1C73C5"/>
    <w:rsid w:val="1D380D6C"/>
    <w:rsid w:val="1D4160F0"/>
    <w:rsid w:val="1D5121F1"/>
    <w:rsid w:val="1D812EB8"/>
    <w:rsid w:val="1DA76BDF"/>
    <w:rsid w:val="1DBB2120"/>
    <w:rsid w:val="1DDA261E"/>
    <w:rsid w:val="1DF66F31"/>
    <w:rsid w:val="1E385229"/>
    <w:rsid w:val="1E91482D"/>
    <w:rsid w:val="1EEC40D4"/>
    <w:rsid w:val="1F4E2199"/>
    <w:rsid w:val="1F9C4138"/>
    <w:rsid w:val="1FA73ECA"/>
    <w:rsid w:val="21733D78"/>
    <w:rsid w:val="21845293"/>
    <w:rsid w:val="21CE50D6"/>
    <w:rsid w:val="22812984"/>
    <w:rsid w:val="23296A42"/>
    <w:rsid w:val="236C0121"/>
    <w:rsid w:val="23B3309E"/>
    <w:rsid w:val="24712234"/>
    <w:rsid w:val="26521C41"/>
    <w:rsid w:val="267B6EC1"/>
    <w:rsid w:val="26E617B4"/>
    <w:rsid w:val="270B6459"/>
    <w:rsid w:val="275F62E6"/>
    <w:rsid w:val="27E50210"/>
    <w:rsid w:val="28397C90"/>
    <w:rsid w:val="28981D12"/>
    <w:rsid w:val="2A0F6569"/>
    <w:rsid w:val="2BE10696"/>
    <w:rsid w:val="2C517C02"/>
    <w:rsid w:val="2CA61BEA"/>
    <w:rsid w:val="2D0944C0"/>
    <w:rsid w:val="2D2778F3"/>
    <w:rsid w:val="2DA725C9"/>
    <w:rsid w:val="2EAA6BB4"/>
    <w:rsid w:val="2EB73A16"/>
    <w:rsid w:val="2EBF1C27"/>
    <w:rsid w:val="2EF56A0F"/>
    <w:rsid w:val="2F7D712F"/>
    <w:rsid w:val="2FC67313"/>
    <w:rsid w:val="2FE37580"/>
    <w:rsid w:val="30657112"/>
    <w:rsid w:val="30E6006D"/>
    <w:rsid w:val="311C1A69"/>
    <w:rsid w:val="32482667"/>
    <w:rsid w:val="32A074E4"/>
    <w:rsid w:val="32D17A95"/>
    <w:rsid w:val="32DE0CC8"/>
    <w:rsid w:val="33A5754B"/>
    <w:rsid w:val="33D55073"/>
    <w:rsid w:val="33D56509"/>
    <w:rsid w:val="33E31EB4"/>
    <w:rsid w:val="37332745"/>
    <w:rsid w:val="37640AF4"/>
    <w:rsid w:val="378912EB"/>
    <w:rsid w:val="379C2DC6"/>
    <w:rsid w:val="38B4055C"/>
    <w:rsid w:val="38C64A78"/>
    <w:rsid w:val="398A33F4"/>
    <w:rsid w:val="39A1571F"/>
    <w:rsid w:val="39DC13F9"/>
    <w:rsid w:val="39FE4C1D"/>
    <w:rsid w:val="3A202658"/>
    <w:rsid w:val="3A8B4C88"/>
    <w:rsid w:val="3A8F7AF7"/>
    <w:rsid w:val="3AB52C72"/>
    <w:rsid w:val="3ABE4A66"/>
    <w:rsid w:val="3ADA7474"/>
    <w:rsid w:val="3B2E77BA"/>
    <w:rsid w:val="3B9024F0"/>
    <w:rsid w:val="3BF455D1"/>
    <w:rsid w:val="3C70274A"/>
    <w:rsid w:val="3C8800D1"/>
    <w:rsid w:val="3CAD4677"/>
    <w:rsid w:val="3D270FEA"/>
    <w:rsid w:val="3D303B7C"/>
    <w:rsid w:val="3D69211D"/>
    <w:rsid w:val="3E433ED9"/>
    <w:rsid w:val="3E5E1D8C"/>
    <w:rsid w:val="3F636838"/>
    <w:rsid w:val="3F7D64A1"/>
    <w:rsid w:val="3FCC4A13"/>
    <w:rsid w:val="3FD00F45"/>
    <w:rsid w:val="407748D3"/>
    <w:rsid w:val="41E06EDA"/>
    <w:rsid w:val="421101B1"/>
    <w:rsid w:val="42933E95"/>
    <w:rsid w:val="42F92F60"/>
    <w:rsid w:val="437077F8"/>
    <w:rsid w:val="44286C3E"/>
    <w:rsid w:val="44704CB8"/>
    <w:rsid w:val="44785723"/>
    <w:rsid w:val="447875E6"/>
    <w:rsid w:val="45163F52"/>
    <w:rsid w:val="48760E0B"/>
    <w:rsid w:val="49E26447"/>
    <w:rsid w:val="4ABA2B6C"/>
    <w:rsid w:val="4B010177"/>
    <w:rsid w:val="4BA126D1"/>
    <w:rsid w:val="4C1E250F"/>
    <w:rsid w:val="4C402F4F"/>
    <w:rsid w:val="4C6B0D74"/>
    <w:rsid w:val="4D0938E9"/>
    <w:rsid w:val="4E86620A"/>
    <w:rsid w:val="4FB36A5A"/>
    <w:rsid w:val="4FC462FF"/>
    <w:rsid w:val="50D637FF"/>
    <w:rsid w:val="51C13AF7"/>
    <w:rsid w:val="522B130E"/>
    <w:rsid w:val="52697318"/>
    <w:rsid w:val="527F44F4"/>
    <w:rsid w:val="52E27DDB"/>
    <w:rsid w:val="52F656AA"/>
    <w:rsid w:val="534D4E24"/>
    <w:rsid w:val="54A0570E"/>
    <w:rsid w:val="54FE4421"/>
    <w:rsid w:val="55D02E45"/>
    <w:rsid w:val="55F838E6"/>
    <w:rsid w:val="55FD4C97"/>
    <w:rsid w:val="56261570"/>
    <w:rsid w:val="574F1B5E"/>
    <w:rsid w:val="57E63563"/>
    <w:rsid w:val="58546820"/>
    <w:rsid w:val="58FD229F"/>
    <w:rsid w:val="590416D4"/>
    <w:rsid w:val="59782E15"/>
    <w:rsid w:val="59FD0CE9"/>
    <w:rsid w:val="5A5072BC"/>
    <w:rsid w:val="5A5368BA"/>
    <w:rsid w:val="5B087C11"/>
    <w:rsid w:val="5B2F00D0"/>
    <w:rsid w:val="5B7E5D19"/>
    <w:rsid w:val="5BC246F3"/>
    <w:rsid w:val="5CEB5627"/>
    <w:rsid w:val="5D1D1329"/>
    <w:rsid w:val="5D4B34E9"/>
    <w:rsid w:val="5E981A4B"/>
    <w:rsid w:val="5FD13A51"/>
    <w:rsid w:val="604B13CC"/>
    <w:rsid w:val="60773125"/>
    <w:rsid w:val="6094253D"/>
    <w:rsid w:val="60D35704"/>
    <w:rsid w:val="60DC1D83"/>
    <w:rsid w:val="61122A49"/>
    <w:rsid w:val="612E67AC"/>
    <w:rsid w:val="613E7E74"/>
    <w:rsid w:val="61A97D36"/>
    <w:rsid w:val="624B3236"/>
    <w:rsid w:val="62B27685"/>
    <w:rsid w:val="62BB09B7"/>
    <w:rsid w:val="63B22AB8"/>
    <w:rsid w:val="63E07BDF"/>
    <w:rsid w:val="63FA5AC3"/>
    <w:rsid w:val="649065D8"/>
    <w:rsid w:val="64DD09ED"/>
    <w:rsid w:val="65CB7657"/>
    <w:rsid w:val="65D379C4"/>
    <w:rsid w:val="65DB47A0"/>
    <w:rsid w:val="661E39A7"/>
    <w:rsid w:val="66DD175D"/>
    <w:rsid w:val="67050827"/>
    <w:rsid w:val="69060FFC"/>
    <w:rsid w:val="69BD2AC6"/>
    <w:rsid w:val="69F43852"/>
    <w:rsid w:val="6A262ACE"/>
    <w:rsid w:val="6A5D1B5E"/>
    <w:rsid w:val="6B65089D"/>
    <w:rsid w:val="6BB00B50"/>
    <w:rsid w:val="6BF03581"/>
    <w:rsid w:val="6C3F6C35"/>
    <w:rsid w:val="6C411C9E"/>
    <w:rsid w:val="6CC32DCC"/>
    <w:rsid w:val="6CF02BF2"/>
    <w:rsid w:val="6CFE068E"/>
    <w:rsid w:val="6D012FCB"/>
    <w:rsid w:val="6D1D02EE"/>
    <w:rsid w:val="6D5D2016"/>
    <w:rsid w:val="6D751F44"/>
    <w:rsid w:val="6DEA71E7"/>
    <w:rsid w:val="6DEF7365"/>
    <w:rsid w:val="6EC24334"/>
    <w:rsid w:val="6EE971D3"/>
    <w:rsid w:val="6F3911E0"/>
    <w:rsid w:val="6F697B23"/>
    <w:rsid w:val="6F9A2B83"/>
    <w:rsid w:val="70245E47"/>
    <w:rsid w:val="70287B4A"/>
    <w:rsid w:val="70727EA1"/>
    <w:rsid w:val="70E82D1F"/>
    <w:rsid w:val="70EB0E38"/>
    <w:rsid w:val="71CD6611"/>
    <w:rsid w:val="720514D5"/>
    <w:rsid w:val="723E1422"/>
    <w:rsid w:val="726115C0"/>
    <w:rsid w:val="729D4D54"/>
    <w:rsid w:val="72F07E56"/>
    <w:rsid w:val="73056BBA"/>
    <w:rsid w:val="733D7486"/>
    <w:rsid w:val="73B72E77"/>
    <w:rsid w:val="75581E70"/>
    <w:rsid w:val="75895251"/>
    <w:rsid w:val="768D61EA"/>
    <w:rsid w:val="77272322"/>
    <w:rsid w:val="776D56E2"/>
    <w:rsid w:val="77C8699B"/>
    <w:rsid w:val="78504ADF"/>
    <w:rsid w:val="796177EB"/>
    <w:rsid w:val="79652BD2"/>
    <w:rsid w:val="79781D3D"/>
    <w:rsid w:val="79F93BF3"/>
    <w:rsid w:val="7A0813A6"/>
    <w:rsid w:val="7A096B6C"/>
    <w:rsid w:val="7A0E7B0A"/>
    <w:rsid w:val="7A6704F9"/>
    <w:rsid w:val="7AD31E71"/>
    <w:rsid w:val="7AEE725D"/>
    <w:rsid w:val="7B0528B9"/>
    <w:rsid w:val="7B276391"/>
    <w:rsid w:val="7B533685"/>
    <w:rsid w:val="7B6969A9"/>
    <w:rsid w:val="7C185033"/>
    <w:rsid w:val="7C3127DF"/>
    <w:rsid w:val="7C386854"/>
    <w:rsid w:val="7C79691B"/>
    <w:rsid w:val="7D275562"/>
    <w:rsid w:val="7D3C5318"/>
    <w:rsid w:val="7DD6548A"/>
    <w:rsid w:val="7DE6048A"/>
    <w:rsid w:val="7DFC148C"/>
    <w:rsid w:val="7E1541A0"/>
    <w:rsid w:val="7E685B14"/>
    <w:rsid w:val="7E7478F2"/>
    <w:rsid w:val="7F721DD1"/>
    <w:rsid w:val="7F992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90"/>
      <w:ind w:left="214"/>
    </w:pPr>
    <w:rPr>
      <w:rFonts w:ascii="仿宋_GB2312" w:hAnsi="仿宋_GB2312" w:eastAsia="仿宋_GB2312" w:cs="仿宋_GB2312"/>
      <w:sz w:val="32"/>
      <w:szCs w:val="32"/>
      <w:lang w:val="zh-CN" w:bidi="zh-CN"/>
    </w:rPr>
  </w:style>
  <w:style w:type="paragraph" w:styleId="4">
    <w:name w:val="Body Text Indent"/>
    <w:basedOn w:val="1"/>
    <w:unhideWhenUsed/>
    <w:qFormat/>
    <w:uiPriority w:val="99"/>
    <w:pPr>
      <w:widowControl/>
      <w:spacing w:before="100" w:beforeAutospacing="1" w:after="100" w:afterAutospacing="1"/>
      <w:jc w:val="left"/>
    </w:pPr>
    <w:rPr>
      <w:rFonts w:ascii="宋体" w:hAnsi="宋体" w:cs="Times New Roman"/>
      <w:kern w:val="0"/>
      <w:sz w:val="24"/>
      <w:szCs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rPr>
  </w:style>
  <w:style w:type="paragraph" w:styleId="8">
    <w:name w:val="Body Text First Indent 2"/>
    <w:basedOn w:val="4"/>
    <w:qFormat/>
    <w:uiPriority w:val="99"/>
    <w:pPr>
      <w:ind w:firstLine="420"/>
      <w:jc w:val="left"/>
    </w:pPr>
    <w:rPr>
      <w:sz w:val="32"/>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FollowedHyperlink"/>
    <w:basedOn w:val="11"/>
    <w:qFormat/>
    <w:uiPriority w:val="0"/>
    <w:rPr>
      <w:color w:val="333333"/>
      <w:u w:val="none"/>
    </w:rPr>
  </w:style>
  <w:style w:type="character" w:styleId="13">
    <w:name w:val="Emphasis"/>
    <w:basedOn w:val="11"/>
    <w:qFormat/>
    <w:uiPriority w:val="0"/>
    <w:rPr>
      <w:rFonts w:ascii="微软雅黑" w:hAnsi="微软雅黑" w:eastAsia="微软雅黑" w:cs="微软雅黑"/>
    </w:rPr>
  </w:style>
  <w:style w:type="character" w:styleId="14">
    <w:name w:val="Hyperlink"/>
    <w:basedOn w:val="11"/>
    <w:qFormat/>
    <w:uiPriority w:val="0"/>
    <w:rPr>
      <w:color w:val="0000FF"/>
      <w:u w:val="single"/>
    </w:rPr>
  </w:style>
  <w:style w:type="character" w:customStyle="1" w:styleId="15">
    <w:name w:val="font41"/>
    <w:basedOn w:val="11"/>
    <w:qFormat/>
    <w:uiPriority w:val="0"/>
    <w:rPr>
      <w:rFonts w:hint="eastAsia" w:ascii="宋体" w:hAnsi="宋体" w:eastAsia="宋体" w:cs="宋体"/>
      <w:color w:val="000000"/>
      <w:sz w:val="18"/>
      <w:szCs w:val="18"/>
      <w:u w:val="none"/>
    </w:rPr>
  </w:style>
  <w:style w:type="character" w:customStyle="1" w:styleId="16">
    <w:name w:val="font31"/>
    <w:basedOn w:val="11"/>
    <w:qFormat/>
    <w:uiPriority w:val="0"/>
    <w:rPr>
      <w:rFonts w:hint="default" w:ascii="Times New Roman" w:hAnsi="Times New Roman" w:cs="Times New Roman"/>
      <w:color w:val="000000"/>
      <w:sz w:val="18"/>
      <w:szCs w:val="18"/>
      <w:u w:val="none"/>
    </w:rPr>
  </w:style>
  <w:style w:type="character" w:customStyle="1" w:styleId="17">
    <w:name w:val="font21"/>
    <w:basedOn w:val="11"/>
    <w:qFormat/>
    <w:uiPriority w:val="0"/>
    <w:rPr>
      <w:rFonts w:hint="eastAsia" w:ascii="宋体" w:hAnsi="宋体" w:eastAsia="宋体" w:cs="宋体"/>
      <w:color w:val="FF0000"/>
      <w:sz w:val="18"/>
      <w:szCs w:val="18"/>
      <w:u w:val="none"/>
    </w:rPr>
  </w:style>
  <w:style w:type="character" w:customStyle="1" w:styleId="18">
    <w:name w:val="font11"/>
    <w:basedOn w:val="11"/>
    <w:qFormat/>
    <w:uiPriority w:val="0"/>
    <w:rPr>
      <w:rFonts w:hint="default" w:ascii="Times New Roman" w:hAnsi="Times New Roman" w:cs="Times New Roman"/>
      <w:color w:val="FF0000"/>
      <w:sz w:val="18"/>
      <w:szCs w:val="18"/>
      <w:u w:val="none"/>
    </w:rPr>
  </w:style>
  <w:style w:type="paragraph" w:styleId="19">
    <w:name w:val="List Paragraph"/>
    <w:basedOn w:val="1"/>
    <w:qFormat/>
    <w:uiPriority w:val="99"/>
    <w:pPr>
      <w:ind w:firstLine="420" w:firstLineChars="200"/>
    </w:pPr>
    <w:rPr>
      <w:rFonts w:ascii="Calibri" w:hAnsi="Calibri" w:eastAsia="宋体" w:cs="Times New Roman"/>
      <w:szCs w:val="22"/>
    </w:rPr>
  </w:style>
  <w:style w:type="character" w:customStyle="1" w:styleId="20">
    <w:name w:val="NormalCharacter"/>
    <w:semiHidden/>
    <w:qFormat/>
    <w:uiPriority w:val="0"/>
    <w:rPr>
      <w:rFonts w:ascii="Calibri" w:hAnsi="Calibri" w:eastAsia="宋体" w:cs="Times New Roman"/>
      <w:kern w:val="2"/>
      <w:sz w:val="21"/>
      <w:szCs w:val="24"/>
      <w:lang w:val="en-US" w:eastAsia="zh-CN" w:bidi="ar-SA"/>
    </w:rPr>
  </w:style>
  <w:style w:type="character" w:customStyle="1" w:styleId="21">
    <w:name w:val="after"/>
    <w:basedOn w:val="11"/>
    <w:qFormat/>
    <w:uiPriority w:val="0"/>
    <w:rPr>
      <w:shd w:val="clear" w:fill="FFFFFF"/>
    </w:rPr>
  </w:style>
  <w:style w:type="character" w:customStyle="1" w:styleId="22">
    <w:name w:val="last"/>
    <w:basedOn w:val="11"/>
    <w:qFormat/>
    <w:uiPriority w:val="0"/>
  </w:style>
  <w:style w:type="character" w:customStyle="1" w:styleId="23">
    <w:name w:val="bsharetext"/>
    <w:basedOn w:val="11"/>
    <w:qFormat/>
    <w:uiPriority w:val="0"/>
  </w:style>
  <w:style w:type="character" w:customStyle="1" w:styleId="24">
    <w:name w:val="text"/>
    <w:basedOn w:val="11"/>
    <w:qFormat/>
    <w:uiPriority w:val="0"/>
    <w:rPr>
      <w:color w:val="666666"/>
    </w:rPr>
  </w:style>
  <w:style w:type="character" w:customStyle="1" w:styleId="25">
    <w:name w:val="hover20"/>
    <w:basedOn w:val="11"/>
    <w:qFormat/>
    <w:uiPriority w:val="0"/>
    <w:rPr>
      <w:color w:val="000000"/>
      <w:shd w:val="clear" w:fill="FFFFFF"/>
    </w:rPr>
  </w:style>
  <w:style w:type="character" w:customStyle="1" w:styleId="26">
    <w:name w:val="wx-space"/>
    <w:basedOn w:val="11"/>
    <w:qFormat/>
    <w:uiPriority w:val="0"/>
  </w:style>
  <w:style w:type="character" w:customStyle="1" w:styleId="27">
    <w:name w:val="wx-space1"/>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12210</Words>
  <Characters>13226</Characters>
  <Lines>0</Lines>
  <Paragraphs>0</Paragraphs>
  <TotalTime>23</TotalTime>
  <ScaleCrop>false</ScaleCrop>
  <LinksUpToDate>false</LinksUpToDate>
  <CharactersWithSpaces>13358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Administrator</cp:lastModifiedBy>
  <cp:lastPrinted>2021-04-06T06:51:00Z</cp:lastPrinted>
  <dcterms:modified xsi:type="dcterms:W3CDTF">2023-04-24T03:30:36Z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61C23D4E14004FB8A3FA8DB498FA25A1_13</vt:lpwstr>
  </property>
</Properties>
</file>