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afterAutospacing="0"/>
        <w:ind w:left="0" w:firstLine="721"/>
        <w:jc w:val="center"/>
        <w:rPr>
          <w:color w:val="000000"/>
          <w:szCs w:val="21"/>
          <w:lang w:val="en-US"/>
        </w:rPr>
      </w:pPr>
      <w:r>
        <w:rPr>
          <w:rFonts w:hint="eastAsia" w:ascii="宋体" w:hAnsi="宋体" w:eastAsia="宋体" w:cs="宋体"/>
          <w:b/>
          <w:bCs/>
          <w:color w:val="000000"/>
          <w:sz w:val="36"/>
          <w:szCs w:val="36"/>
          <w:lang w:eastAsia="zh-CN"/>
        </w:rPr>
        <w:t>第二部分</w:t>
      </w:r>
      <w:r>
        <w:rPr>
          <w:rFonts w:hint="eastAsia" w:ascii="宋体" w:hAnsi="宋体" w:eastAsia="宋体" w:cs="宋体"/>
          <w:b/>
          <w:bCs/>
          <w:color w:val="000000"/>
          <w:sz w:val="36"/>
          <w:szCs w:val="36"/>
          <w:lang w:val="en-US"/>
        </w:rPr>
        <w:t> </w:t>
      </w:r>
      <w:bookmarkStart w:id="0" w:name="_GoBack"/>
      <w:r>
        <w:rPr>
          <w:rFonts w:hint="eastAsia" w:ascii="宋体" w:hAnsi="宋体" w:eastAsia="宋体" w:cs="宋体"/>
          <w:b/>
          <w:bCs/>
          <w:color w:val="000000"/>
          <w:sz w:val="36"/>
          <w:szCs w:val="36"/>
          <w:lang w:val="en-US"/>
        </w:rPr>
        <w:t>2021</w:t>
      </w:r>
      <w:r>
        <w:rPr>
          <w:rFonts w:hint="eastAsia" w:ascii="宋体" w:hAnsi="宋体" w:eastAsia="宋体" w:cs="宋体"/>
          <w:b/>
          <w:bCs/>
          <w:color w:val="000000"/>
          <w:sz w:val="36"/>
          <w:szCs w:val="36"/>
          <w:lang w:eastAsia="zh-CN"/>
        </w:rPr>
        <w:t>年度部门决算表</w:t>
      </w:r>
      <w:r>
        <w:rPr>
          <w:color w:val="000000"/>
          <w:szCs w:val="21"/>
          <w:lang w:eastAsia="zh-CN"/>
        </w:rPr>
        <w:t xml:space="preserve"> </w:t>
      </w:r>
      <w:bookmarkEnd w:id="0"/>
    </w:p>
    <w:p>
      <w:pPr>
        <w:pStyle w:val="2"/>
        <w:spacing w:before="0" w:beforeAutospacing="0" w:after="2" w:afterAutospacing="0"/>
        <w:ind w:left="0" w:right="0"/>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jc w:val="center"/>
              <w:rPr>
                <w:sz w:val="40"/>
                <w:szCs w:val="40"/>
                <w:lang w:val="en-US"/>
              </w:rPr>
            </w:pPr>
            <w:r>
              <w:rPr>
                <w:sz w:val="40"/>
                <w:szCs w:val="4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shd w:val="clear" w:color="auto" w:fill="auto"/>
            <w:vAlign w:val="center"/>
          </w:tcPr>
          <w:p>
            <w:pPr>
              <w:pStyle w:val="2"/>
              <w:rPr>
                <w:sz w:val="22"/>
                <w:szCs w:val="22"/>
                <w:lang w:val="en-US"/>
              </w:rPr>
            </w:pPr>
          </w:p>
        </w:tc>
        <w:tc>
          <w:tcPr>
            <w:tcW w:w="202" w:type="pct"/>
            <w:shd w:val="clear" w:color="auto" w:fill="auto"/>
            <w:vAlign w:val="center"/>
          </w:tcPr>
          <w:p>
            <w:pPr>
              <w:pStyle w:val="2"/>
              <w:rPr>
                <w:sz w:val="22"/>
                <w:szCs w:val="22"/>
                <w:lang w:val="en-US"/>
              </w:rPr>
            </w:pPr>
          </w:p>
        </w:tc>
        <w:tc>
          <w:tcPr>
            <w:tcW w:w="799" w:type="pct"/>
            <w:shd w:val="clear" w:color="auto" w:fill="auto"/>
            <w:vAlign w:val="center"/>
          </w:tcPr>
          <w:p>
            <w:pPr>
              <w:pStyle w:val="2"/>
              <w:rPr>
                <w:sz w:val="22"/>
                <w:szCs w:val="22"/>
                <w:lang w:val="en-US"/>
              </w:rPr>
            </w:pPr>
          </w:p>
        </w:tc>
        <w:tc>
          <w:tcPr>
            <w:tcW w:w="1497" w:type="pct"/>
            <w:shd w:val="clear" w:color="auto" w:fill="auto"/>
            <w:vAlign w:val="center"/>
          </w:tcPr>
          <w:p>
            <w:pPr>
              <w:pStyle w:val="2"/>
              <w:rPr>
                <w:sz w:val="22"/>
                <w:szCs w:val="22"/>
                <w:lang w:val="en-US"/>
              </w:rPr>
            </w:pPr>
          </w:p>
        </w:tc>
        <w:tc>
          <w:tcPr>
            <w:tcW w:w="1002"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01</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7" w:type="pct"/>
            <w:gridSpan w:val="4"/>
            <w:shd w:val="clear" w:color="auto" w:fill="auto"/>
            <w:vAlign w:val="center"/>
          </w:tcPr>
          <w:p>
            <w:pPr>
              <w:pStyle w:val="2"/>
              <w:rPr>
                <w:sz w:val="22"/>
                <w:szCs w:val="22"/>
                <w:lang w:val="en-US"/>
              </w:rPr>
            </w:pPr>
            <w:r>
              <w:rPr>
                <w:sz w:val="22"/>
                <w:szCs w:val="22"/>
              </w:rPr>
              <w:t xml:space="preserve">部门：长沙市雨花区总工会 </w:t>
            </w:r>
          </w:p>
        </w:tc>
        <w:tc>
          <w:tcPr>
            <w:tcW w:w="1002"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金额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23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0"/>
                <w:szCs w:val="20"/>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0"/>
                <w:szCs w:val="20"/>
                <w:lang w:val="en-US"/>
              </w:rPr>
            </w:pPr>
            <w:r>
              <w:rPr>
                <w:sz w:val="20"/>
                <w:szCs w:val="20"/>
                <w:lang w:val="en-US"/>
              </w:rPr>
              <w:t xml:space="preserve">24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0"/>
                <w:szCs w:val="20"/>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0"/>
                <w:szCs w:val="20"/>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0"/>
                <w:szCs w:val="20"/>
                <w:lang w:val="en-US"/>
              </w:rPr>
            </w:pPr>
            <w:r>
              <w:rPr>
                <w:sz w:val="20"/>
                <w:szCs w:val="20"/>
                <w:lang w:val="en-US"/>
              </w:rPr>
              <w:t xml:space="preserve">25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0"/>
                <w:szCs w:val="20"/>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0"/>
                <w:szCs w:val="20"/>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0"/>
                <w:szCs w:val="20"/>
                <w:lang w:val="en-US"/>
              </w:rPr>
            </w:pPr>
            <w:r>
              <w:rPr>
                <w:sz w:val="20"/>
                <w:szCs w:val="20"/>
                <w:lang w:val="en-US"/>
              </w:rPr>
              <w:t xml:space="preserve">26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0"/>
                <w:szCs w:val="20"/>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27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28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结余分配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29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30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31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62 </w:t>
            </w:r>
          </w:p>
        </w:tc>
        <w:tc>
          <w:tcPr>
            <w:tcW w:w="7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rPr>
                <w:sz w:val="22"/>
                <w:szCs w:val="22"/>
                <w:lang w:val="en-US"/>
              </w:rPr>
            </w:pPr>
            <w:r>
              <w:rPr>
                <w:sz w:val="22"/>
                <w:szCs w:val="22"/>
              </w:rPr>
              <w:t xml:space="preserve">注：本表反映部门本年度的总收支和年末结转结余情况。本表金额转换为万元时，因四舍五入可能存在尾数误差。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8"/>
        <w:gridCol w:w="359"/>
        <w:gridCol w:w="369"/>
        <w:gridCol w:w="3192"/>
        <w:gridCol w:w="2175"/>
        <w:gridCol w:w="1591"/>
        <w:gridCol w:w="1591"/>
        <w:gridCol w:w="1591"/>
        <w:gridCol w:w="1617"/>
        <w:gridCol w:w="159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1"/>
            <w:shd w:val="clear" w:color="auto" w:fill="auto"/>
            <w:vAlign w:val="center"/>
          </w:tcPr>
          <w:p>
            <w:pPr>
              <w:pStyle w:val="2"/>
              <w:jc w:val="center"/>
              <w:rPr>
                <w:sz w:val="40"/>
                <w:szCs w:val="40"/>
                <w:lang w:val="en-US"/>
              </w:rPr>
            </w:pPr>
            <w:r>
              <w:rPr>
                <w:sz w:val="40"/>
                <w:szCs w:val="4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12" w:type="pct"/>
            <w:shd w:val="clear" w:color="auto" w:fill="auto"/>
            <w:vAlign w:val="center"/>
          </w:tcPr>
          <w:p>
            <w:pPr>
              <w:pStyle w:val="2"/>
              <w:rPr>
                <w:sz w:val="22"/>
                <w:szCs w:val="22"/>
                <w:lang w:val="en-US"/>
              </w:rPr>
            </w:pPr>
          </w:p>
        </w:tc>
        <w:tc>
          <w:tcPr>
            <w:tcW w:w="112" w:type="pct"/>
            <w:shd w:val="clear" w:color="auto" w:fill="auto"/>
            <w:vAlign w:val="center"/>
          </w:tcPr>
          <w:p>
            <w:pPr>
              <w:pStyle w:val="2"/>
              <w:rPr>
                <w:sz w:val="22"/>
                <w:szCs w:val="22"/>
                <w:lang w:val="en-US"/>
              </w:rPr>
            </w:pPr>
          </w:p>
        </w:tc>
        <w:tc>
          <w:tcPr>
            <w:tcW w:w="112" w:type="pct"/>
            <w:shd w:val="clear" w:color="auto" w:fill="auto"/>
            <w:vAlign w:val="center"/>
          </w:tcPr>
          <w:p>
            <w:pPr>
              <w:pStyle w:val="2"/>
              <w:rPr>
                <w:sz w:val="22"/>
                <w:szCs w:val="22"/>
                <w:lang w:val="en-US"/>
              </w:rPr>
            </w:pPr>
          </w:p>
        </w:tc>
        <w:tc>
          <w:tcPr>
            <w:tcW w:w="994" w:type="pct"/>
            <w:shd w:val="clear" w:color="auto" w:fill="auto"/>
            <w:vAlign w:val="center"/>
          </w:tcPr>
          <w:p>
            <w:pPr>
              <w:pStyle w:val="2"/>
              <w:rPr>
                <w:sz w:val="22"/>
                <w:szCs w:val="22"/>
                <w:lang w:val="en-US"/>
              </w:rPr>
            </w:pPr>
          </w:p>
        </w:tc>
        <w:tc>
          <w:tcPr>
            <w:tcW w:w="678" w:type="pct"/>
            <w:shd w:val="clear" w:color="auto" w:fill="auto"/>
            <w:vAlign w:val="center"/>
          </w:tcPr>
          <w:p>
            <w:pPr>
              <w:pStyle w:val="2"/>
              <w:rPr>
                <w:sz w:val="22"/>
                <w:szCs w:val="22"/>
                <w:lang w:val="en-US"/>
              </w:rPr>
            </w:pPr>
          </w:p>
        </w:tc>
        <w:tc>
          <w:tcPr>
            <w:tcW w:w="496" w:type="pct"/>
            <w:shd w:val="clear" w:color="auto" w:fill="auto"/>
            <w:vAlign w:val="center"/>
          </w:tcPr>
          <w:p>
            <w:pPr>
              <w:pStyle w:val="2"/>
              <w:rPr>
                <w:sz w:val="22"/>
                <w:szCs w:val="22"/>
                <w:lang w:val="en-US"/>
              </w:rPr>
            </w:pPr>
          </w:p>
        </w:tc>
        <w:tc>
          <w:tcPr>
            <w:tcW w:w="496" w:type="pct"/>
            <w:shd w:val="clear" w:color="auto" w:fill="auto"/>
            <w:vAlign w:val="center"/>
          </w:tcPr>
          <w:p>
            <w:pPr>
              <w:pStyle w:val="2"/>
              <w:rPr>
                <w:sz w:val="22"/>
                <w:szCs w:val="22"/>
                <w:lang w:val="en-US"/>
              </w:rPr>
            </w:pPr>
          </w:p>
        </w:tc>
        <w:tc>
          <w:tcPr>
            <w:tcW w:w="496" w:type="pct"/>
            <w:shd w:val="clear" w:color="auto" w:fill="auto"/>
            <w:vAlign w:val="center"/>
          </w:tcPr>
          <w:p>
            <w:pPr>
              <w:pStyle w:val="2"/>
              <w:rPr>
                <w:sz w:val="22"/>
                <w:szCs w:val="22"/>
                <w:lang w:val="en-US"/>
              </w:rPr>
            </w:pPr>
          </w:p>
        </w:tc>
        <w:tc>
          <w:tcPr>
            <w:tcW w:w="496" w:type="pct"/>
            <w:shd w:val="clear" w:color="auto" w:fill="auto"/>
            <w:vAlign w:val="center"/>
          </w:tcPr>
          <w:p>
            <w:pPr>
              <w:pStyle w:val="2"/>
              <w:rPr>
                <w:sz w:val="22"/>
                <w:szCs w:val="22"/>
                <w:lang w:val="en-US"/>
              </w:rPr>
            </w:pPr>
          </w:p>
        </w:tc>
        <w:tc>
          <w:tcPr>
            <w:tcW w:w="994"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02</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04" w:type="pct"/>
            <w:gridSpan w:val="9"/>
            <w:shd w:val="clear" w:color="auto" w:fill="auto"/>
            <w:vAlign w:val="center"/>
          </w:tcPr>
          <w:p>
            <w:pPr>
              <w:pStyle w:val="2"/>
              <w:rPr>
                <w:sz w:val="22"/>
                <w:szCs w:val="22"/>
                <w:lang w:val="en-US"/>
              </w:rPr>
            </w:pPr>
            <w:r>
              <w:rPr>
                <w:sz w:val="22"/>
                <w:szCs w:val="22"/>
              </w:rPr>
              <w:t xml:space="preserve">部门：长沙市雨花区总工会 </w:t>
            </w:r>
          </w:p>
        </w:tc>
        <w:tc>
          <w:tcPr>
            <w:tcW w:w="994"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39"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39"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39"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 </w:t>
            </w: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一般公共服务支出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 </w:t>
            </w: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群众团体事务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2012901 </w:t>
            </w: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行政运行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2012902 </w:t>
            </w: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一般行政管理事务 </w:t>
            </w: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9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6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9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1"/>
            <w:shd w:val="clear" w:color="auto" w:fill="auto"/>
            <w:vAlign w:val="center"/>
          </w:tcPr>
          <w:p>
            <w:pPr>
              <w:pStyle w:val="2"/>
              <w:rPr>
                <w:sz w:val="22"/>
                <w:szCs w:val="22"/>
                <w:lang w:val="en-US"/>
              </w:rPr>
            </w:pPr>
            <w:r>
              <w:rPr>
                <w:sz w:val="22"/>
                <w:szCs w:val="22"/>
              </w:rPr>
              <w:t xml:space="preserve">注：本表反映部门本年度取得的各项收入情况。本表金额转换为万元时，因四舍五入可能存在尾数误差。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0"/>
        <w:gridCol w:w="401"/>
        <w:gridCol w:w="401"/>
        <w:gridCol w:w="3551"/>
        <w:gridCol w:w="2415"/>
        <w:gridCol w:w="1771"/>
        <w:gridCol w:w="1771"/>
        <w:gridCol w:w="1777"/>
        <w:gridCol w:w="1771"/>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jc w:val="center"/>
              <w:rPr>
                <w:sz w:val="40"/>
                <w:szCs w:val="40"/>
                <w:lang w:val="en-US"/>
              </w:rPr>
            </w:pPr>
            <w:r>
              <w:rPr>
                <w:sz w:val="40"/>
                <w:szCs w:val="4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25" w:type="pct"/>
            <w:shd w:val="clear" w:color="auto" w:fill="auto"/>
            <w:vAlign w:val="center"/>
          </w:tcPr>
          <w:p>
            <w:pPr>
              <w:pStyle w:val="2"/>
              <w:rPr>
                <w:sz w:val="22"/>
                <w:szCs w:val="22"/>
                <w:lang w:val="en-US"/>
              </w:rPr>
            </w:pPr>
          </w:p>
        </w:tc>
        <w:tc>
          <w:tcPr>
            <w:tcW w:w="125" w:type="pct"/>
            <w:shd w:val="clear" w:color="auto" w:fill="auto"/>
            <w:vAlign w:val="center"/>
          </w:tcPr>
          <w:p>
            <w:pPr>
              <w:pStyle w:val="2"/>
              <w:rPr>
                <w:sz w:val="22"/>
                <w:szCs w:val="22"/>
                <w:lang w:val="en-US"/>
              </w:rPr>
            </w:pPr>
          </w:p>
        </w:tc>
        <w:tc>
          <w:tcPr>
            <w:tcW w:w="125" w:type="pct"/>
            <w:shd w:val="clear" w:color="auto" w:fill="auto"/>
            <w:vAlign w:val="center"/>
          </w:tcPr>
          <w:p>
            <w:pPr>
              <w:pStyle w:val="2"/>
              <w:rPr>
                <w:sz w:val="22"/>
                <w:szCs w:val="22"/>
                <w:lang w:val="en-US"/>
              </w:rPr>
            </w:pPr>
          </w:p>
        </w:tc>
        <w:tc>
          <w:tcPr>
            <w:tcW w:w="1105" w:type="pct"/>
            <w:shd w:val="clear" w:color="auto" w:fill="auto"/>
            <w:vAlign w:val="center"/>
          </w:tcPr>
          <w:p>
            <w:pPr>
              <w:pStyle w:val="2"/>
              <w:rPr>
                <w:sz w:val="22"/>
                <w:szCs w:val="22"/>
                <w:lang w:val="en-US"/>
              </w:rPr>
            </w:pPr>
          </w:p>
        </w:tc>
        <w:tc>
          <w:tcPr>
            <w:tcW w:w="753" w:type="pct"/>
            <w:shd w:val="clear" w:color="auto" w:fill="auto"/>
            <w:vAlign w:val="center"/>
          </w:tcPr>
          <w:p>
            <w:pPr>
              <w:pStyle w:val="2"/>
              <w:rPr>
                <w:sz w:val="22"/>
                <w:szCs w:val="22"/>
                <w:lang w:val="en-US"/>
              </w:rPr>
            </w:pPr>
          </w:p>
        </w:tc>
        <w:tc>
          <w:tcPr>
            <w:tcW w:w="552" w:type="pct"/>
            <w:shd w:val="clear" w:color="auto" w:fill="auto"/>
            <w:vAlign w:val="center"/>
          </w:tcPr>
          <w:p>
            <w:pPr>
              <w:pStyle w:val="2"/>
              <w:rPr>
                <w:sz w:val="22"/>
                <w:szCs w:val="22"/>
                <w:lang w:val="en-US"/>
              </w:rPr>
            </w:pPr>
          </w:p>
        </w:tc>
        <w:tc>
          <w:tcPr>
            <w:tcW w:w="552" w:type="pct"/>
            <w:shd w:val="clear" w:color="auto" w:fill="auto"/>
            <w:vAlign w:val="center"/>
          </w:tcPr>
          <w:p>
            <w:pPr>
              <w:pStyle w:val="2"/>
              <w:rPr>
                <w:sz w:val="22"/>
                <w:szCs w:val="22"/>
                <w:lang w:val="en-US"/>
              </w:rPr>
            </w:pPr>
          </w:p>
        </w:tc>
        <w:tc>
          <w:tcPr>
            <w:tcW w:w="552" w:type="pct"/>
            <w:shd w:val="clear" w:color="auto" w:fill="auto"/>
            <w:vAlign w:val="center"/>
          </w:tcPr>
          <w:p>
            <w:pPr>
              <w:pStyle w:val="2"/>
              <w:rPr>
                <w:sz w:val="22"/>
                <w:szCs w:val="22"/>
                <w:lang w:val="en-US"/>
              </w:rPr>
            </w:pPr>
          </w:p>
        </w:tc>
        <w:tc>
          <w:tcPr>
            <w:tcW w:w="1105"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03</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893" w:type="pct"/>
            <w:gridSpan w:val="8"/>
            <w:shd w:val="clear" w:color="auto" w:fill="auto"/>
            <w:vAlign w:val="center"/>
          </w:tcPr>
          <w:p>
            <w:pPr>
              <w:pStyle w:val="2"/>
              <w:rPr>
                <w:sz w:val="22"/>
                <w:szCs w:val="22"/>
                <w:lang w:val="en-US"/>
              </w:rPr>
            </w:pPr>
            <w:r>
              <w:rPr>
                <w:sz w:val="22"/>
                <w:szCs w:val="22"/>
              </w:rPr>
              <w:t xml:space="preserve">部门：长沙市雨花区总工会 </w:t>
            </w:r>
          </w:p>
        </w:tc>
        <w:tc>
          <w:tcPr>
            <w:tcW w:w="1105"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75"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75"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75"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287.52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244.07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一般公共服务支出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群众团体事务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2012901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行政运行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2012902 </w:t>
            </w: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一般行政管理事务 </w:t>
            </w: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10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7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55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rPr>
                <w:sz w:val="22"/>
                <w:szCs w:val="22"/>
                <w:lang w:val="en-US"/>
              </w:rPr>
            </w:pPr>
            <w:r>
              <w:rPr>
                <w:sz w:val="22"/>
                <w:szCs w:val="22"/>
              </w:rPr>
              <w:t xml:space="preserve">注：本表反映部门本年度各项支出情况。本表金额转换为万元时，因四舍五入可能存在尾数误差。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jc w:val="center"/>
              <w:rPr>
                <w:sz w:val="40"/>
                <w:szCs w:val="40"/>
                <w:lang w:val="en-US"/>
              </w:rPr>
            </w:pPr>
            <w:r>
              <w:rPr>
                <w:sz w:val="40"/>
                <w:szCs w:val="4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shd w:val="clear" w:color="auto" w:fill="auto"/>
            <w:vAlign w:val="center"/>
          </w:tcPr>
          <w:p>
            <w:pPr>
              <w:pStyle w:val="2"/>
              <w:rPr>
                <w:sz w:val="22"/>
                <w:szCs w:val="22"/>
                <w:lang w:val="en-US"/>
              </w:rPr>
            </w:pPr>
          </w:p>
        </w:tc>
        <w:tc>
          <w:tcPr>
            <w:tcW w:w="165" w:type="pct"/>
            <w:shd w:val="clear" w:color="auto" w:fill="auto"/>
            <w:vAlign w:val="center"/>
          </w:tcPr>
          <w:p>
            <w:pPr>
              <w:pStyle w:val="2"/>
              <w:rPr>
                <w:sz w:val="22"/>
                <w:szCs w:val="22"/>
                <w:lang w:val="en-US"/>
              </w:rPr>
            </w:pPr>
          </w:p>
        </w:tc>
        <w:tc>
          <w:tcPr>
            <w:tcW w:w="486" w:type="pct"/>
            <w:shd w:val="clear" w:color="auto" w:fill="auto"/>
            <w:vAlign w:val="center"/>
          </w:tcPr>
          <w:p>
            <w:pPr>
              <w:pStyle w:val="2"/>
              <w:rPr>
                <w:sz w:val="22"/>
                <w:szCs w:val="22"/>
                <w:lang w:val="en-US"/>
              </w:rPr>
            </w:pPr>
          </w:p>
        </w:tc>
        <w:tc>
          <w:tcPr>
            <w:tcW w:w="1151" w:type="pct"/>
            <w:shd w:val="clear" w:color="auto" w:fill="auto"/>
            <w:vAlign w:val="center"/>
          </w:tcPr>
          <w:p>
            <w:pPr>
              <w:pStyle w:val="2"/>
              <w:rPr>
                <w:sz w:val="22"/>
                <w:szCs w:val="22"/>
                <w:lang w:val="en-US"/>
              </w:rPr>
            </w:pPr>
          </w:p>
        </w:tc>
        <w:tc>
          <w:tcPr>
            <w:tcW w:w="165" w:type="pct"/>
            <w:shd w:val="clear" w:color="auto" w:fill="auto"/>
            <w:vAlign w:val="center"/>
          </w:tcPr>
          <w:p>
            <w:pPr>
              <w:pStyle w:val="2"/>
              <w:rPr>
                <w:sz w:val="22"/>
                <w:szCs w:val="22"/>
                <w:lang w:val="en-US"/>
              </w:rPr>
            </w:pPr>
          </w:p>
        </w:tc>
        <w:tc>
          <w:tcPr>
            <w:tcW w:w="664" w:type="pct"/>
            <w:shd w:val="clear" w:color="auto" w:fill="auto"/>
            <w:vAlign w:val="center"/>
          </w:tcPr>
          <w:p>
            <w:pPr>
              <w:pStyle w:val="2"/>
              <w:rPr>
                <w:sz w:val="22"/>
                <w:szCs w:val="22"/>
                <w:lang w:val="en-US"/>
              </w:rPr>
            </w:pPr>
          </w:p>
        </w:tc>
        <w:tc>
          <w:tcPr>
            <w:tcW w:w="455" w:type="pct"/>
            <w:shd w:val="clear" w:color="auto" w:fill="auto"/>
            <w:vAlign w:val="center"/>
          </w:tcPr>
          <w:p>
            <w:pPr>
              <w:pStyle w:val="2"/>
              <w:rPr>
                <w:sz w:val="22"/>
                <w:szCs w:val="22"/>
                <w:lang w:val="en-US"/>
              </w:rPr>
            </w:pPr>
          </w:p>
        </w:tc>
        <w:tc>
          <w:tcPr>
            <w:tcW w:w="911"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04</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86" w:type="pct"/>
            <w:gridSpan w:val="7"/>
            <w:shd w:val="clear" w:color="auto" w:fill="auto"/>
            <w:vAlign w:val="center"/>
          </w:tcPr>
          <w:p>
            <w:pPr>
              <w:pStyle w:val="2"/>
              <w:rPr>
                <w:sz w:val="22"/>
                <w:szCs w:val="22"/>
                <w:lang w:val="en-US"/>
              </w:rPr>
            </w:pPr>
            <w:r>
              <w:rPr>
                <w:sz w:val="22"/>
                <w:szCs w:val="22"/>
              </w:rPr>
              <w:t xml:space="preserve">部门：长沙市雨花区总工会 </w:t>
            </w:r>
          </w:p>
        </w:tc>
        <w:tc>
          <w:tcPr>
            <w:tcW w:w="911"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收 入 </w:t>
            </w:r>
          </w:p>
        </w:tc>
        <w:tc>
          <w:tcPr>
            <w:tcW w:w="3349"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一、一般公共预算财政拨款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一、一般公共服务支出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二、政府性基金预算财政拨款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二、外交支出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三、国有资本经营财政拨款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三、国防支出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35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四、公共安全支出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36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五、教育支出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37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六、科学技术支出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38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7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七、文化旅游体育与传媒支出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39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8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八、社会保障和就业支出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40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9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九、卫生健康支出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41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10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十、节能环保支出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42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十一、城乡社区支出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十二、农林水支出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13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十三、交通运输支出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45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14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十四、资源勘探工业信息等支出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46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15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十五、商业服务业等支出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47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16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十六、金融支出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48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17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十七、援助其他地区支出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49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18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十八、自然资源海洋气象等支出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50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19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十九、住房保障支出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51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20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二十、粮油物资储备支出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52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二十一、国有资本经营预算支出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二十二、灾害防治及应急管理支出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23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二十三、其他支出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55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0"/>
                <w:szCs w:val="20"/>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24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二十四、债务还本支出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56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0"/>
                <w:szCs w:val="20"/>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25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二十五、债务付息支出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57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0"/>
                <w:szCs w:val="20"/>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26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二十六、抗疫特别国债安排的支出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58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本年收入合计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27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本年支出合计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59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年初财政拨款结转和结余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28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年末财政拨款结转和结余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60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一般公共预算财政拨款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29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61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政府性基金预算财政拨款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30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62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国有资本经营预算财政拨款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31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63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32 </w:t>
            </w:r>
          </w:p>
        </w:tc>
        <w:tc>
          <w:tcPr>
            <w:tcW w:w="48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115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总计 </w:t>
            </w:r>
          </w:p>
        </w:tc>
        <w:tc>
          <w:tcPr>
            <w:tcW w:w="16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64 </w:t>
            </w:r>
          </w:p>
        </w:tc>
        <w:tc>
          <w:tcPr>
            <w:tcW w:w="6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c>
          <w:tcPr>
            <w:tcW w:w="45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rPr>
                <w:sz w:val="22"/>
                <w:szCs w:val="22"/>
                <w:lang w:val="en-US"/>
              </w:rPr>
            </w:pPr>
            <w:r>
              <w:rPr>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5000" w:type="pct"/>
            <w:gridSpan w:val="7"/>
            <w:shd w:val="clear" w:color="auto" w:fill="auto"/>
            <w:vAlign w:val="center"/>
          </w:tcPr>
          <w:p>
            <w:pPr>
              <w:pStyle w:val="2"/>
              <w:jc w:val="center"/>
              <w:rPr>
                <w:sz w:val="40"/>
                <w:szCs w:val="40"/>
                <w:lang w:val="en-US"/>
              </w:rPr>
            </w:pPr>
            <w:r>
              <w:rPr>
                <w:sz w:val="40"/>
                <w:szCs w:val="4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1" w:type="pct"/>
            <w:shd w:val="clear" w:color="auto" w:fill="auto"/>
            <w:vAlign w:val="center"/>
          </w:tcPr>
          <w:p>
            <w:pPr>
              <w:pStyle w:val="2"/>
              <w:rPr>
                <w:sz w:val="22"/>
                <w:szCs w:val="22"/>
                <w:lang w:val="en-US"/>
              </w:rPr>
            </w:pPr>
          </w:p>
        </w:tc>
        <w:tc>
          <w:tcPr>
            <w:tcW w:w="141" w:type="pct"/>
            <w:shd w:val="clear" w:color="auto" w:fill="auto"/>
            <w:vAlign w:val="center"/>
          </w:tcPr>
          <w:p>
            <w:pPr>
              <w:pStyle w:val="2"/>
              <w:rPr>
                <w:sz w:val="22"/>
                <w:szCs w:val="22"/>
                <w:lang w:val="en-US"/>
              </w:rPr>
            </w:pPr>
          </w:p>
        </w:tc>
        <w:tc>
          <w:tcPr>
            <w:tcW w:w="141" w:type="pct"/>
            <w:shd w:val="clear" w:color="auto" w:fill="auto"/>
            <w:vAlign w:val="center"/>
          </w:tcPr>
          <w:p>
            <w:pPr>
              <w:pStyle w:val="2"/>
              <w:rPr>
                <w:sz w:val="22"/>
                <w:szCs w:val="22"/>
                <w:lang w:val="en-US"/>
              </w:rPr>
            </w:pPr>
          </w:p>
        </w:tc>
        <w:tc>
          <w:tcPr>
            <w:tcW w:w="1682" w:type="pct"/>
            <w:shd w:val="clear" w:color="auto" w:fill="auto"/>
            <w:vAlign w:val="center"/>
          </w:tcPr>
          <w:p>
            <w:pPr>
              <w:pStyle w:val="2"/>
              <w:rPr>
                <w:sz w:val="22"/>
                <w:szCs w:val="22"/>
                <w:lang w:val="en-US"/>
              </w:rPr>
            </w:pPr>
          </w:p>
        </w:tc>
        <w:tc>
          <w:tcPr>
            <w:tcW w:w="964" w:type="pct"/>
            <w:shd w:val="clear" w:color="auto" w:fill="auto"/>
            <w:vAlign w:val="center"/>
          </w:tcPr>
          <w:p>
            <w:pPr>
              <w:pStyle w:val="2"/>
              <w:rPr>
                <w:sz w:val="22"/>
                <w:szCs w:val="22"/>
                <w:lang w:val="en-US"/>
              </w:rPr>
            </w:pPr>
          </w:p>
        </w:tc>
        <w:tc>
          <w:tcPr>
            <w:tcW w:w="1928"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05</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071" w:type="pct"/>
            <w:gridSpan w:val="5"/>
            <w:shd w:val="clear" w:color="auto" w:fill="auto"/>
            <w:vAlign w:val="center"/>
          </w:tcPr>
          <w:p>
            <w:pPr>
              <w:pStyle w:val="2"/>
              <w:rPr>
                <w:sz w:val="22"/>
                <w:szCs w:val="22"/>
                <w:lang w:val="en-US"/>
              </w:rPr>
            </w:pPr>
            <w:r>
              <w:rPr>
                <w:sz w:val="22"/>
                <w:szCs w:val="22"/>
              </w:rPr>
              <w:t xml:space="preserve">部门：长沙市雨花区总工会 </w:t>
            </w:r>
          </w:p>
        </w:tc>
        <w:tc>
          <w:tcPr>
            <w:tcW w:w="1928"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289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blCellSpacing w:w="0" w:type="dxa"/>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531.59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287.52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244.07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 </w:t>
            </w: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一般公共服务支出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 </w:t>
            </w: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群众团体事务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531.59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2012901 </w:t>
            </w: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287.52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2012902 </w:t>
            </w: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244.07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682"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96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rPr>
                <w:sz w:val="22"/>
                <w:szCs w:val="22"/>
                <w:lang w:val="en-US"/>
              </w:rPr>
            </w:pPr>
            <w:r>
              <w:rPr>
                <w:sz w:val="22"/>
                <w:szCs w:val="22"/>
              </w:rPr>
              <w:t xml:space="preserve">注：本表反映部门本年度一般公共预算财政拨款支出情况。本表金额转换为万元时，因四舍五入可能存在尾数误差。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jc w:val="center"/>
              <w:rPr>
                <w:sz w:val="40"/>
                <w:szCs w:val="40"/>
                <w:lang w:val="en-US"/>
              </w:rPr>
            </w:pPr>
            <w:r>
              <w:rPr>
                <w:sz w:val="40"/>
                <w:szCs w:val="40"/>
              </w:rPr>
              <w:t xml:space="preserve">一般公共预算财政拨款基本支出决算明细表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shd w:val="clear" w:color="auto" w:fill="auto"/>
            <w:vAlign w:val="center"/>
          </w:tcPr>
          <w:p>
            <w:pPr>
              <w:pStyle w:val="2"/>
              <w:rPr>
                <w:sz w:val="22"/>
                <w:szCs w:val="22"/>
                <w:lang w:val="en-US"/>
              </w:rPr>
            </w:pPr>
          </w:p>
        </w:tc>
        <w:tc>
          <w:tcPr>
            <w:tcW w:w="1053" w:type="pct"/>
            <w:shd w:val="clear" w:color="auto" w:fill="auto"/>
            <w:vAlign w:val="center"/>
          </w:tcPr>
          <w:p>
            <w:pPr>
              <w:pStyle w:val="2"/>
              <w:rPr>
                <w:sz w:val="22"/>
                <w:szCs w:val="22"/>
                <w:lang w:val="en-US"/>
              </w:rPr>
            </w:pPr>
          </w:p>
        </w:tc>
        <w:tc>
          <w:tcPr>
            <w:tcW w:w="538" w:type="pct"/>
            <w:shd w:val="clear" w:color="auto" w:fill="auto"/>
            <w:vAlign w:val="center"/>
          </w:tcPr>
          <w:p>
            <w:pPr>
              <w:pStyle w:val="2"/>
              <w:rPr>
                <w:sz w:val="22"/>
                <w:szCs w:val="22"/>
                <w:lang w:val="en-US"/>
              </w:rPr>
            </w:pPr>
          </w:p>
        </w:tc>
        <w:tc>
          <w:tcPr>
            <w:tcW w:w="224" w:type="pct"/>
            <w:shd w:val="clear" w:color="auto" w:fill="auto"/>
            <w:vAlign w:val="center"/>
          </w:tcPr>
          <w:p>
            <w:pPr>
              <w:pStyle w:val="2"/>
              <w:rPr>
                <w:sz w:val="22"/>
                <w:szCs w:val="22"/>
                <w:lang w:val="en-US"/>
              </w:rPr>
            </w:pPr>
          </w:p>
        </w:tc>
        <w:tc>
          <w:tcPr>
            <w:tcW w:w="828" w:type="pct"/>
            <w:shd w:val="clear" w:color="auto" w:fill="auto"/>
            <w:vAlign w:val="center"/>
          </w:tcPr>
          <w:p>
            <w:pPr>
              <w:pStyle w:val="2"/>
              <w:rPr>
                <w:sz w:val="22"/>
                <w:szCs w:val="22"/>
                <w:lang w:val="en-US"/>
              </w:rPr>
            </w:pPr>
          </w:p>
        </w:tc>
        <w:tc>
          <w:tcPr>
            <w:tcW w:w="538" w:type="pct"/>
            <w:shd w:val="clear" w:color="auto" w:fill="auto"/>
            <w:vAlign w:val="center"/>
          </w:tcPr>
          <w:p>
            <w:pPr>
              <w:pStyle w:val="2"/>
              <w:rPr>
                <w:sz w:val="22"/>
                <w:szCs w:val="22"/>
                <w:lang w:val="en-US"/>
              </w:rPr>
            </w:pPr>
          </w:p>
        </w:tc>
        <w:tc>
          <w:tcPr>
            <w:tcW w:w="224" w:type="pct"/>
            <w:shd w:val="clear" w:color="auto" w:fill="auto"/>
            <w:vAlign w:val="center"/>
          </w:tcPr>
          <w:p>
            <w:pPr>
              <w:pStyle w:val="2"/>
              <w:rPr>
                <w:sz w:val="22"/>
                <w:szCs w:val="22"/>
                <w:lang w:val="en-US"/>
              </w:rPr>
            </w:pPr>
          </w:p>
        </w:tc>
        <w:tc>
          <w:tcPr>
            <w:tcW w:w="1366" w:type="pct"/>
            <w:gridSpan w:val="2"/>
            <w:shd w:val="clear" w:color="auto" w:fill="auto"/>
            <w:vAlign w:val="center"/>
          </w:tcPr>
          <w:p>
            <w:pPr>
              <w:pStyle w:val="2"/>
              <w:jc w:val="right"/>
              <w:rPr>
                <w:sz w:val="18"/>
                <w:szCs w:val="18"/>
                <w:lang w:val="en-US"/>
              </w:rPr>
            </w:pPr>
            <w:r>
              <w:rPr>
                <w:sz w:val="18"/>
                <w:szCs w:val="18"/>
              </w:rPr>
              <w:t>公开</w:t>
            </w:r>
            <w:r>
              <w:rPr>
                <w:sz w:val="18"/>
                <w:szCs w:val="18"/>
                <w:lang w:val="en-US"/>
              </w:rPr>
              <w:t>06</w:t>
            </w:r>
            <w:r>
              <w:rPr>
                <w:sz w:val="18"/>
                <w:szCs w:val="18"/>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632" w:type="pct"/>
            <w:gridSpan w:val="7"/>
            <w:shd w:val="clear" w:color="auto" w:fill="auto"/>
            <w:vAlign w:val="center"/>
          </w:tcPr>
          <w:p>
            <w:pPr>
              <w:pStyle w:val="2"/>
              <w:rPr>
                <w:sz w:val="22"/>
                <w:szCs w:val="22"/>
                <w:lang w:val="en-US"/>
              </w:rPr>
            </w:pPr>
            <w:r>
              <w:rPr>
                <w:sz w:val="22"/>
                <w:szCs w:val="22"/>
              </w:rPr>
              <w:t xml:space="preserve">部门：长沙市雨花区总工会 </w:t>
            </w:r>
          </w:p>
        </w:tc>
        <w:tc>
          <w:tcPr>
            <w:tcW w:w="1366" w:type="pct"/>
            <w:gridSpan w:val="2"/>
            <w:shd w:val="clear" w:color="auto" w:fill="auto"/>
            <w:vAlign w:val="center"/>
          </w:tcPr>
          <w:p>
            <w:pPr>
              <w:pStyle w:val="2"/>
              <w:jc w:val="right"/>
              <w:rPr>
                <w:sz w:val="18"/>
                <w:szCs w:val="18"/>
                <w:lang w:val="en-US"/>
              </w:rPr>
            </w:pPr>
            <w:r>
              <w:rPr>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人员经费 </w:t>
            </w:r>
          </w:p>
        </w:tc>
        <w:tc>
          <w:tcPr>
            <w:tcW w:w="3182"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lang w:val="en-US"/>
              </w:rPr>
              <w:t xml:space="preserve">301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rPr>
              <w:t xml:space="preserve">工资福利支出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222.83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lang w:val="en-US"/>
              </w:rPr>
              <w:t xml:space="preserve">302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rPr>
              <w:t xml:space="preserve">商品和服务支出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21.72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lang w:val="en-US"/>
              </w:rPr>
              <w:t xml:space="preserve">307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rPr>
              <w:t xml:space="preserve">债务利息及费用支出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基本工资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50.01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办公费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5.66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30701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国内债务付息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30102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津贴补贴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23.86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印刷费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30702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国外债务付息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奖金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63.60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30203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咨询费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lang w:val="en-US"/>
              </w:rPr>
              <w:t xml:space="preserve">310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rPr>
              <w:t xml:space="preserve">资本性支出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30106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伙食补助费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30204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手续费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房屋建筑物购建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30107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绩效工资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30205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办公设备购置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30108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机关事业单位基本养老保险缴费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9.55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30206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电费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31003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专用设备购置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30109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职业年金缴费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30207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邮电费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0.11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31005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基础设施建设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30110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职工基本医疗保险缴费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5.01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30208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取暖费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31006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大型修缮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30111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公务员医疗补助缴费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4.38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30209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物业管理费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31007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信息网络及软件购置更新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30112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其他社会保障缴费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0.50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差旅费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31008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物资储备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30113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住房公积金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15.33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因公出国（境）费用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31009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土地补偿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30114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医疗费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5.22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30213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维修（护）费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31010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安置补助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30199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其他工资福利支出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45.37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30214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租赁费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31011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地上附着物和青苗补偿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lang w:val="en-US"/>
              </w:rPr>
              <w:t xml:space="preserve">303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rPr>
              <w:t xml:space="preserve">对个人和家庭的补助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42.97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30215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会议费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0.27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31012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拆迁补偿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离休费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30216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培训费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31013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公务用车购置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30302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退休费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39.62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30217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公务接待费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31019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其他交通工具购置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30303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退职（役）费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30218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专用材料费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31021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文物和陈列品购置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30304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抚恤金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30224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被装购置费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31022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无形资产购置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30305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生活补助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30225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专用燃料费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31099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其他资本性支出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30306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救济费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30226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劳务费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lang w:val="en-US"/>
              </w:rPr>
              <w:t xml:space="preserve">399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b/>
                <w:bCs/>
                <w:sz w:val="22"/>
                <w:szCs w:val="22"/>
                <w:lang w:val="en-US"/>
              </w:rPr>
            </w:pPr>
            <w:r>
              <w:rPr>
                <w:b/>
                <w:bCs/>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30307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医疗费补助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2.28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30227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委托业务费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39906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赠与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30308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助学金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30228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工会经费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1.95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39907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国家赔偿费用支出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30309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奖励金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0.20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30229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福利费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0.54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39908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对民间非营利组织和群众性自治组织补贴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30310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个人农业生产补贴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30231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公务用车运行维护费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39999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30311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代缴社会保险费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30239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其他交通费用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3.83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30399 </w:t>
            </w: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其他对个人和家庭的补助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0.88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30240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税金及附加费用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5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lang w:val="en-US"/>
              </w:rPr>
              <w:t xml:space="preserve">30299 </w:t>
            </w: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r>
              <w:rPr>
                <w:sz w:val="22"/>
                <w:szCs w:val="22"/>
              </w:rPr>
              <w:t xml:space="preserve">其他商品和服务支出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9.35 </w:t>
            </w:r>
          </w:p>
        </w:tc>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2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人员经费合计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265.80 </w:t>
            </w:r>
          </w:p>
        </w:tc>
        <w:tc>
          <w:tcPr>
            <w:tcW w:w="2645" w:type="pct"/>
            <w:gridSpan w:val="5"/>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b/>
                <w:bCs/>
                <w:sz w:val="22"/>
                <w:szCs w:val="22"/>
                <w:lang w:val="en-US"/>
              </w:rPr>
            </w:pPr>
            <w:r>
              <w:rPr>
                <w:b/>
                <w:bCs/>
                <w:sz w:val="22"/>
                <w:szCs w:val="22"/>
              </w:rPr>
              <w:t xml:space="preserve">公用经费合计 </w:t>
            </w:r>
          </w:p>
        </w:tc>
        <w:tc>
          <w:tcPr>
            <w:tcW w:w="53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21.72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2"/>
              <w:rPr>
                <w:sz w:val="22"/>
                <w:szCs w:val="22"/>
                <w:lang w:val="en-US"/>
              </w:rPr>
            </w:pPr>
            <w:r>
              <w:rPr>
                <w:sz w:val="22"/>
                <w:szCs w:val="22"/>
              </w:rPr>
              <w:t xml:space="preserve">注：本表反映部门本年度一般公共预算财政拨款基本支出明细情况。本表金额转换为万元时，因四舍五入可能存在尾数误差。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2"/>
              <w:jc w:val="center"/>
              <w:rPr>
                <w:sz w:val="40"/>
                <w:szCs w:val="40"/>
                <w:lang w:val="en-US"/>
              </w:rPr>
            </w:pPr>
            <w:r>
              <w:rPr>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416" w:type="pct"/>
            <w:shd w:val="clear" w:color="auto" w:fill="auto"/>
            <w:vAlign w:val="center"/>
          </w:tcPr>
          <w:p>
            <w:pPr>
              <w:pStyle w:val="2"/>
              <w:rPr>
                <w:sz w:val="22"/>
                <w:szCs w:val="22"/>
                <w:lang w:val="en-US"/>
              </w:rPr>
            </w:pPr>
          </w:p>
        </w:tc>
        <w:tc>
          <w:tcPr>
            <w:tcW w:w="833"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07</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6" w:type="pct"/>
            <w:gridSpan w:val="10"/>
            <w:shd w:val="clear" w:color="auto" w:fill="auto"/>
            <w:vAlign w:val="center"/>
          </w:tcPr>
          <w:p>
            <w:pPr>
              <w:pStyle w:val="2"/>
              <w:rPr>
                <w:sz w:val="22"/>
                <w:szCs w:val="22"/>
                <w:lang w:val="en-US"/>
              </w:rPr>
            </w:pPr>
            <w:r>
              <w:rPr>
                <w:sz w:val="22"/>
                <w:szCs w:val="22"/>
              </w:rPr>
              <w:t xml:space="preserve">部门：长沙市雨花区总工会 </w:t>
            </w:r>
          </w:p>
        </w:tc>
        <w:tc>
          <w:tcPr>
            <w:tcW w:w="833"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公务用车运行费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7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8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9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r>
              <w:rPr>
                <w:sz w:val="22"/>
                <w:szCs w:val="22"/>
                <w:lang w:val="en-US"/>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2"/>
              <w:rPr>
                <w:sz w:val="22"/>
                <w:szCs w:val="22"/>
                <w:lang w:val="en-US"/>
              </w:rPr>
            </w:pPr>
            <w:r>
              <w:rPr>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
        <w:gridCol w:w="334"/>
        <w:gridCol w:w="334"/>
        <w:gridCol w:w="3458"/>
        <w:gridCol w:w="1180"/>
        <w:gridCol w:w="1969"/>
        <w:gridCol w:w="1075"/>
        <w:gridCol w:w="1524"/>
        <w:gridCol w:w="1517"/>
        <w:gridCol w:w="4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jc w:val="center"/>
              <w:rPr>
                <w:sz w:val="40"/>
                <w:szCs w:val="40"/>
                <w:lang w:val="en-US"/>
              </w:rPr>
            </w:pPr>
            <w:r>
              <w:rPr>
                <w:sz w:val="40"/>
                <w:szCs w:val="4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4" w:type="pct"/>
            <w:shd w:val="clear" w:color="auto" w:fill="auto"/>
            <w:vAlign w:val="center"/>
          </w:tcPr>
          <w:p>
            <w:pPr>
              <w:pStyle w:val="2"/>
              <w:rPr>
                <w:sz w:val="22"/>
                <w:szCs w:val="22"/>
                <w:lang w:val="en-US"/>
              </w:rPr>
            </w:pPr>
          </w:p>
        </w:tc>
        <w:tc>
          <w:tcPr>
            <w:tcW w:w="104" w:type="pct"/>
            <w:shd w:val="clear" w:color="auto" w:fill="auto"/>
            <w:vAlign w:val="center"/>
          </w:tcPr>
          <w:p>
            <w:pPr>
              <w:pStyle w:val="2"/>
              <w:rPr>
                <w:sz w:val="22"/>
                <w:szCs w:val="22"/>
                <w:lang w:val="en-US"/>
              </w:rPr>
            </w:pPr>
          </w:p>
        </w:tc>
        <w:tc>
          <w:tcPr>
            <w:tcW w:w="104" w:type="pct"/>
            <w:shd w:val="clear" w:color="auto" w:fill="auto"/>
            <w:vAlign w:val="center"/>
          </w:tcPr>
          <w:p>
            <w:pPr>
              <w:pStyle w:val="2"/>
              <w:rPr>
                <w:sz w:val="22"/>
                <w:szCs w:val="22"/>
                <w:lang w:val="en-US"/>
              </w:rPr>
            </w:pPr>
          </w:p>
        </w:tc>
        <w:tc>
          <w:tcPr>
            <w:tcW w:w="1078" w:type="pct"/>
            <w:shd w:val="clear" w:color="auto" w:fill="auto"/>
            <w:vAlign w:val="center"/>
          </w:tcPr>
          <w:p>
            <w:pPr>
              <w:pStyle w:val="2"/>
              <w:rPr>
                <w:sz w:val="22"/>
                <w:szCs w:val="22"/>
                <w:lang w:val="en-US"/>
              </w:rPr>
            </w:pPr>
          </w:p>
        </w:tc>
        <w:tc>
          <w:tcPr>
            <w:tcW w:w="368" w:type="pct"/>
            <w:shd w:val="clear" w:color="auto" w:fill="auto"/>
            <w:vAlign w:val="center"/>
          </w:tcPr>
          <w:p>
            <w:pPr>
              <w:pStyle w:val="2"/>
              <w:rPr>
                <w:sz w:val="22"/>
                <w:szCs w:val="22"/>
                <w:lang w:val="en-US"/>
              </w:rPr>
            </w:pPr>
          </w:p>
        </w:tc>
        <w:tc>
          <w:tcPr>
            <w:tcW w:w="614" w:type="pct"/>
            <w:shd w:val="clear" w:color="auto" w:fill="auto"/>
            <w:vAlign w:val="center"/>
          </w:tcPr>
          <w:p>
            <w:pPr>
              <w:pStyle w:val="2"/>
              <w:rPr>
                <w:sz w:val="22"/>
                <w:szCs w:val="22"/>
                <w:lang w:val="en-US"/>
              </w:rPr>
            </w:pPr>
          </w:p>
        </w:tc>
        <w:tc>
          <w:tcPr>
            <w:tcW w:w="335" w:type="pct"/>
            <w:shd w:val="clear" w:color="auto" w:fill="auto"/>
            <w:vAlign w:val="center"/>
          </w:tcPr>
          <w:p>
            <w:pPr>
              <w:pStyle w:val="2"/>
              <w:rPr>
                <w:sz w:val="22"/>
                <w:szCs w:val="22"/>
                <w:lang w:val="en-US"/>
              </w:rPr>
            </w:pPr>
          </w:p>
        </w:tc>
        <w:tc>
          <w:tcPr>
            <w:tcW w:w="473" w:type="pct"/>
            <w:shd w:val="clear" w:color="auto" w:fill="auto"/>
            <w:vAlign w:val="center"/>
          </w:tcPr>
          <w:p>
            <w:pPr>
              <w:pStyle w:val="2"/>
              <w:rPr>
                <w:sz w:val="22"/>
                <w:szCs w:val="22"/>
                <w:lang w:val="en-US"/>
              </w:rPr>
            </w:pPr>
          </w:p>
        </w:tc>
        <w:tc>
          <w:tcPr>
            <w:tcW w:w="1816"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08</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82" w:type="pct"/>
            <w:gridSpan w:val="8"/>
            <w:shd w:val="clear" w:color="auto" w:fill="auto"/>
            <w:vAlign w:val="center"/>
          </w:tcPr>
          <w:p>
            <w:pPr>
              <w:pStyle w:val="2"/>
              <w:rPr>
                <w:sz w:val="22"/>
                <w:szCs w:val="22"/>
                <w:lang w:val="en-US"/>
              </w:rPr>
            </w:pPr>
            <w:r>
              <w:rPr>
                <w:sz w:val="22"/>
                <w:szCs w:val="22"/>
              </w:rPr>
              <w:t xml:space="preserve">部门：长沙市雨花区总工会 </w:t>
            </w:r>
          </w:p>
        </w:tc>
        <w:tc>
          <w:tcPr>
            <w:tcW w:w="1816"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年初结转和结余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本年收入 </w:t>
            </w:r>
          </w:p>
        </w:tc>
        <w:tc>
          <w:tcPr>
            <w:tcW w:w="1281"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本年支出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12"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项目支出 </w:t>
            </w: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12"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12"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4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5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07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36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61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33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47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13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2"/>
              <w:rPr>
                <w:sz w:val="22"/>
                <w:szCs w:val="22"/>
                <w:lang w:val="en-US"/>
              </w:rPr>
            </w:pPr>
            <w:r>
              <w:rPr>
                <w:sz w:val="22"/>
                <w:szCs w:val="22"/>
              </w:rPr>
              <w:t xml:space="preserve">注：本表反映部门本年度政府性基金预算财政拨款收入、支出及结转和结余情况。本表金额转换为万元时，因四舍五入可能存在尾数误差。 </w:t>
            </w:r>
          </w:p>
        </w:tc>
      </w:tr>
    </w:tbl>
    <w:p>
      <w:pPr>
        <w:pStyle w:val="2"/>
        <w:rPr>
          <w:color w:val="000000"/>
          <w:lang w:val="en-US"/>
        </w:rPr>
      </w:pPr>
    </w:p>
    <w:p>
      <w:pPr>
        <w:spacing w:after="2" w:afterAutospacing="0"/>
        <w:jc w:val="center"/>
        <w:rPr>
          <w:color w:val="000000"/>
          <w:szCs w:val="21"/>
          <w:lang w:val="en-US"/>
        </w:rPr>
      </w:pP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jc w:val="center"/>
              <w:rPr>
                <w:sz w:val="40"/>
                <w:szCs w:val="40"/>
                <w:lang w:val="en-US"/>
              </w:rPr>
            </w:pPr>
            <w:r>
              <w:rPr>
                <w:sz w:val="40"/>
                <w:szCs w:val="40"/>
              </w:rPr>
              <w:t xml:space="preserve">国有资本经营预算财政拨款支出决算表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65" w:type="pct"/>
            <w:shd w:val="clear" w:color="auto" w:fill="auto"/>
            <w:vAlign w:val="center"/>
          </w:tcPr>
          <w:p>
            <w:pPr>
              <w:pStyle w:val="2"/>
              <w:rPr>
                <w:sz w:val="22"/>
                <w:szCs w:val="22"/>
                <w:lang w:val="en-US"/>
              </w:rPr>
            </w:pPr>
          </w:p>
        </w:tc>
        <w:tc>
          <w:tcPr>
            <w:tcW w:w="165" w:type="pct"/>
            <w:shd w:val="clear" w:color="auto" w:fill="auto"/>
            <w:vAlign w:val="center"/>
          </w:tcPr>
          <w:p>
            <w:pPr>
              <w:pStyle w:val="2"/>
              <w:rPr>
                <w:sz w:val="22"/>
                <w:szCs w:val="22"/>
                <w:lang w:val="en-US"/>
              </w:rPr>
            </w:pPr>
          </w:p>
        </w:tc>
        <w:tc>
          <w:tcPr>
            <w:tcW w:w="165" w:type="pct"/>
            <w:shd w:val="clear" w:color="auto" w:fill="auto"/>
            <w:vAlign w:val="center"/>
          </w:tcPr>
          <w:p>
            <w:pPr>
              <w:pStyle w:val="2"/>
              <w:rPr>
                <w:sz w:val="22"/>
                <w:szCs w:val="22"/>
                <w:lang w:val="en-US"/>
              </w:rPr>
            </w:pPr>
          </w:p>
        </w:tc>
        <w:tc>
          <w:tcPr>
            <w:tcW w:w="1971" w:type="pct"/>
            <w:shd w:val="clear" w:color="auto" w:fill="auto"/>
            <w:vAlign w:val="center"/>
          </w:tcPr>
          <w:p>
            <w:pPr>
              <w:pStyle w:val="2"/>
              <w:rPr>
                <w:sz w:val="22"/>
                <w:szCs w:val="22"/>
                <w:lang w:val="en-US"/>
              </w:rPr>
            </w:pPr>
          </w:p>
        </w:tc>
        <w:tc>
          <w:tcPr>
            <w:tcW w:w="843" w:type="pct"/>
            <w:shd w:val="clear" w:color="auto" w:fill="auto"/>
            <w:vAlign w:val="center"/>
          </w:tcPr>
          <w:p>
            <w:pPr>
              <w:pStyle w:val="2"/>
              <w:rPr>
                <w:sz w:val="22"/>
                <w:szCs w:val="22"/>
                <w:lang w:val="en-US"/>
              </w:rPr>
            </w:pPr>
          </w:p>
        </w:tc>
        <w:tc>
          <w:tcPr>
            <w:tcW w:w="1686" w:type="pct"/>
            <w:gridSpan w:val="2"/>
            <w:shd w:val="clear" w:color="auto" w:fill="auto"/>
            <w:vAlign w:val="center"/>
          </w:tcPr>
          <w:p>
            <w:pPr>
              <w:pStyle w:val="2"/>
              <w:jc w:val="right"/>
              <w:rPr>
                <w:sz w:val="20"/>
                <w:szCs w:val="20"/>
                <w:lang w:val="en-US"/>
              </w:rPr>
            </w:pPr>
            <w:r>
              <w:rPr>
                <w:sz w:val="20"/>
                <w:szCs w:val="20"/>
              </w:rPr>
              <w:t>公开</w:t>
            </w:r>
            <w:r>
              <w:rPr>
                <w:sz w:val="20"/>
                <w:szCs w:val="20"/>
                <w:lang w:val="en-US"/>
              </w:rPr>
              <w:t>09</w:t>
            </w:r>
            <w:r>
              <w:rPr>
                <w:sz w:val="20"/>
                <w:szCs w:val="20"/>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13" w:type="pct"/>
            <w:gridSpan w:val="5"/>
            <w:shd w:val="clear" w:color="auto" w:fill="auto"/>
            <w:vAlign w:val="center"/>
          </w:tcPr>
          <w:p>
            <w:pPr>
              <w:pStyle w:val="2"/>
              <w:rPr>
                <w:sz w:val="22"/>
                <w:szCs w:val="22"/>
                <w:lang w:val="en-US"/>
              </w:rPr>
            </w:pPr>
            <w:r>
              <w:rPr>
                <w:sz w:val="22"/>
                <w:szCs w:val="22"/>
              </w:rPr>
              <w:t xml:space="preserve">部门：长沙市雨花区总工会 </w:t>
            </w:r>
          </w:p>
        </w:tc>
        <w:tc>
          <w:tcPr>
            <w:tcW w:w="1686" w:type="pct"/>
            <w:gridSpan w:val="2"/>
            <w:shd w:val="clear" w:color="auto" w:fill="auto"/>
            <w:vAlign w:val="center"/>
          </w:tcPr>
          <w:p>
            <w:pPr>
              <w:pStyle w:val="2"/>
              <w:jc w:val="right"/>
              <w:rPr>
                <w:sz w:val="20"/>
                <w:szCs w:val="20"/>
                <w:lang w:val="en-US"/>
              </w:rPr>
            </w:pPr>
            <w:r>
              <w:rPr>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 </w:t>
            </w:r>
          </w:p>
        </w:tc>
        <w:tc>
          <w:tcPr>
            <w:tcW w:w="253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496" w:type="pct"/>
            <w:gridSpan w:val="3"/>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496"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496" w:type="pct"/>
            <w:gridSpan w:val="3"/>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c>
          <w:tcPr>
            <w:tcW w:w="0"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栏次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1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2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lang w:val="en-US"/>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center"/>
              <w:rPr>
                <w:sz w:val="22"/>
                <w:szCs w:val="22"/>
                <w:lang w:val="en-US"/>
              </w:rPr>
            </w:pPr>
            <w:r>
              <w:rPr>
                <w:sz w:val="22"/>
                <w:szCs w:val="22"/>
              </w:rPr>
              <w:t xml:space="preserve">合计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b/>
                <w:bCs/>
                <w:sz w:val="22"/>
                <w:szCs w:val="22"/>
                <w:lang w:val="en-US"/>
              </w:rPr>
            </w:pPr>
            <w:r>
              <w:rPr>
                <w:b/>
                <w:bCs/>
                <w:sz w:val="22"/>
                <w:szCs w:val="22"/>
                <w:lang w:val="en-US"/>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97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97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97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97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97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1971"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c>
          <w:tcPr>
            <w:tcW w:w="843"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2"/>
              <w:jc w:val="right"/>
              <w:rPr>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2"/>
              <w:rPr>
                <w:sz w:val="22"/>
                <w:szCs w:val="22"/>
                <w:lang w:val="en-US"/>
              </w:rPr>
            </w:pPr>
            <w:r>
              <w:rPr>
                <w:sz w:val="22"/>
                <w:szCs w:val="22"/>
              </w:rPr>
              <w:t xml:space="preserve">注：本表反映部门本年度国有资本经营预算财政拨款支出情况。本表金额转换为万元时，因四舍五入可能存在尾数误差。 </w:t>
            </w:r>
          </w:p>
        </w:tc>
      </w:tr>
    </w:tbl>
    <w:p>
      <w:pPr>
        <w:pStyle w:val="2"/>
        <w:rPr>
          <w:color w:val="000000"/>
          <w:lang w:val="en-US"/>
        </w:rPr>
      </w:pPr>
    </w:p>
    <w:p>
      <w:pPr>
        <w:rPr>
          <w:rFonts w:hint="eastAsia" w:ascii="宋体" w:hAnsi="宋体" w:eastAsia="宋体" w:cs="宋体"/>
          <w:color w:val="000000"/>
          <w:sz w:val="24"/>
          <w:szCs w:val="24"/>
          <w:lang w:val="en-US" w:eastAsia="zh-CN" w:bidi="ar"/>
        </w:rPr>
        <w:sectPr>
          <w:pgSz w:w="16838" w:h="11906"/>
          <w:pgMar w:top="1080" w:right="400" w:bottom="1080" w:left="400" w:header="851" w:footer="992" w:gutter="0"/>
          <w:cols w:space="0" w:num="1"/>
          <w:docGrid w:type="lines" w:linePitch="160"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46D8"/>
    <w:rsid w:val="7FC74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2022-11-12T11:35:00Z</dcterms:created>
  <dc:creator>辛烈</dc:creator>
  <cp:lastModifiedBy>辛烈</cp:lastModifiedBy>
  <dcterms:modified xsi:type="dcterms:W3CDTF">2022-11-12T11:37:52Z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02DB76B0A83877ED83146F63208384A4</vt:lpwstr>
  </property>
</Properties>
</file>