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eastAsia="黑体" w:cs="黑体"/>
          <w:bCs/>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p>
    <w:p>
      <w:pPr>
        <w:spacing w:line="560" w:lineRule="exact"/>
        <w:rPr>
          <w:rFonts w:ascii="宋体" w:hAnsi="宋体" w:cs="宋体"/>
          <w:kern w:val="0"/>
          <w:sz w:val="24"/>
        </w:rPr>
      </w:pPr>
      <w:r>
        <w:rPr>
          <w:rFonts w:ascii="宋体" w:hAnsi="宋体" w:cs="宋体"/>
          <w:kern w:val="0"/>
          <w:sz w:val="24"/>
        </w:rPr>
        <w:tab/>
      </w:r>
      <w:r>
        <w:rPr>
          <w:rFonts w:ascii="宋体" w:hAnsi="宋体" w:cs="宋体"/>
          <w:kern w:val="0"/>
          <w:sz w:val="24"/>
        </w:rPr>
        <w:tab/>
      </w:r>
    </w:p>
    <w:p>
      <w:pPr>
        <w:widowControl/>
        <w:ind w:left="93"/>
        <w:jc w:val="center"/>
        <w:rPr>
          <w:rFonts w:ascii="宋体" w:hAnsi="宋体" w:cs="宋体"/>
          <w:kern w:val="0"/>
          <w:sz w:val="24"/>
        </w:rPr>
      </w:pPr>
      <w:r>
        <w:rPr>
          <w:rFonts w:hint="eastAsia" w:ascii="方正小标宋_GBK" w:hAnsi="宋体" w:eastAsia="方正小标宋_GBK" w:cs="宋体"/>
          <w:kern w:val="0"/>
          <w:sz w:val="36"/>
          <w:szCs w:val="36"/>
        </w:rPr>
        <w:t>部门整体支出绩效评价指标表</w:t>
      </w:r>
    </w:p>
    <w:tbl>
      <w:tblPr>
        <w:tblStyle w:val="4"/>
        <w:tblW w:w="11235" w:type="dxa"/>
        <w:jc w:val="center"/>
        <w:tblLayout w:type="fixed"/>
        <w:tblCellMar>
          <w:top w:w="0" w:type="dxa"/>
          <w:left w:w="108" w:type="dxa"/>
          <w:bottom w:w="0" w:type="dxa"/>
          <w:right w:w="108" w:type="dxa"/>
        </w:tblCellMar>
      </w:tblPr>
      <w:tblGrid>
        <w:gridCol w:w="518"/>
        <w:gridCol w:w="439"/>
        <w:gridCol w:w="675"/>
        <w:gridCol w:w="439"/>
        <w:gridCol w:w="1009"/>
        <w:gridCol w:w="416"/>
        <w:gridCol w:w="2999"/>
        <w:gridCol w:w="3470"/>
        <w:gridCol w:w="635"/>
        <w:gridCol w:w="635"/>
      </w:tblGrid>
      <w:tr>
        <w:tblPrEx>
          <w:tblCellMar>
            <w:top w:w="0" w:type="dxa"/>
            <w:left w:w="108" w:type="dxa"/>
            <w:bottom w:w="0" w:type="dxa"/>
            <w:right w:w="108" w:type="dxa"/>
          </w:tblCellMar>
        </w:tblPrEx>
        <w:trPr>
          <w:gridAfter w:val="1"/>
          <w:wAfter w:w="635" w:type="dxa"/>
          <w:tblHeader/>
          <w:jc w:val="center"/>
        </w:trPr>
        <w:tc>
          <w:tcPr>
            <w:tcW w:w="5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一级指标</w:t>
            </w:r>
          </w:p>
        </w:tc>
        <w:tc>
          <w:tcPr>
            <w:tcW w:w="4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二级指标</w:t>
            </w:r>
          </w:p>
        </w:tc>
        <w:tc>
          <w:tcPr>
            <w:tcW w:w="4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100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三级</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299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评价标准</w:t>
            </w:r>
          </w:p>
        </w:tc>
        <w:tc>
          <w:tcPr>
            <w:tcW w:w="347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指标说明</w:t>
            </w:r>
          </w:p>
        </w:tc>
        <w:tc>
          <w:tcPr>
            <w:tcW w:w="6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得分</w:t>
            </w:r>
          </w:p>
        </w:tc>
      </w:tr>
      <w:tr>
        <w:tblPrEx>
          <w:tblCellMar>
            <w:top w:w="0" w:type="dxa"/>
            <w:left w:w="108" w:type="dxa"/>
            <w:bottom w:w="0" w:type="dxa"/>
            <w:right w:w="108" w:type="dxa"/>
          </w:tblCellMar>
        </w:tblPrEx>
        <w:trPr>
          <w:gridAfter w:val="1"/>
          <w:wAfter w:w="635" w:type="dxa"/>
          <w:jc w:val="center"/>
        </w:trPr>
        <w:tc>
          <w:tcPr>
            <w:tcW w:w="51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投入</w:t>
            </w:r>
          </w:p>
        </w:tc>
        <w:tc>
          <w:tcPr>
            <w:tcW w:w="43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675" w:type="dxa"/>
            <w:vMerge w:val="restart"/>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43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nil"/>
              <w:right w:val="nil"/>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以100%为标准。在职人员控制率</w:t>
            </w:r>
            <w:r>
              <w:rPr>
                <w:rFonts w:hint="eastAsia" w:ascii="宋体" w:hAnsi="宋体" w:cs="宋体"/>
                <w:kern w:val="0"/>
                <w:sz w:val="20"/>
                <w:szCs w:val="20"/>
              </w:rPr>
              <w:t>≦</w:t>
            </w:r>
            <w:r>
              <w:rPr>
                <w:rFonts w:hint="eastAsia" w:ascii="仿宋_GB2312" w:hAnsi="宋体" w:eastAsia="仿宋_GB2312" w:cs="宋体"/>
                <w:kern w:val="0"/>
                <w:sz w:val="20"/>
                <w:szCs w:val="20"/>
              </w:rPr>
              <w:t>100%，计5分；每超过一个百分点扣0.5分，扣完为止。</w:t>
            </w:r>
          </w:p>
        </w:tc>
        <w:tc>
          <w:tcPr>
            <w:tcW w:w="347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在职人员控制率=（在职人员数/编制数）×100%，在职人员数：部门（单位）实际在职人数，以财政局确定的部门决算编制口径为准。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编制数：机构编制部门核定批复的部门（单位）的人员编制数。</w:t>
            </w:r>
          </w:p>
        </w:tc>
        <w:tc>
          <w:tcPr>
            <w:tcW w:w="63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gridAfter w:val="1"/>
          <w:wAfter w:w="635" w:type="dxa"/>
          <w:jc w:val="center"/>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宋体" w:hAnsi="宋体" w:cs="宋体"/>
                <w:kern w:val="0"/>
                <w:sz w:val="20"/>
                <w:szCs w:val="20"/>
              </w:rPr>
              <w:t>≦</w:t>
            </w:r>
            <w:r>
              <w:rPr>
                <w:rFonts w:hint="eastAsia" w:ascii="仿宋_GB2312" w:hAnsi="宋体" w:eastAsia="仿宋_GB2312" w:cs="宋体"/>
                <w:kern w:val="0"/>
                <w:sz w:val="20"/>
                <w:szCs w:val="20"/>
              </w:rPr>
              <w:t>0,计8分；“三公经费”＞0，每超过一个百分点扣0.8分，扣完为止。</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“在公经费”变动率=[（本年度“三公经费”预算数-上年度“三公经费”预算数）/上年度“三公经费”预算数]×100%</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8</w:t>
            </w:r>
          </w:p>
        </w:tc>
      </w:tr>
      <w:tr>
        <w:tblPrEx>
          <w:tblCellMar>
            <w:top w:w="0" w:type="dxa"/>
            <w:left w:w="108" w:type="dxa"/>
            <w:bottom w:w="0" w:type="dxa"/>
            <w:right w:w="108" w:type="dxa"/>
          </w:tblCellMar>
        </w:tblPrEx>
        <w:trPr>
          <w:gridAfter w:val="1"/>
          <w:wAfter w:w="635" w:type="dxa"/>
          <w:jc w:val="center"/>
        </w:trPr>
        <w:tc>
          <w:tcPr>
            <w:tcW w:w="518"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43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100%计满分，每低于5%扣2分，扣完为止。</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预算完成率=（上年结转+年初预算+本年追加预算-年末结余/上年结转+年初预算+本年追加预算）×100%。</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3</w:t>
            </w:r>
          </w:p>
        </w:tc>
      </w:tr>
      <w:tr>
        <w:tblPrEx>
          <w:tblCellMar>
            <w:top w:w="0" w:type="dxa"/>
            <w:left w:w="108" w:type="dxa"/>
            <w:bottom w:w="0" w:type="dxa"/>
            <w:right w:w="108" w:type="dxa"/>
          </w:tblCellMar>
        </w:tblPrEx>
        <w:trPr>
          <w:gridAfter w:val="1"/>
          <w:wAfter w:w="635" w:type="dxa"/>
          <w:trHeight w:val="1273"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预算控制率=0，计5分；0-10%（含），计4分；10-20%（含），计3分；20-30%（含），计2分；大于30%不得分</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预算控制率=（本年追加预算/年初预算）×100%。</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4</w:t>
            </w:r>
          </w:p>
        </w:tc>
      </w:tr>
      <w:tr>
        <w:tblPrEx>
          <w:tblCellMar>
            <w:top w:w="0" w:type="dxa"/>
            <w:left w:w="108" w:type="dxa"/>
            <w:bottom w:w="0" w:type="dxa"/>
            <w:right w:w="108" w:type="dxa"/>
          </w:tblCellMar>
        </w:tblPrEx>
        <w:trPr>
          <w:gridAfter w:val="1"/>
          <w:wAfter w:w="635" w:type="dxa"/>
          <w:trHeight w:val="1160"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新建楼堂馆所面积控制率</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100%以下（含）计满分，每超出5%扣2分，扣完为止。没有楼梯馆所项目的部门按满分计算</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楼堂馆所面积控制率=实际建设面积/批准建设面积×100%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5</w:t>
            </w:r>
          </w:p>
        </w:tc>
      </w:tr>
      <w:tr>
        <w:tblPrEx>
          <w:tblCellMar>
            <w:top w:w="0" w:type="dxa"/>
            <w:left w:w="108" w:type="dxa"/>
            <w:bottom w:w="0" w:type="dxa"/>
            <w:right w:w="108" w:type="dxa"/>
          </w:tblCellMar>
        </w:tblPrEx>
        <w:trPr>
          <w:gridAfter w:val="1"/>
          <w:wAfter w:w="635" w:type="dxa"/>
          <w:trHeight w:val="1543"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新建楼堂馆所投资概算控制率</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楼堂馆所投资预算控制率=实际投资金额/批准投资金额×100%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5</w:t>
            </w:r>
          </w:p>
        </w:tc>
      </w:tr>
      <w:tr>
        <w:tblPrEx>
          <w:tblCellMar>
            <w:top w:w="0" w:type="dxa"/>
            <w:left w:w="108" w:type="dxa"/>
            <w:bottom w:w="0" w:type="dxa"/>
            <w:right w:w="108" w:type="dxa"/>
          </w:tblCellMar>
        </w:tblPrEx>
        <w:trPr>
          <w:gridAfter w:val="1"/>
          <w:wAfter w:w="635" w:type="dxa"/>
          <w:trHeight w:val="1562"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公用经费控制率=（实际支出公用经费总额/预算安排公用经费总额）×100%。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公用经费支出是指部门基本支出中的一般商品和服务支出。</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8</w:t>
            </w:r>
          </w:p>
        </w:tc>
      </w:tr>
      <w:tr>
        <w:tblPrEx>
          <w:tblCellMar>
            <w:top w:w="0" w:type="dxa"/>
            <w:left w:w="108" w:type="dxa"/>
            <w:bottom w:w="0" w:type="dxa"/>
            <w:right w:w="108" w:type="dxa"/>
          </w:tblCellMar>
        </w:tblPrEx>
        <w:trPr>
          <w:gridAfter w:val="1"/>
          <w:wAfter w:w="635" w:type="dxa"/>
          <w:trHeight w:val="1073"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8</w:t>
            </w:r>
          </w:p>
        </w:tc>
      </w:tr>
      <w:tr>
        <w:tblPrEx>
          <w:tblCellMar>
            <w:top w:w="0" w:type="dxa"/>
            <w:left w:w="108" w:type="dxa"/>
            <w:bottom w:w="0" w:type="dxa"/>
            <w:right w:w="108" w:type="dxa"/>
          </w:tblCellMar>
        </w:tblPrEx>
        <w:trPr>
          <w:gridAfter w:val="1"/>
          <w:wAfter w:w="635" w:type="dxa"/>
          <w:trHeight w:val="918" w:hRule="atLeast"/>
          <w:jc w:val="center"/>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100%计满分，每超过（降低）5%扣2分。扣完为止。</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政府采购执行率=（实际政府采购金额/政府采购预算数）×100%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                </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6</w:t>
            </w:r>
          </w:p>
        </w:tc>
      </w:tr>
      <w:tr>
        <w:tblPrEx>
          <w:tblCellMar>
            <w:top w:w="0" w:type="dxa"/>
            <w:left w:w="108" w:type="dxa"/>
            <w:bottom w:w="0" w:type="dxa"/>
            <w:right w:w="108" w:type="dxa"/>
          </w:tblCellMar>
        </w:tblPrEx>
        <w:trPr>
          <w:gridAfter w:val="1"/>
          <w:wAfter w:w="635" w:type="dxa"/>
          <w:jc w:val="center"/>
        </w:trPr>
        <w:tc>
          <w:tcPr>
            <w:tcW w:w="518" w:type="dxa"/>
            <w:vMerge w:val="restart"/>
            <w:tcBorders>
              <w:top w:val="single" w:color="auto" w:sz="4" w:space="0"/>
              <w:left w:val="single" w:color="auto" w:sz="4" w:space="0"/>
              <w:bottom w:val="single" w:color="000000" w:sz="4" w:space="0"/>
              <w:right w:val="single" w:color="auto" w:sz="4" w:space="0"/>
            </w:tcBorders>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single" w:color="auto" w:sz="4" w:space="0"/>
              <w:left w:val="single" w:color="auto" w:sz="4" w:space="0"/>
              <w:bottom w:val="single" w:color="000000" w:sz="4" w:space="0"/>
              <w:right w:val="single" w:color="auto" w:sz="4" w:space="0"/>
            </w:tcBorders>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管理制度健全性</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①有内部财务管理制度、会计核算制度等管理制度，2分；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②有本部门厉行节约制度,2分；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③相关管理制度合法、合规、完整，2分；④相关管理制度得到有效执行，2分。</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gridAfter w:val="1"/>
          <w:wAfter w:w="635" w:type="dxa"/>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资金使用合规性</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以上情况每出现一例不符合要求的扣1分，扣完为止。</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6</w:t>
            </w:r>
          </w:p>
        </w:tc>
      </w:tr>
      <w:tr>
        <w:tblPrEx>
          <w:tblCellMar>
            <w:top w:w="0" w:type="dxa"/>
            <w:left w:w="108" w:type="dxa"/>
            <w:bottom w:w="0" w:type="dxa"/>
            <w:right w:w="108" w:type="dxa"/>
          </w:tblCellMar>
        </w:tblPrEx>
        <w:trPr>
          <w:gridAfter w:val="1"/>
          <w:wAfter w:w="635" w:type="dxa"/>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5</w:t>
            </w:r>
          </w:p>
        </w:tc>
      </w:tr>
      <w:tr>
        <w:tblPrEx>
          <w:tblCellMar>
            <w:top w:w="0" w:type="dxa"/>
            <w:left w:w="108" w:type="dxa"/>
            <w:bottom w:w="0" w:type="dxa"/>
            <w:right w:w="108" w:type="dxa"/>
          </w:tblCellMar>
        </w:tblPrEx>
        <w:trPr>
          <w:gridAfter w:val="1"/>
          <w:wAfter w:w="635" w:type="dxa"/>
          <w:jc w:val="center"/>
        </w:trPr>
        <w:tc>
          <w:tcPr>
            <w:tcW w:w="518"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产出及效率</w:t>
            </w:r>
          </w:p>
        </w:tc>
        <w:tc>
          <w:tcPr>
            <w:tcW w:w="43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6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43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009" w:type="dxa"/>
            <w:tcBorders>
              <w:top w:val="nil"/>
              <w:left w:val="nil"/>
              <w:bottom w:val="nil"/>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重点工作实际完成率</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根据绩效办2015年对各部门为民办实事和部门重点工程与重点工作考核分数折算。</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该项得分=（实际产出数/计划产出数）*8</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8</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履职 效益</w:t>
            </w:r>
          </w:p>
        </w:tc>
        <w:tc>
          <w:tcPr>
            <w:tcW w:w="43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0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经济效益</w:t>
            </w:r>
          </w:p>
        </w:tc>
        <w:tc>
          <w:tcPr>
            <w:tcW w:w="416" w:type="dxa"/>
            <w:vMerge w:val="restart"/>
            <w:tcBorders>
              <w:top w:val="nil"/>
              <w:left w:val="single" w:color="auto" w:sz="4" w:space="0"/>
              <w:bottom w:val="nil"/>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6469" w:type="dxa"/>
            <w:gridSpan w:val="2"/>
            <w:vMerge w:val="restart"/>
            <w:tcBorders>
              <w:top w:val="single" w:color="auto" w:sz="4" w:space="0"/>
              <w:left w:val="single" w:color="auto" w:sz="4" w:space="0"/>
              <w:bottom w:val="nil"/>
              <w:right w:val="single" w:color="000000"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此两项指标为设置部门整体支出绩效评价指标时必须考虑的共性要素，可根据部门实际情况有选择的进行设置，并将其细化为相应的个性化指标。</w:t>
            </w:r>
          </w:p>
        </w:tc>
        <w:tc>
          <w:tcPr>
            <w:tcW w:w="635" w:type="dxa"/>
            <w:tcBorders>
              <w:top w:val="nil"/>
              <w:left w:val="nil"/>
              <w:bottom w:val="nil"/>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35"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社会效益</w:t>
            </w:r>
          </w:p>
        </w:tc>
        <w:tc>
          <w:tcPr>
            <w:tcW w:w="41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kern w:val="0"/>
                <w:sz w:val="20"/>
                <w:szCs w:val="20"/>
              </w:rPr>
            </w:pPr>
          </w:p>
        </w:tc>
        <w:tc>
          <w:tcPr>
            <w:tcW w:w="6469" w:type="dxa"/>
            <w:gridSpan w:val="2"/>
            <w:vMerge w:val="continue"/>
            <w:tcBorders>
              <w:top w:val="single" w:color="auto" w:sz="4" w:space="0"/>
              <w:left w:val="single" w:color="auto" w:sz="4" w:space="0"/>
              <w:bottom w:val="nil"/>
              <w:right w:val="single" w:color="000000" w:sz="4" w:space="0"/>
            </w:tcBorders>
            <w:vAlign w:val="center"/>
          </w:tcPr>
          <w:p>
            <w:pPr>
              <w:widowControl/>
              <w:jc w:val="left"/>
              <w:rPr>
                <w:rFonts w:ascii="仿宋_GB2312" w:hAnsi="宋体" w:eastAsia="仿宋_GB2312" w:cs="宋体"/>
                <w:kern w:val="0"/>
                <w:sz w:val="20"/>
                <w:szCs w:val="20"/>
              </w:rPr>
            </w:pPr>
          </w:p>
        </w:tc>
        <w:tc>
          <w:tcPr>
            <w:tcW w:w="635" w:type="dxa"/>
            <w:tcBorders>
              <w:top w:val="nil"/>
              <w:left w:val="nil"/>
              <w:bottom w:val="nil"/>
              <w:right w:val="single" w:color="auto" w:sz="4" w:space="0"/>
            </w:tcBorders>
            <w:vAlign w:val="center"/>
          </w:tcPr>
          <w:p>
            <w:pPr>
              <w:widowControl/>
              <w:ind w:firstLine="240" w:firstLineChars="100"/>
              <w:jc w:val="left"/>
              <w:rPr>
                <w:rFonts w:ascii="宋体" w:hAnsi="宋体" w:cs="宋体"/>
                <w:kern w:val="0"/>
                <w:sz w:val="24"/>
              </w:rPr>
            </w:pPr>
            <w:r>
              <w:rPr>
                <w:rFonts w:hint="eastAsia" w:ascii="宋体" w:hAnsi="宋体" w:cs="宋体"/>
                <w:kern w:val="0"/>
                <w:sz w:val="24"/>
              </w:rPr>
              <w:t>6　</w:t>
            </w:r>
          </w:p>
        </w:tc>
        <w:tc>
          <w:tcPr>
            <w:tcW w:w="635"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635" w:type="dxa"/>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行政效能</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促进部门改进文风会风，加强经费及资产管理，推动网上办事，提高行政效率，降低行政成本效果较好的计6分；一般3分；无效果或者效果不明显0分。</w:t>
            </w:r>
          </w:p>
        </w:tc>
        <w:tc>
          <w:tcPr>
            <w:tcW w:w="3470"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根据部门自评材料评定。</w:t>
            </w:r>
          </w:p>
        </w:tc>
        <w:tc>
          <w:tcPr>
            <w:tcW w:w="635" w:type="dxa"/>
            <w:tcBorders>
              <w:top w:val="single" w:color="auto" w:sz="4" w:space="0"/>
              <w:left w:val="nil"/>
              <w:bottom w:val="single" w:color="auto" w:sz="4" w:space="0"/>
              <w:right w:val="single" w:color="auto" w:sz="4" w:space="0"/>
            </w:tcBorders>
            <w:vAlign w:val="center"/>
          </w:tcPr>
          <w:p>
            <w:pPr>
              <w:widowControl/>
              <w:ind w:firstLine="240" w:firstLineChars="100"/>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gridAfter w:val="1"/>
          <w:wAfter w:w="635" w:type="dxa"/>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90%（含）以上计6分；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80%（含）-90%，计4分；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70%（含）-80%，计2分；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低于70%计0分。</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6</w:t>
            </w:r>
          </w:p>
        </w:tc>
      </w:tr>
    </w:tbl>
    <w:p>
      <w:pPr>
        <w:rPr>
          <w:rFonts w:hint="default" w:ascii="黑体" w:eastAsia="黑体"/>
          <w:sz w:val="28"/>
          <w:szCs w:val="28"/>
          <w:lang w:val="en-US" w:eastAsia="zh-CN"/>
        </w:rPr>
      </w:pPr>
      <w:r>
        <w:rPr>
          <w:rFonts w:hint="eastAsia" w:ascii="黑体" w:eastAsia="黑体"/>
          <w:sz w:val="28"/>
          <w:szCs w:val="28"/>
        </w:rPr>
        <w:t>合计：</w:t>
      </w:r>
      <w:r>
        <w:rPr>
          <w:rFonts w:hint="eastAsia" w:ascii="黑体" w:eastAsia="黑体"/>
          <w:sz w:val="28"/>
          <w:szCs w:val="28"/>
          <w:lang w:val="en-US" w:eastAsia="zh-CN"/>
        </w:rPr>
        <w:t>98</w:t>
      </w:r>
      <w:bookmarkStart w:id="0" w:name="_GoBack"/>
      <w:bookmarkEnd w:id="0"/>
    </w:p>
    <w:p>
      <w:pPr>
        <w:spacing w:line="560" w:lineRule="exact"/>
        <w:rPr>
          <w:rFonts w:ascii="宋体" w:hAnsi="宋体" w:cs="宋体"/>
          <w:kern w:val="0"/>
          <w:sz w:val="24"/>
        </w:rPr>
      </w:pPr>
      <w:r>
        <w:rPr>
          <w:rFonts w:ascii="黑体" w:eastAsia="黑体"/>
          <w:sz w:val="28"/>
          <w:szCs w:val="28"/>
        </w:rPr>
        <w:br w:type="page"/>
      </w:r>
      <w:r>
        <w:rPr>
          <w:rFonts w:hint="eastAsia" w:ascii="黑体" w:hAnsi="宋体" w:eastAsia="黑体" w:cs="宋体"/>
          <w:kern w:val="0"/>
          <w:sz w:val="32"/>
          <w:szCs w:val="32"/>
        </w:rPr>
        <w:t>附件2</w:t>
      </w:r>
      <w:r>
        <w:rPr>
          <w:rFonts w:ascii="黑体" w:hAnsi="宋体" w:eastAsia="黑体" w:cs="宋体"/>
          <w:kern w:val="0"/>
          <w:sz w:val="32"/>
          <w:szCs w:val="32"/>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p>
      <w:pPr>
        <w:widowControl/>
        <w:ind w:left="91"/>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ascii="宋体" w:hAnsi="宋体" w:cs="宋体"/>
          <w:kern w:val="0"/>
          <w:sz w:val="24"/>
        </w:rPr>
      </w:pPr>
      <w:r>
        <w:rPr>
          <w:rFonts w:hint="eastAsia" w:ascii="宋体" w:hAnsi="宋体" w:cs="宋体"/>
          <w:kern w:val="0"/>
          <w:sz w:val="24"/>
        </w:rPr>
        <w:t>填报单位：</w:t>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tbl>
      <w:tblPr>
        <w:tblStyle w:val="4"/>
        <w:tblW w:w="10490" w:type="dxa"/>
        <w:jc w:val="center"/>
        <w:tblLayout w:type="fixed"/>
        <w:tblCellMar>
          <w:top w:w="0" w:type="dxa"/>
          <w:left w:w="108" w:type="dxa"/>
          <w:bottom w:w="0" w:type="dxa"/>
          <w:right w:w="108" w:type="dxa"/>
        </w:tblCellMar>
      </w:tblPr>
      <w:tblGrid>
        <w:gridCol w:w="3550"/>
        <w:gridCol w:w="1190"/>
        <w:gridCol w:w="984"/>
        <w:gridCol w:w="1316"/>
        <w:gridCol w:w="1252"/>
        <w:gridCol w:w="1008"/>
        <w:gridCol w:w="1190"/>
      </w:tblGrid>
      <w:tr>
        <w:tblPrEx>
          <w:tblCellMar>
            <w:top w:w="0" w:type="dxa"/>
            <w:left w:w="108" w:type="dxa"/>
            <w:bottom w:w="0" w:type="dxa"/>
            <w:right w:w="108" w:type="dxa"/>
          </w:tblCellMar>
        </w:tblPrEx>
        <w:trPr>
          <w:trHeight w:val="763" w:hRule="atLeast"/>
          <w:jc w:val="center"/>
        </w:trPr>
        <w:tc>
          <w:tcPr>
            <w:tcW w:w="35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财政供养人员情况</w:t>
            </w:r>
          </w:p>
        </w:tc>
        <w:tc>
          <w:tcPr>
            <w:tcW w:w="217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编制数</w:t>
            </w:r>
          </w:p>
        </w:tc>
        <w:tc>
          <w:tcPr>
            <w:tcW w:w="256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2019年实际在职人数</w:t>
            </w:r>
          </w:p>
        </w:tc>
        <w:tc>
          <w:tcPr>
            <w:tcW w:w="219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控制率</w:t>
            </w:r>
          </w:p>
        </w:tc>
      </w:tr>
      <w:tr>
        <w:tblPrEx>
          <w:tblCellMar>
            <w:top w:w="0" w:type="dxa"/>
            <w:left w:w="108" w:type="dxa"/>
            <w:bottom w:w="0" w:type="dxa"/>
            <w:right w:w="108" w:type="dxa"/>
          </w:tblCellMar>
        </w:tblPrEx>
        <w:trPr>
          <w:trHeight w:val="177" w:hRule="atLeast"/>
          <w:jc w:val="center"/>
        </w:trPr>
        <w:tc>
          <w:tcPr>
            <w:tcW w:w="3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17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　</w:t>
            </w:r>
          </w:p>
        </w:tc>
        <w:tc>
          <w:tcPr>
            <w:tcW w:w="256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7　</w:t>
            </w:r>
          </w:p>
        </w:tc>
        <w:tc>
          <w:tcPr>
            <w:tcW w:w="219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0.43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经费控制情况</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2018年决算数</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2019年预算数</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2019年决算数</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三公经费</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0.33</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2　</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0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1、公务用车购置和维护经费</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其中：公车购置</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公车运行维护</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2、出国经费</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3、公务接待</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0.33</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0</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项目支出：</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1、业务工作专项</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1674.9239</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1127　</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2038.394707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2、运行维护专项</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公用经费</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273.64</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262.48</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282.799308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其中：办公经费</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FF0000"/>
                <w:kern w:val="0"/>
                <w:sz w:val="24"/>
              </w:rPr>
            </w:pPr>
            <w:r>
              <w:rPr>
                <w:rFonts w:hint="eastAsia" w:ascii="宋体" w:hAnsi="宋体" w:cs="宋体"/>
                <w:color w:val="FF0000"/>
                <w:kern w:val="0"/>
                <w:sz w:val="24"/>
              </w:rPr>
              <w:t>21.1474　</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FF0000"/>
                <w:kern w:val="0"/>
                <w:sz w:val="24"/>
              </w:rPr>
            </w:pPr>
            <w:r>
              <w:rPr>
                <w:rFonts w:hint="eastAsia" w:ascii="宋体" w:hAnsi="宋体" w:cs="宋体"/>
                <w:color w:val="FF0000"/>
                <w:kern w:val="0"/>
                <w:sz w:val="24"/>
              </w:rPr>
              <w:t>25.97　</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FF0000"/>
                <w:kern w:val="0"/>
                <w:sz w:val="24"/>
              </w:rPr>
            </w:pPr>
            <w:r>
              <w:rPr>
                <w:rFonts w:hint="eastAsia" w:ascii="宋体" w:hAnsi="宋体" w:cs="宋体"/>
                <w:color w:val="FF0000"/>
                <w:kern w:val="0"/>
                <w:sz w:val="24"/>
              </w:rPr>
              <w:t>23. 884431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水费、电费、差旅费</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会议费、培训费</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政府采购金额</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部门整体支出预算调整 </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1154" w:hRule="atLeast"/>
          <w:jc w:val="center"/>
        </w:trPr>
        <w:tc>
          <w:tcPr>
            <w:tcW w:w="355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楼堂馆所控制情况</w:t>
            </w:r>
            <w:r>
              <w:rPr>
                <w:rFonts w:hint="eastAsia" w:ascii="宋体" w:hAnsi="宋体" w:cs="宋体"/>
                <w:kern w:val="0"/>
                <w:sz w:val="24"/>
              </w:rPr>
              <w:br w:type="textWrapping"/>
            </w:r>
            <w:r>
              <w:rPr>
                <w:rFonts w:hint="eastAsia" w:ascii="宋体" w:hAnsi="宋体" w:cs="宋体"/>
                <w:kern w:val="0"/>
                <w:sz w:val="24"/>
              </w:rPr>
              <w:t>（2019年完工项目）</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批复规模</w:t>
            </w:r>
            <w:r>
              <w:rPr>
                <w:rFonts w:hint="eastAsia" w:ascii="宋体" w:hAnsi="宋体" w:cs="宋体"/>
                <w:b/>
                <w:bCs/>
                <w:kern w:val="0"/>
                <w:sz w:val="24"/>
              </w:rPr>
              <w:br w:type="textWrapping"/>
            </w:r>
            <w:r>
              <w:rPr>
                <w:rFonts w:hint="eastAsia" w:ascii="宋体" w:hAnsi="宋体" w:cs="宋体"/>
                <w:b/>
                <w:bCs/>
                <w:kern w:val="0"/>
                <w:sz w:val="24"/>
              </w:rPr>
              <w:t>（㎡）</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实际规模</w:t>
            </w:r>
            <w:r>
              <w:rPr>
                <w:rFonts w:hint="eastAsia" w:ascii="宋体" w:hAnsi="宋体" w:cs="宋体"/>
                <w:b/>
                <w:bCs/>
                <w:kern w:val="0"/>
                <w:sz w:val="24"/>
              </w:rPr>
              <w:br w:type="textWrapping"/>
            </w:r>
            <w:r>
              <w:rPr>
                <w:rFonts w:hint="eastAsia" w:ascii="宋体" w:hAnsi="宋体" w:cs="宋体"/>
                <w:b/>
                <w:bCs/>
                <w:kern w:val="0"/>
                <w:sz w:val="24"/>
              </w:rPr>
              <w:t>（㎡）</w:t>
            </w:r>
          </w:p>
        </w:tc>
        <w:tc>
          <w:tcPr>
            <w:tcW w:w="1316"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规模控制率</w:t>
            </w:r>
          </w:p>
        </w:tc>
        <w:tc>
          <w:tcPr>
            <w:tcW w:w="1252"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预算投资</w:t>
            </w:r>
            <w:r>
              <w:rPr>
                <w:rFonts w:hint="eastAsia" w:ascii="宋体" w:hAnsi="宋体" w:cs="宋体"/>
                <w:b/>
                <w:bCs/>
                <w:kern w:val="0"/>
                <w:sz w:val="24"/>
              </w:rPr>
              <w:br w:type="textWrapping"/>
            </w:r>
            <w:r>
              <w:rPr>
                <w:rFonts w:hint="eastAsia" w:ascii="宋体" w:hAnsi="宋体" w:cs="宋体"/>
                <w:b/>
                <w:bCs/>
                <w:kern w:val="0"/>
                <w:sz w:val="24"/>
              </w:rPr>
              <w:t>（万元）</w:t>
            </w:r>
          </w:p>
        </w:tc>
        <w:tc>
          <w:tcPr>
            <w:tcW w:w="1008"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实际投资</w:t>
            </w:r>
            <w:r>
              <w:rPr>
                <w:rFonts w:hint="eastAsia" w:ascii="宋体" w:hAnsi="宋体" w:cs="宋体"/>
                <w:b/>
                <w:bCs/>
                <w:kern w:val="0"/>
                <w:sz w:val="24"/>
              </w:rPr>
              <w:br w:type="textWrapping"/>
            </w:r>
            <w:r>
              <w:rPr>
                <w:rFonts w:hint="eastAsia" w:ascii="宋体" w:hAnsi="宋体" w:cs="宋体"/>
                <w:b/>
                <w:bCs/>
                <w:kern w:val="0"/>
                <w:sz w:val="24"/>
              </w:rPr>
              <w:t>（万元）</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投资概算控制率</w:t>
            </w:r>
          </w:p>
        </w:tc>
      </w:tr>
      <w:tr>
        <w:tblPrEx>
          <w:tblCellMar>
            <w:top w:w="0" w:type="dxa"/>
            <w:left w:w="108" w:type="dxa"/>
            <w:bottom w:w="0" w:type="dxa"/>
            <w:right w:w="108" w:type="dxa"/>
          </w:tblCellMar>
        </w:tblPrEx>
        <w:trPr>
          <w:trHeight w:val="177" w:hRule="atLeast"/>
          <w:jc w:val="center"/>
        </w:trPr>
        <w:tc>
          <w:tcPr>
            <w:tcW w:w="3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1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5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0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9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厉行节约保障措施</w:t>
            </w:r>
          </w:p>
        </w:tc>
        <w:tc>
          <w:tcPr>
            <w:tcW w:w="6940"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严抓工作作风，严格经费审批把关　</w:t>
            </w:r>
          </w:p>
        </w:tc>
      </w:tr>
      <w:tr>
        <w:tblPrEx>
          <w:tblCellMar>
            <w:top w:w="0" w:type="dxa"/>
            <w:left w:w="108" w:type="dxa"/>
            <w:bottom w:w="0" w:type="dxa"/>
            <w:right w:w="108" w:type="dxa"/>
          </w:tblCellMar>
        </w:tblPrEx>
        <w:trPr>
          <w:trHeight w:val="700" w:hRule="atLeast"/>
          <w:jc w:val="center"/>
        </w:trPr>
        <w:tc>
          <w:tcPr>
            <w:tcW w:w="10490" w:type="dxa"/>
            <w:gridSpan w:val="7"/>
            <w:tcBorders>
              <w:top w:val="single" w:color="auto" w:sz="4" w:space="0"/>
              <w:left w:val="nil"/>
              <w:bottom w:val="nil"/>
              <w:right w:val="nil"/>
            </w:tcBorders>
            <w:vAlign w:val="center"/>
          </w:tcPr>
          <w:p>
            <w:pPr>
              <w:widowControl/>
              <w:jc w:val="left"/>
              <w:rPr>
                <w:rFonts w:ascii="宋体" w:hAnsi="宋体" w:cs="宋体"/>
                <w:kern w:val="0"/>
                <w:sz w:val="22"/>
                <w:szCs w:val="22"/>
              </w:rPr>
            </w:pPr>
            <w:r>
              <w:rPr>
                <w:rFonts w:hint="eastAsia" w:ascii="宋体" w:hAnsi="宋体" w:cs="宋体"/>
                <w:kern w:val="0"/>
                <w:sz w:val="22"/>
                <w:szCs w:val="22"/>
              </w:rPr>
              <w:t>说明：“项目支出”需要填报除专项资金和基本支出以外的所有项目情况，包括业务工作项目、运行维护项目等；“公用经费”填报基本支出中的一般商品和服务支出。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4E"/>
    <w:rsid w:val="000A3582"/>
    <w:rsid w:val="000B1AC0"/>
    <w:rsid w:val="001635C4"/>
    <w:rsid w:val="00870B4E"/>
    <w:rsid w:val="00F82750"/>
    <w:rsid w:val="22225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431</Words>
  <Characters>2460</Characters>
  <Lines>20</Lines>
  <Paragraphs>5</Paragraphs>
  <TotalTime>2</TotalTime>
  <ScaleCrop>false</ScaleCrop>
  <LinksUpToDate>false</LinksUpToDate>
  <CharactersWithSpaces>2886</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2020-09-03T08:00:00Z</dcterms:created>
  <dc:creator>qmj</dc:creator>
  <cp:lastModifiedBy>海精灵</cp:lastModifiedBy>
  <dcterms:modified xsi:type="dcterms:W3CDTF">2021-09-27T17:15:43Z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